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6EE0" w14:textId="5C333D1B" w:rsidR="00EA354E" w:rsidRPr="00F14C54" w:rsidRDefault="00533703" w:rsidP="00F779A8">
      <w:pPr>
        <w:pStyle w:val="Title"/>
        <w:spacing w:before="3240"/>
        <w:rPr>
          <w:sz w:val="72"/>
          <w:szCs w:val="72"/>
        </w:rPr>
      </w:pPr>
      <w:proofErr w:type="spellStart"/>
      <w:r w:rsidRPr="00F14C54">
        <w:rPr>
          <w:sz w:val="72"/>
          <w:szCs w:val="72"/>
        </w:rPr>
        <w:t>Urogynaecological</w:t>
      </w:r>
      <w:proofErr w:type="spellEnd"/>
      <w:r w:rsidRPr="00F14C54">
        <w:rPr>
          <w:sz w:val="72"/>
          <w:szCs w:val="72"/>
        </w:rPr>
        <w:t xml:space="preserve"> mesh devices (m</w:t>
      </w:r>
      <w:r w:rsidR="003B0A7F" w:rsidRPr="00F14C54">
        <w:rPr>
          <w:sz w:val="72"/>
          <w:szCs w:val="72"/>
        </w:rPr>
        <w:t>id-urethral slings</w:t>
      </w:r>
      <w:r w:rsidRPr="00F14C54">
        <w:rPr>
          <w:sz w:val="72"/>
          <w:szCs w:val="72"/>
        </w:rPr>
        <w:t>)</w:t>
      </w:r>
    </w:p>
    <w:p w14:paraId="6CCE76A4" w14:textId="7837B27D" w:rsidR="00EA354E" w:rsidRPr="00B0485F" w:rsidRDefault="004319CA" w:rsidP="004D5E17">
      <w:pPr>
        <w:pStyle w:val="Titlelarge"/>
      </w:pPr>
      <w:r>
        <w:t xml:space="preserve">Review of comparative clinical and cost-effectiveness to support the </w:t>
      </w:r>
      <w:r w:rsidR="009C77F5" w:rsidRPr="00B0485F">
        <w:t>Pr</w:t>
      </w:r>
      <w:r>
        <w:t>escribed</w:t>
      </w:r>
      <w:r w:rsidR="009C77F5" w:rsidRPr="00B0485F">
        <w:t xml:space="preserve"> List </w:t>
      </w:r>
      <w:r w:rsidR="00674375" w:rsidRPr="00B0485F">
        <w:t>Post</w:t>
      </w:r>
      <w:r w:rsidR="00EF7CE2" w:rsidRPr="00B0485F">
        <w:t>-</w:t>
      </w:r>
      <w:r w:rsidR="00674375" w:rsidRPr="00B0485F">
        <w:t>Listing Review</w:t>
      </w:r>
    </w:p>
    <w:p w14:paraId="79440744" w14:textId="08AD2EEF" w:rsidR="004265E6" w:rsidRPr="00604A0C" w:rsidRDefault="004265E6" w:rsidP="008F52CC">
      <w:pPr>
        <w:pStyle w:val="Titlesmall"/>
        <w:rPr>
          <w:b/>
          <w:bCs/>
          <w:sz w:val="44"/>
          <w:szCs w:val="44"/>
        </w:rPr>
      </w:pPr>
      <w:r w:rsidRPr="00604A0C">
        <w:rPr>
          <w:b/>
          <w:bCs/>
          <w:sz w:val="44"/>
          <w:szCs w:val="44"/>
        </w:rPr>
        <w:t>Final Report</w:t>
      </w:r>
    </w:p>
    <w:p w14:paraId="127AA607" w14:textId="4B92664E" w:rsidR="004D5E17" w:rsidRPr="00B0485F" w:rsidRDefault="00463A13" w:rsidP="00604A0C">
      <w:pPr>
        <w:pStyle w:val="Titlesmall"/>
        <w:spacing w:before="0"/>
        <w:sectPr w:rsidR="004D5E17" w:rsidRPr="00B0485F" w:rsidSect="003E0819">
          <w:footerReference w:type="default" r:id="rId11"/>
          <w:pgSz w:w="11906" w:h="16838"/>
          <w:pgMar w:top="1134" w:right="1134" w:bottom="1134" w:left="1134" w:header="720" w:footer="720" w:gutter="0"/>
          <w:cols w:space="720"/>
          <w:docGrid w:linePitch="360"/>
        </w:sectPr>
      </w:pPr>
      <w:r w:rsidRPr="00604A0C">
        <w:rPr>
          <w:b/>
          <w:bCs/>
          <w:sz w:val="44"/>
          <w:szCs w:val="44"/>
        </w:rPr>
        <w:t>20 June</w:t>
      </w:r>
      <w:r w:rsidR="00E55347" w:rsidRPr="00604A0C">
        <w:rPr>
          <w:b/>
          <w:bCs/>
          <w:sz w:val="44"/>
          <w:szCs w:val="44"/>
        </w:rPr>
        <w:t xml:space="preserve"> 2023</w:t>
      </w:r>
    </w:p>
    <w:p w14:paraId="1F3DD438" w14:textId="1ED95B1B" w:rsidR="00EC469D" w:rsidRDefault="008A14B8" w:rsidP="008A14B8">
      <w:pPr>
        <w:sectPr w:rsidR="00EC469D" w:rsidSect="003E0819">
          <w:headerReference w:type="even" r:id="rId12"/>
          <w:footerReference w:type="default" r:id="rId13"/>
          <w:headerReference w:type="first" r:id="rId14"/>
          <w:pgSz w:w="11906" w:h="16838" w:code="9"/>
          <w:pgMar w:top="1134" w:right="1134" w:bottom="1134" w:left="1134" w:header="851" w:footer="709" w:gutter="0"/>
          <w:cols w:space="708"/>
          <w:vAlign w:val="bottom"/>
          <w:docGrid w:linePitch="360"/>
        </w:sectPr>
      </w:pPr>
      <w:r w:rsidRPr="008A14B8">
        <w:lastRenderedPageBreak/>
        <w:t xml:space="preserve">This report was prepared by </w:t>
      </w:r>
      <w:r w:rsidRPr="00C939F5">
        <w:t xml:space="preserve">Samara Lewis, </w:t>
      </w:r>
      <w:r w:rsidR="00252EE6" w:rsidRPr="00C939F5">
        <w:t xml:space="preserve">Kate Sawkins, </w:t>
      </w:r>
      <w:r w:rsidRPr="00C939F5">
        <w:t>Allison Wyndham</w:t>
      </w:r>
      <w:r w:rsidR="009833CF" w:rsidRPr="00C939F5">
        <w:t>,</w:t>
      </w:r>
      <w:r w:rsidRPr="00C939F5">
        <w:t xml:space="preserve"> and Sue Campbell</w:t>
      </w:r>
      <w:r w:rsidRPr="008A14B8">
        <w:t xml:space="preserve"> from Health Research Consulting (hereco). The report was commissioned by the Australian Government Department of Health and Aged Care.</w:t>
      </w:r>
    </w:p>
    <w:p w14:paraId="06400C00" w14:textId="77777777" w:rsidR="008712BE" w:rsidRPr="00B0485F" w:rsidRDefault="008712BE">
      <w:pPr>
        <w:pStyle w:val="TOCHeading"/>
        <w:rPr>
          <w:lang w:val="en-AU"/>
        </w:rPr>
      </w:pPr>
      <w:r w:rsidRPr="00B0485F">
        <w:rPr>
          <w:lang w:val="en-AU"/>
        </w:rPr>
        <w:lastRenderedPageBreak/>
        <w:t>Contents</w:t>
      </w:r>
    </w:p>
    <w:p w14:paraId="7C84EB87" w14:textId="44E69102" w:rsidR="007105D3" w:rsidRDefault="00A331DF">
      <w:pPr>
        <w:pStyle w:val="TOC1"/>
        <w:rPr>
          <w:rFonts w:asciiTheme="minorHAnsi" w:eastAsiaTheme="minorEastAsia" w:hAnsiTheme="minorHAnsi" w:cstheme="minorBidi"/>
          <w:b w:val="0"/>
          <w:noProof/>
          <w:kern w:val="2"/>
          <w:sz w:val="24"/>
          <w:szCs w:val="24"/>
          <w:lang w:eastAsia="en-AU"/>
          <w14:ligatures w14:val="standardContextual"/>
        </w:rPr>
      </w:pPr>
      <w:r w:rsidRPr="00B0485F">
        <w:rPr>
          <w:bCs/>
          <w:noProof/>
        </w:rPr>
        <w:fldChar w:fldCharType="begin"/>
      </w:r>
      <w:r w:rsidRPr="00B0485F">
        <w:rPr>
          <w:bCs/>
          <w:noProof/>
        </w:rPr>
        <w:instrText xml:space="preserve"> TOC \o "1-3" \h \z \u \t "Heading 7,7,Heading 8,8" </w:instrText>
      </w:r>
      <w:r w:rsidRPr="00B0485F">
        <w:rPr>
          <w:bCs/>
          <w:noProof/>
        </w:rPr>
        <w:fldChar w:fldCharType="separate"/>
      </w:r>
      <w:hyperlink w:anchor="_Toc165627803" w:history="1">
        <w:r w:rsidR="007105D3" w:rsidRPr="003A7597">
          <w:rPr>
            <w:rStyle w:val="Hyperlink"/>
            <w:noProof/>
          </w:rPr>
          <w:t>Abbreviations</w:t>
        </w:r>
        <w:r w:rsidR="007105D3">
          <w:rPr>
            <w:noProof/>
            <w:webHidden/>
          </w:rPr>
          <w:tab/>
        </w:r>
        <w:r w:rsidR="007105D3">
          <w:rPr>
            <w:noProof/>
            <w:webHidden/>
          </w:rPr>
          <w:fldChar w:fldCharType="begin"/>
        </w:r>
        <w:r w:rsidR="007105D3">
          <w:rPr>
            <w:noProof/>
            <w:webHidden/>
          </w:rPr>
          <w:instrText xml:space="preserve"> PAGEREF _Toc165627803 \h </w:instrText>
        </w:r>
        <w:r w:rsidR="007105D3">
          <w:rPr>
            <w:noProof/>
            <w:webHidden/>
          </w:rPr>
        </w:r>
        <w:r w:rsidR="007105D3">
          <w:rPr>
            <w:noProof/>
            <w:webHidden/>
          </w:rPr>
          <w:fldChar w:fldCharType="separate"/>
        </w:r>
        <w:r w:rsidR="007105D3">
          <w:rPr>
            <w:noProof/>
            <w:webHidden/>
          </w:rPr>
          <w:t>7</w:t>
        </w:r>
        <w:r w:rsidR="007105D3">
          <w:rPr>
            <w:noProof/>
            <w:webHidden/>
          </w:rPr>
          <w:fldChar w:fldCharType="end"/>
        </w:r>
      </w:hyperlink>
    </w:p>
    <w:p w14:paraId="124CA796" w14:textId="3B03351E"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04" w:history="1">
        <w:r w:rsidR="007105D3" w:rsidRPr="003A7597">
          <w:rPr>
            <w:rStyle w:val="Hyperlink"/>
            <w:noProof/>
          </w:rPr>
          <w:t>Terminology</w:t>
        </w:r>
        <w:r w:rsidR="007105D3">
          <w:rPr>
            <w:noProof/>
            <w:webHidden/>
          </w:rPr>
          <w:tab/>
        </w:r>
        <w:r w:rsidR="007105D3">
          <w:rPr>
            <w:noProof/>
            <w:webHidden/>
          </w:rPr>
          <w:fldChar w:fldCharType="begin"/>
        </w:r>
        <w:r w:rsidR="007105D3">
          <w:rPr>
            <w:noProof/>
            <w:webHidden/>
          </w:rPr>
          <w:instrText xml:space="preserve"> PAGEREF _Toc165627804 \h </w:instrText>
        </w:r>
        <w:r w:rsidR="007105D3">
          <w:rPr>
            <w:noProof/>
            <w:webHidden/>
          </w:rPr>
        </w:r>
        <w:r w:rsidR="007105D3">
          <w:rPr>
            <w:noProof/>
            <w:webHidden/>
          </w:rPr>
          <w:fldChar w:fldCharType="separate"/>
        </w:r>
        <w:r w:rsidR="007105D3">
          <w:rPr>
            <w:noProof/>
            <w:webHidden/>
          </w:rPr>
          <w:t>9</w:t>
        </w:r>
        <w:r w:rsidR="007105D3">
          <w:rPr>
            <w:noProof/>
            <w:webHidden/>
          </w:rPr>
          <w:fldChar w:fldCharType="end"/>
        </w:r>
      </w:hyperlink>
    </w:p>
    <w:p w14:paraId="21C5DD9E" w14:textId="32447D51"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05" w:history="1">
        <w:r w:rsidR="007105D3" w:rsidRPr="003A7597">
          <w:rPr>
            <w:rStyle w:val="Hyperlink"/>
            <w:noProof/>
          </w:rPr>
          <w:t>Executive Summary</w:t>
        </w:r>
        <w:r w:rsidR="007105D3">
          <w:rPr>
            <w:noProof/>
            <w:webHidden/>
          </w:rPr>
          <w:tab/>
        </w:r>
        <w:r w:rsidR="007105D3">
          <w:rPr>
            <w:noProof/>
            <w:webHidden/>
          </w:rPr>
          <w:fldChar w:fldCharType="begin"/>
        </w:r>
        <w:r w:rsidR="007105D3">
          <w:rPr>
            <w:noProof/>
            <w:webHidden/>
          </w:rPr>
          <w:instrText xml:space="preserve"> PAGEREF _Toc165627805 \h </w:instrText>
        </w:r>
        <w:r w:rsidR="007105D3">
          <w:rPr>
            <w:noProof/>
            <w:webHidden/>
          </w:rPr>
        </w:r>
        <w:r w:rsidR="007105D3">
          <w:rPr>
            <w:noProof/>
            <w:webHidden/>
          </w:rPr>
          <w:fldChar w:fldCharType="separate"/>
        </w:r>
        <w:r w:rsidR="007105D3">
          <w:rPr>
            <w:noProof/>
            <w:webHidden/>
          </w:rPr>
          <w:t>10</w:t>
        </w:r>
        <w:r w:rsidR="007105D3">
          <w:rPr>
            <w:noProof/>
            <w:webHidden/>
          </w:rPr>
          <w:fldChar w:fldCharType="end"/>
        </w:r>
      </w:hyperlink>
    </w:p>
    <w:p w14:paraId="3ED3ABBF" w14:textId="67A46970"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06" w:history="1">
        <w:r w:rsidR="007105D3" w:rsidRPr="003A7597">
          <w:rPr>
            <w:rStyle w:val="Hyperlink"/>
          </w:rPr>
          <w:t>Introduction</w:t>
        </w:r>
        <w:r w:rsidR="007105D3">
          <w:rPr>
            <w:webHidden/>
          </w:rPr>
          <w:tab/>
        </w:r>
        <w:r w:rsidR="007105D3">
          <w:rPr>
            <w:webHidden/>
          </w:rPr>
          <w:fldChar w:fldCharType="begin"/>
        </w:r>
        <w:r w:rsidR="007105D3">
          <w:rPr>
            <w:webHidden/>
          </w:rPr>
          <w:instrText xml:space="preserve"> PAGEREF _Toc165627806 \h </w:instrText>
        </w:r>
        <w:r w:rsidR="007105D3">
          <w:rPr>
            <w:webHidden/>
          </w:rPr>
        </w:r>
        <w:r w:rsidR="007105D3">
          <w:rPr>
            <w:webHidden/>
          </w:rPr>
          <w:fldChar w:fldCharType="separate"/>
        </w:r>
        <w:r w:rsidR="007105D3">
          <w:rPr>
            <w:webHidden/>
          </w:rPr>
          <w:t>10</w:t>
        </w:r>
        <w:r w:rsidR="007105D3">
          <w:rPr>
            <w:webHidden/>
          </w:rPr>
          <w:fldChar w:fldCharType="end"/>
        </w:r>
      </w:hyperlink>
    </w:p>
    <w:p w14:paraId="5970A4D0" w14:textId="7B6A1FA8"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07" w:history="1">
        <w:r w:rsidR="007105D3" w:rsidRPr="003A7597">
          <w:rPr>
            <w:rStyle w:val="Hyperlink"/>
          </w:rPr>
          <w:t>Summary of findings</w:t>
        </w:r>
        <w:r w:rsidR="007105D3">
          <w:rPr>
            <w:webHidden/>
          </w:rPr>
          <w:tab/>
        </w:r>
        <w:r w:rsidR="007105D3">
          <w:rPr>
            <w:webHidden/>
          </w:rPr>
          <w:fldChar w:fldCharType="begin"/>
        </w:r>
        <w:r w:rsidR="007105D3">
          <w:rPr>
            <w:webHidden/>
          </w:rPr>
          <w:instrText xml:space="preserve"> PAGEREF _Toc165627807 \h </w:instrText>
        </w:r>
        <w:r w:rsidR="007105D3">
          <w:rPr>
            <w:webHidden/>
          </w:rPr>
        </w:r>
        <w:r w:rsidR="007105D3">
          <w:rPr>
            <w:webHidden/>
          </w:rPr>
          <w:fldChar w:fldCharType="separate"/>
        </w:r>
        <w:r w:rsidR="007105D3">
          <w:rPr>
            <w:webHidden/>
          </w:rPr>
          <w:t>10</w:t>
        </w:r>
        <w:r w:rsidR="007105D3">
          <w:rPr>
            <w:webHidden/>
          </w:rPr>
          <w:fldChar w:fldCharType="end"/>
        </w:r>
      </w:hyperlink>
    </w:p>
    <w:p w14:paraId="516FA504" w14:textId="070ECE9A"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08" w:history="1">
        <w:r w:rsidR="007105D3" w:rsidRPr="003A7597">
          <w:rPr>
            <w:rStyle w:val="Hyperlink"/>
          </w:rPr>
          <w:t>Considerations for PLAC</w:t>
        </w:r>
        <w:r w:rsidR="007105D3">
          <w:rPr>
            <w:webHidden/>
          </w:rPr>
          <w:tab/>
        </w:r>
        <w:r w:rsidR="007105D3">
          <w:rPr>
            <w:webHidden/>
          </w:rPr>
          <w:fldChar w:fldCharType="begin"/>
        </w:r>
        <w:r w:rsidR="007105D3">
          <w:rPr>
            <w:webHidden/>
          </w:rPr>
          <w:instrText xml:space="preserve"> PAGEREF _Toc165627808 \h </w:instrText>
        </w:r>
        <w:r w:rsidR="007105D3">
          <w:rPr>
            <w:webHidden/>
          </w:rPr>
        </w:r>
        <w:r w:rsidR="007105D3">
          <w:rPr>
            <w:webHidden/>
          </w:rPr>
          <w:fldChar w:fldCharType="separate"/>
        </w:r>
        <w:r w:rsidR="007105D3">
          <w:rPr>
            <w:webHidden/>
          </w:rPr>
          <w:t>14</w:t>
        </w:r>
        <w:r w:rsidR="007105D3">
          <w:rPr>
            <w:webHidden/>
          </w:rPr>
          <w:fldChar w:fldCharType="end"/>
        </w:r>
      </w:hyperlink>
    </w:p>
    <w:p w14:paraId="431A620B" w14:textId="1A84A37F"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09" w:history="1">
        <w:r w:rsidR="007105D3" w:rsidRPr="003A7597">
          <w:rPr>
            <w:rStyle w:val="Hyperlink"/>
            <w:noProof/>
          </w:rPr>
          <w:t>1</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Background</w:t>
        </w:r>
        <w:r w:rsidR="007105D3">
          <w:rPr>
            <w:noProof/>
            <w:webHidden/>
          </w:rPr>
          <w:tab/>
        </w:r>
        <w:r w:rsidR="007105D3">
          <w:rPr>
            <w:noProof/>
            <w:webHidden/>
          </w:rPr>
          <w:fldChar w:fldCharType="begin"/>
        </w:r>
        <w:r w:rsidR="007105D3">
          <w:rPr>
            <w:noProof/>
            <w:webHidden/>
          </w:rPr>
          <w:instrText xml:space="preserve"> PAGEREF _Toc165627809 \h </w:instrText>
        </w:r>
        <w:r w:rsidR="007105D3">
          <w:rPr>
            <w:noProof/>
            <w:webHidden/>
          </w:rPr>
        </w:r>
        <w:r w:rsidR="007105D3">
          <w:rPr>
            <w:noProof/>
            <w:webHidden/>
          </w:rPr>
          <w:fldChar w:fldCharType="separate"/>
        </w:r>
        <w:r w:rsidR="007105D3">
          <w:rPr>
            <w:noProof/>
            <w:webHidden/>
          </w:rPr>
          <w:t>16</w:t>
        </w:r>
        <w:r w:rsidR="007105D3">
          <w:rPr>
            <w:noProof/>
            <w:webHidden/>
          </w:rPr>
          <w:fldChar w:fldCharType="end"/>
        </w:r>
      </w:hyperlink>
    </w:p>
    <w:p w14:paraId="663026CC" w14:textId="2339C01B"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10" w:history="1">
        <w:r w:rsidR="007105D3" w:rsidRPr="003A7597">
          <w:rPr>
            <w:rStyle w:val="Hyperlink"/>
          </w:rPr>
          <w:t>1.1</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Context for the Review</w:t>
        </w:r>
        <w:r w:rsidR="007105D3">
          <w:rPr>
            <w:webHidden/>
          </w:rPr>
          <w:tab/>
        </w:r>
        <w:r w:rsidR="007105D3">
          <w:rPr>
            <w:webHidden/>
          </w:rPr>
          <w:fldChar w:fldCharType="begin"/>
        </w:r>
        <w:r w:rsidR="007105D3">
          <w:rPr>
            <w:webHidden/>
          </w:rPr>
          <w:instrText xml:space="preserve"> PAGEREF _Toc165627810 \h </w:instrText>
        </w:r>
        <w:r w:rsidR="007105D3">
          <w:rPr>
            <w:webHidden/>
          </w:rPr>
        </w:r>
        <w:r w:rsidR="007105D3">
          <w:rPr>
            <w:webHidden/>
          </w:rPr>
          <w:fldChar w:fldCharType="separate"/>
        </w:r>
        <w:r w:rsidR="007105D3">
          <w:rPr>
            <w:webHidden/>
          </w:rPr>
          <w:t>16</w:t>
        </w:r>
        <w:r w:rsidR="007105D3">
          <w:rPr>
            <w:webHidden/>
          </w:rPr>
          <w:fldChar w:fldCharType="end"/>
        </w:r>
      </w:hyperlink>
    </w:p>
    <w:p w14:paraId="604D420A" w14:textId="48A2FCF3"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11" w:history="1">
        <w:r w:rsidR="007105D3" w:rsidRPr="003A7597">
          <w:rPr>
            <w:rStyle w:val="Hyperlink"/>
            <w:noProof/>
          </w:rPr>
          <w:t>1.1.1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Prostheses List post-listing review framework</w:t>
        </w:r>
        <w:r w:rsidR="007105D3">
          <w:rPr>
            <w:noProof/>
            <w:webHidden/>
          </w:rPr>
          <w:tab/>
        </w:r>
        <w:r w:rsidR="007105D3">
          <w:rPr>
            <w:noProof/>
            <w:webHidden/>
          </w:rPr>
          <w:fldChar w:fldCharType="begin"/>
        </w:r>
        <w:r w:rsidR="007105D3">
          <w:rPr>
            <w:noProof/>
            <w:webHidden/>
          </w:rPr>
          <w:instrText xml:space="preserve"> PAGEREF _Toc165627811 \h </w:instrText>
        </w:r>
        <w:r w:rsidR="007105D3">
          <w:rPr>
            <w:noProof/>
            <w:webHidden/>
          </w:rPr>
        </w:r>
        <w:r w:rsidR="007105D3">
          <w:rPr>
            <w:noProof/>
            <w:webHidden/>
          </w:rPr>
          <w:fldChar w:fldCharType="separate"/>
        </w:r>
        <w:r w:rsidR="007105D3">
          <w:rPr>
            <w:noProof/>
            <w:webHidden/>
          </w:rPr>
          <w:t>16</w:t>
        </w:r>
        <w:r w:rsidR="007105D3">
          <w:rPr>
            <w:noProof/>
            <w:webHidden/>
          </w:rPr>
          <w:fldChar w:fldCharType="end"/>
        </w:r>
      </w:hyperlink>
    </w:p>
    <w:p w14:paraId="0EEB62FC" w14:textId="2C318C76"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12" w:history="1">
        <w:r w:rsidR="007105D3" w:rsidRPr="003A7597">
          <w:rPr>
            <w:rStyle w:val="Hyperlink"/>
          </w:rPr>
          <w:t>1.2</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About this post-listing review of urogynaecological mesh devices (mid-urethral slings)</w:t>
        </w:r>
        <w:r w:rsidR="007105D3">
          <w:rPr>
            <w:webHidden/>
          </w:rPr>
          <w:tab/>
        </w:r>
        <w:r w:rsidR="007105D3">
          <w:rPr>
            <w:webHidden/>
          </w:rPr>
          <w:fldChar w:fldCharType="begin"/>
        </w:r>
        <w:r w:rsidR="007105D3">
          <w:rPr>
            <w:webHidden/>
          </w:rPr>
          <w:instrText xml:space="preserve"> PAGEREF _Toc165627812 \h </w:instrText>
        </w:r>
        <w:r w:rsidR="007105D3">
          <w:rPr>
            <w:webHidden/>
          </w:rPr>
        </w:r>
        <w:r w:rsidR="007105D3">
          <w:rPr>
            <w:webHidden/>
          </w:rPr>
          <w:fldChar w:fldCharType="separate"/>
        </w:r>
        <w:r w:rsidR="007105D3">
          <w:rPr>
            <w:webHidden/>
          </w:rPr>
          <w:t>16</w:t>
        </w:r>
        <w:r w:rsidR="007105D3">
          <w:rPr>
            <w:webHidden/>
          </w:rPr>
          <w:fldChar w:fldCharType="end"/>
        </w:r>
      </w:hyperlink>
    </w:p>
    <w:p w14:paraId="77411FDB" w14:textId="2A3D5D18"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13" w:history="1">
        <w:r w:rsidR="007105D3" w:rsidRPr="003A7597">
          <w:rPr>
            <w:rStyle w:val="Hyperlink"/>
            <w:noProof/>
          </w:rPr>
          <w:t>1.2.1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Why review mid-urethral slings?</w:t>
        </w:r>
        <w:r w:rsidR="007105D3">
          <w:rPr>
            <w:noProof/>
            <w:webHidden/>
          </w:rPr>
          <w:tab/>
        </w:r>
        <w:r w:rsidR="007105D3">
          <w:rPr>
            <w:noProof/>
            <w:webHidden/>
          </w:rPr>
          <w:fldChar w:fldCharType="begin"/>
        </w:r>
        <w:r w:rsidR="007105D3">
          <w:rPr>
            <w:noProof/>
            <w:webHidden/>
          </w:rPr>
          <w:instrText xml:space="preserve"> PAGEREF _Toc165627813 \h </w:instrText>
        </w:r>
        <w:r w:rsidR="007105D3">
          <w:rPr>
            <w:noProof/>
            <w:webHidden/>
          </w:rPr>
        </w:r>
        <w:r w:rsidR="007105D3">
          <w:rPr>
            <w:noProof/>
            <w:webHidden/>
          </w:rPr>
          <w:fldChar w:fldCharType="separate"/>
        </w:r>
        <w:r w:rsidR="007105D3">
          <w:rPr>
            <w:noProof/>
            <w:webHidden/>
          </w:rPr>
          <w:t>16</w:t>
        </w:r>
        <w:r w:rsidR="007105D3">
          <w:rPr>
            <w:noProof/>
            <w:webHidden/>
          </w:rPr>
          <w:fldChar w:fldCharType="end"/>
        </w:r>
      </w:hyperlink>
    </w:p>
    <w:p w14:paraId="18700B3F" w14:textId="31AB1FA7"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14" w:history="1">
        <w:r w:rsidR="007105D3" w:rsidRPr="003A7597">
          <w:rPr>
            <w:rStyle w:val="Hyperlink"/>
            <w:noProof/>
          </w:rPr>
          <w:t>1.2.2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Undertaking the post-listing review</w:t>
        </w:r>
        <w:r w:rsidR="007105D3">
          <w:rPr>
            <w:noProof/>
            <w:webHidden/>
          </w:rPr>
          <w:tab/>
        </w:r>
        <w:r w:rsidR="007105D3">
          <w:rPr>
            <w:noProof/>
            <w:webHidden/>
          </w:rPr>
          <w:fldChar w:fldCharType="begin"/>
        </w:r>
        <w:r w:rsidR="007105D3">
          <w:rPr>
            <w:noProof/>
            <w:webHidden/>
          </w:rPr>
          <w:instrText xml:space="preserve"> PAGEREF _Toc165627814 \h </w:instrText>
        </w:r>
        <w:r w:rsidR="007105D3">
          <w:rPr>
            <w:noProof/>
            <w:webHidden/>
          </w:rPr>
        </w:r>
        <w:r w:rsidR="007105D3">
          <w:rPr>
            <w:noProof/>
            <w:webHidden/>
          </w:rPr>
          <w:fldChar w:fldCharType="separate"/>
        </w:r>
        <w:r w:rsidR="007105D3">
          <w:rPr>
            <w:noProof/>
            <w:webHidden/>
          </w:rPr>
          <w:t>17</w:t>
        </w:r>
        <w:r w:rsidR="007105D3">
          <w:rPr>
            <w:noProof/>
            <w:webHidden/>
          </w:rPr>
          <w:fldChar w:fldCharType="end"/>
        </w:r>
      </w:hyperlink>
    </w:p>
    <w:p w14:paraId="1D6C3EF0" w14:textId="053F7967"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15" w:history="1">
        <w:r w:rsidR="007105D3" w:rsidRPr="003A7597">
          <w:rPr>
            <w:rStyle w:val="Hyperlink"/>
          </w:rPr>
          <w:t>1.3</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Mid-urethral slings for stress urinary incontinence</w:t>
        </w:r>
        <w:r w:rsidR="007105D3">
          <w:rPr>
            <w:webHidden/>
          </w:rPr>
          <w:tab/>
        </w:r>
        <w:r w:rsidR="007105D3">
          <w:rPr>
            <w:webHidden/>
          </w:rPr>
          <w:fldChar w:fldCharType="begin"/>
        </w:r>
        <w:r w:rsidR="007105D3">
          <w:rPr>
            <w:webHidden/>
          </w:rPr>
          <w:instrText xml:space="preserve"> PAGEREF _Toc165627815 \h </w:instrText>
        </w:r>
        <w:r w:rsidR="007105D3">
          <w:rPr>
            <w:webHidden/>
          </w:rPr>
        </w:r>
        <w:r w:rsidR="007105D3">
          <w:rPr>
            <w:webHidden/>
          </w:rPr>
          <w:fldChar w:fldCharType="separate"/>
        </w:r>
        <w:r w:rsidR="007105D3">
          <w:rPr>
            <w:webHidden/>
          </w:rPr>
          <w:t>18</w:t>
        </w:r>
        <w:r w:rsidR="007105D3">
          <w:rPr>
            <w:webHidden/>
          </w:rPr>
          <w:fldChar w:fldCharType="end"/>
        </w:r>
      </w:hyperlink>
    </w:p>
    <w:p w14:paraId="5CB748DD" w14:textId="528D9AE3"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16" w:history="1">
        <w:r w:rsidR="007105D3" w:rsidRPr="003A7597">
          <w:rPr>
            <w:rStyle w:val="Hyperlink"/>
            <w:noProof/>
          </w:rPr>
          <w:t>1.3.1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Description of the condition</w:t>
        </w:r>
        <w:r w:rsidR="007105D3">
          <w:rPr>
            <w:noProof/>
            <w:webHidden/>
          </w:rPr>
          <w:tab/>
        </w:r>
        <w:r w:rsidR="007105D3">
          <w:rPr>
            <w:noProof/>
            <w:webHidden/>
          </w:rPr>
          <w:fldChar w:fldCharType="begin"/>
        </w:r>
        <w:r w:rsidR="007105D3">
          <w:rPr>
            <w:noProof/>
            <w:webHidden/>
          </w:rPr>
          <w:instrText xml:space="preserve"> PAGEREF _Toc165627816 \h </w:instrText>
        </w:r>
        <w:r w:rsidR="007105D3">
          <w:rPr>
            <w:noProof/>
            <w:webHidden/>
          </w:rPr>
        </w:r>
        <w:r w:rsidR="007105D3">
          <w:rPr>
            <w:noProof/>
            <w:webHidden/>
          </w:rPr>
          <w:fldChar w:fldCharType="separate"/>
        </w:r>
        <w:r w:rsidR="007105D3">
          <w:rPr>
            <w:noProof/>
            <w:webHidden/>
          </w:rPr>
          <w:t>18</w:t>
        </w:r>
        <w:r w:rsidR="007105D3">
          <w:rPr>
            <w:noProof/>
            <w:webHidden/>
          </w:rPr>
          <w:fldChar w:fldCharType="end"/>
        </w:r>
      </w:hyperlink>
    </w:p>
    <w:p w14:paraId="7E7331A7" w14:textId="2B43462C"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17" w:history="1">
        <w:r w:rsidR="007105D3" w:rsidRPr="003A7597">
          <w:rPr>
            <w:rStyle w:val="Hyperlink"/>
            <w:noProof/>
          </w:rPr>
          <w:t>1.3.2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Description of the intervention</w:t>
        </w:r>
        <w:r w:rsidR="007105D3">
          <w:rPr>
            <w:noProof/>
            <w:webHidden/>
          </w:rPr>
          <w:tab/>
        </w:r>
        <w:r w:rsidR="007105D3">
          <w:rPr>
            <w:noProof/>
            <w:webHidden/>
          </w:rPr>
          <w:fldChar w:fldCharType="begin"/>
        </w:r>
        <w:r w:rsidR="007105D3">
          <w:rPr>
            <w:noProof/>
            <w:webHidden/>
          </w:rPr>
          <w:instrText xml:space="preserve"> PAGEREF _Toc165627817 \h </w:instrText>
        </w:r>
        <w:r w:rsidR="007105D3">
          <w:rPr>
            <w:noProof/>
            <w:webHidden/>
          </w:rPr>
        </w:r>
        <w:r w:rsidR="007105D3">
          <w:rPr>
            <w:noProof/>
            <w:webHidden/>
          </w:rPr>
          <w:fldChar w:fldCharType="separate"/>
        </w:r>
        <w:r w:rsidR="007105D3">
          <w:rPr>
            <w:noProof/>
            <w:webHidden/>
          </w:rPr>
          <w:t>18</w:t>
        </w:r>
        <w:r w:rsidR="007105D3">
          <w:rPr>
            <w:noProof/>
            <w:webHidden/>
          </w:rPr>
          <w:fldChar w:fldCharType="end"/>
        </w:r>
      </w:hyperlink>
    </w:p>
    <w:p w14:paraId="2444DF09" w14:textId="687451B9"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18" w:history="1">
        <w:r w:rsidR="007105D3" w:rsidRPr="003A7597">
          <w:rPr>
            <w:rStyle w:val="Hyperlink"/>
            <w:noProof/>
          </w:rPr>
          <w:t>1.3.3</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Description of the comparators</w:t>
        </w:r>
        <w:r w:rsidR="007105D3">
          <w:rPr>
            <w:noProof/>
            <w:webHidden/>
          </w:rPr>
          <w:tab/>
        </w:r>
        <w:r w:rsidR="007105D3">
          <w:rPr>
            <w:noProof/>
            <w:webHidden/>
          </w:rPr>
          <w:fldChar w:fldCharType="begin"/>
        </w:r>
        <w:r w:rsidR="007105D3">
          <w:rPr>
            <w:noProof/>
            <w:webHidden/>
          </w:rPr>
          <w:instrText xml:space="preserve"> PAGEREF _Toc165627818 \h </w:instrText>
        </w:r>
        <w:r w:rsidR="007105D3">
          <w:rPr>
            <w:noProof/>
            <w:webHidden/>
          </w:rPr>
        </w:r>
        <w:r w:rsidR="007105D3">
          <w:rPr>
            <w:noProof/>
            <w:webHidden/>
          </w:rPr>
          <w:fldChar w:fldCharType="separate"/>
        </w:r>
        <w:r w:rsidR="007105D3">
          <w:rPr>
            <w:noProof/>
            <w:webHidden/>
          </w:rPr>
          <w:t>21</w:t>
        </w:r>
        <w:r w:rsidR="007105D3">
          <w:rPr>
            <w:noProof/>
            <w:webHidden/>
          </w:rPr>
          <w:fldChar w:fldCharType="end"/>
        </w:r>
      </w:hyperlink>
    </w:p>
    <w:p w14:paraId="012D306B" w14:textId="25412B35"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19" w:history="1">
        <w:r w:rsidR="007105D3" w:rsidRPr="003A7597">
          <w:rPr>
            <w:rStyle w:val="Hyperlink"/>
            <w:noProof/>
          </w:rPr>
          <w:t>2</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Comparative clinical effectiveness</w:t>
        </w:r>
        <w:r w:rsidR="007105D3">
          <w:rPr>
            <w:noProof/>
            <w:webHidden/>
          </w:rPr>
          <w:tab/>
        </w:r>
        <w:r w:rsidR="007105D3">
          <w:rPr>
            <w:noProof/>
            <w:webHidden/>
          </w:rPr>
          <w:fldChar w:fldCharType="begin"/>
        </w:r>
        <w:r w:rsidR="007105D3">
          <w:rPr>
            <w:noProof/>
            <w:webHidden/>
          </w:rPr>
          <w:instrText xml:space="preserve"> PAGEREF _Toc165627819 \h </w:instrText>
        </w:r>
        <w:r w:rsidR="007105D3">
          <w:rPr>
            <w:noProof/>
            <w:webHidden/>
          </w:rPr>
        </w:r>
        <w:r w:rsidR="007105D3">
          <w:rPr>
            <w:noProof/>
            <w:webHidden/>
          </w:rPr>
          <w:fldChar w:fldCharType="separate"/>
        </w:r>
        <w:r w:rsidR="007105D3">
          <w:rPr>
            <w:noProof/>
            <w:webHidden/>
          </w:rPr>
          <w:t>22</w:t>
        </w:r>
        <w:r w:rsidR="007105D3">
          <w:rPr>
            <w:noProof/>
            <w:webHidden/>
          </w:rPr>
          <w:fldChar w:fldCharType="end"/>
        </w:r>
      </w:hyperlink>
    </w:p>
    <w:p w14:paraId="3DA72BAC" w14:textId="1198291C"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20" w:history="1">
        <w:r w:rsidR="007105D3" w:rsidRPr="003A7597">
          <w:rPr>
            <w:rStyle w:val="Hyperlink"/>
          </w:rPr>
          <w:t>2.1</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Methodology</w:t>
        </w:r>
        <w:r w:rsidR="007105D3">
          <w:rPr>
            <w:webHidden/>
          </w:rPr>
          <w:tab/>
        </w:r>
        <w:r w:rsidR="007105D3">
          <w:rPr>
            <w:webHidden/>
          </w:rPr>
          <w:fldChar w:fldCharType="begin"/>
        </w:r>
        <w:r w:rsidR="007105D3">
          <w:rPr>
            <w:webHidden/>
          </w:rPr>
          <w:instrText xml:space="preserve"> PAGEREF _Toc165627820 \h </w:instrText>
        </w:r>
        <w:r w:rsidR="007105D3">
          <w:rPr>
            <w:webHidden/>
          </w:rPr>
        </w:r>
        <w:r w:rsidR="007105D3">
          <w:rPr>
            <w:webHidden/>
          </w:rPr>
          <w:fldChar w:fldCharType="separate"/>
        </w:r>
        <w:r w:rsidR="007105D3">
          <w:rPr>
            <w:webHidden/>
          </w:rPr>
          <w:t>22</w:t>
        </w:r>
        <w:r w:rsidR="007105D3">
          <w:rPr>
            <w:webHidden/>
          </w:rPr>
          <w:fldChar w:fldCharType="end"/>
        </w:r>
      </w:hyperlink>
    </w:p>
    <w:p w14:paraId="5143452B" w14:textId="46E66116"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21" w:history="1">
        <w:r w:rsidR="007105D3" w:rsidRPr="003A7597">
          <w:rPr>
            <w:rStyle w:val="Hyperlink"/>
          </w:rPr>
          <w:t>2.2</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Summary of evidence for clinical effectiveness</w:t>
        </w:r>
        <w:r w:rsidR="007105D3">
          <w:rPr>
            <w:webHidden/>
          </w:rPr>
          <w:tab/>
        </w:r>
        <w:r w:rsidR="007105D3">
          <w:rPr>
            <w:webHidden/>
          </w:rPr>
          <w:fldChar w:fldCharType="begin"/>
        </w:r>
        <w:r w:rsidR="007105D3">
          <w:rPr>
            <w:webHidden/>
          </w:rPr>
          <w:instrText xml:space="preserve"> PAGEREF _Toc165627821 \h </w:instrText>
        </w:r>
        <w:r w:rsidR="007105D3">
          <w:rPr>
            <w:webHidden/>
          </w:rPr>
        </w:r>
        <w:r w:rsidR="007105D3">
          <w:rPr>
            <w:webHidden/>
          </w:rPr>
          <w:fldChar w:fldCharType="separate"/>
        </w:r>
        <w:r w:rsidR="007105D3">
          <w:rPr>
            <w:webHidden/>
          </w:rPr>
          <w:t>22</w:t>
        </w:r>
        <w:r w:rsidR="007105D3">
          <w:rPr>
            <w:webHidden/>
          </w:rPr>
          <w:fldChar w:fldCharType="end"/>
        </w:r>
      </w:hyperlink>
    </w:p>
    <w:p w14:paraId="1CC16634" w14:textId="0E051B73"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22" w:history="1">
        <w:r w:rsidR="007105D3" w:rsidRPr="003A7597">
          <w:rPr>
            <w:rStyle w:val="Hyperlink"/>
            <w:noProof/>
          </w:rPr>
          <w:t>2.2.1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Systematic review (NICE Guideline NG123)</w:t>
        </w:r>
        <w:r w:rsidR="007105D3">
          <w:rPr>
            <w:noProof/>
            <w:webHidden/>
          </w:rPr>
          <w:tab/>
        </w:r>
        <w:r w:rsidR="007105D3">
          <w:rPr>
            <w:noProof/>
            <w:webHidden/>
          </w:rPr>
          <w:fldChar w:fldCharType="begin"/>
        </w:r>
        <w:r w:rsidR="007105D3">
          <w:rPr>
            <w:noProof/>
            <w:webHidden/>
          </w:rPr>
          <w:instrText xml:space="preserve"> PAGEREF _Toc165627822 \h </w:instrText>
        </w:r>
        <w:r w:rsidR="007105D3">
          <w:rPr>
            <w:noProof/>
            <w:webHidden/>
          </w:rPr>
        </w:r>
        <w:r w:rsidR="007105D3">
          <w:rPr>
            <w:noProof/>
            <w:webHidden/>
          </w:rPr>
          <w:fldChar w:fldCharType="separate"/>
        </w:r>
        <w:r w:rsidR="007105D3">
          <w:rPr>
            <w:noProof/>
            <w:webHidden/>
          </w:rPr>
          <w:t>22</w:t>
        </w:r>
        <w:r w:rsidR="007105D3">
          <w:rPr>
            <w:noProof/>
            <w:webHidden/>
          </w:rPr>
          <w:fldChar w:fldCharType="end"/>
        </w:r>
      </w:hyperlink>
    </w:p>
    <w:p w14:paraId="427A9BBA" w14:textId="49A85F6F"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23" w:history="1">
        <w:r w:rsidR="007105D3" w:rsidRPr="003A7597">
          <w:rPr>
            <w:rStyle w:val="Hyperlink"/>
            <w:noProof/>
          </w:rPr>
          <w:t>2.2.2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Network meta-analysis (Brazzelli 2019)</w:t>
        </w:r>
        <w:r w:rsidR="007105D3">
          <w:rPr>
            <w:noProof/>
            <w:webHidden/>
          </w:rPr>
          <w:tab/>
        </w:r>
        <w:r w:rsidR="007105D3">
          <w:rPr>
            <w:noProof/>
            <w:webHidden/>
          </w:rPr>
          <w:fldChar w:fldCharType="begin"/>
        </w:r>
        <w:r w:rsidR="007105D3">
          <w:rPr>
            <w:noProof/>
            <w:webHidden/>
          </w:rPr>
          <w:instrText xml:space="preserve"> PAGEREF _Toc165627823 \h </w:instrText>
        </w:r>
        <w:r w:rsidR="007105D3">
          <w:rPr>
            <w:noProof/>
            <w:webHidden/>
          </w:rPr>
        </w:r>
        <w:r w:rsidR="007105D3">
          <w:rPr>
            <w:noProof/>
            <w:webHidden/>
          </w:rPr>
          <w:fldChar w:fldCharType="separate"/>
        </w:r>
        <w:r w:rsidR="007105D3">
          <w:rPr>
            <w:noProof/>
            <w:webHidden/>
          </w:rPr>
          <w:t>29</w:t>
        </w:r>
        <w:r w:rsidR="007105D3">
          <w:rPr>
            <w:noProof/>
            <w:webHidden/>
          </w:rPr>
          <w:fldChar w:fldCharType="end"/>
        </w:r>
      </w:hyperlink>
    </w:p>
    <w:p w14:paraId="74B5094E" w14:textId="5501FF54"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24" w:history="1">
        <w:r w:rsidR="007105D3" w:rsidRPr="003A7597">
          <w:rPr>
            <w:rStyle w:val="Hyperlink"/>
          </w:rPr>
          <w:t>2.3</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Summary of evidence for long-term complications</w:t>
        </w:r>
        <w:r w:rsidR="007105D3">
          <w:rPr>
            <w:webHidden/>
          </w:rPr>
          <w:tab/>
        </w:r>
        <w:r w:rsidR="007105D3">
          <w:rPr>
            <w:webHidden/>
          </w:rPr>
          <w:fldChar w:fldCharType="begin"/>
        </w:r>
        <w:r w:rsidR="007105D3">
          <w:rPr>
            <w:webHidden/>
          </w:rPr>
          <w:instrText xml:space="preserve"> PAGEREF _Toc165627824 \h </w:instrText>
        </w:r>
        <w:r w:rsidR="007105D3">
          <w:rPr>
            <w:webHidden/>
          </w:rPr>
        </w:r>
        <w:r w:rsidR="007105D3">
          <w:rPr>
            <w:webHidden/>
          </w:rPr>
          <w:fldChar w:fldCharType="separate"/>
        </w:r>
        <w:r w:rsidR="007105D3">
          <w:rPr>
            <w:webHidden/>
          </w:rPr>
          <w:t>32</w:t>
        </w:r>
        <w:r w:rsidR="007105D3">
          <w:rPr>
            <w:webHidden/>
          </w:rPr>
          <w:fldChar w:fldCharType="end"/>
        </w:r>
      </w:hyperlink>
    </w:p>
    <w:p w14:paraId="6032F443" w14:textId="3B81DBB3"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25" w:history="1">
        <w:r w:rsidR="007105D3" w:rsidRPr="003A7597">
          <w:rPr>
            <w:rStyle w:val="Hyperlink"/>
            <w:noProof/>
          </w:rPr>
          <w:t>2.3.1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Systematic review (NICE Guideline NG123)</w:t>
        </w:r>
        <w:r w:rsidR="007105D3">
          <w:rPr>
            <w:noProof/>
            <w:webHidden/>
          </w:rPr>
          <w:tab/>
        </w:r>
        <w:r w:rsidR="007105D3">
          <w:rPr>
            <w:noProof/>
            <w:webHidden/>
          </w:rPr>
          <w:fldChar w:fldCharType="begin"/>
        </w:r>
        <w:r w:rsidR="007105D3">
          <w:rPr>
            <w:noProof/>
            <w:webHidden/>
          </w:rPr>
          <w:instrText xml:space="preserve"> PAGEREF _Toc165627825 \h </w:instrText>
        </w:r>
        <w:r w:rsidR="007105D3">
          <w:rPr>
            <w:noProof/>
            <w:webHidden/>
          </w:rPr>
        </w:r>
        <w:r w:rsidR="007105D3">
          <w:rPr>
            <w:noProof/>
            <w:webHidden/>
          </w:rPr>
          <w:fldChar w:fldCharType="separate"/>
        </w:r>
        <w:r w:rsidR="007105D3">
          <w:rPr>
            <w:noProof/>
            <w:webHidden/>
          </w:rPr>
          <w:t>32</w:t>
        </w:r>
        <w:r w:rsidR="007105D3">
          <w:rPr>
            <w:noProof/>
            <w:webHidden/>
          </w:rPr>
          <w:fldChar w:fldCharType="end"/>
        </w:r>
      </w:hyperlink>
    </w:p>
    <w:p w14:paraId="1DD1A328" w14:textId="4C3DFA14"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26" w:history="1">
        <w:r w:rsidR="007105D3" w:rsidRPr="003A7597">
          <w:rPr>
            <w:rStyle w:val="Hyperlink"/>
            <w:noProof/>
          </w:rPr>
          <w:t>2.3.2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Primary studies</w:t>
        </w:r>
        <w:r w:rsidR="007105D3">
          <w:rPr>
            <w:noProof/>
            <w:webHidden/>
          </w:rPr>
          <w:tab/>
        </w:r>
        <w:r w:rsidR="007105D3">
          <w:rPr>
            <w:noProof/>
            <w:webHidden/>
          </w:rPr>
          <w:fldChar w:fldCharType="begin"/>
        </w:r>
        <w:r w:rsidR="007105D3">
          <w:rPr>
            <w:noProof/>
            <w:webHidden/>
          </w:rPr>
          <w:instrText xml:space="preserve"> PAGEREF _Toc165627826 \h </w:instrText>
        </w:r>
        <w:r w:rsidR="007105D3">
          <w:rPr>
            <w:noProof/>
            <w:webHidden/>
          </w:rPr>
        </w:r>
        <w:r w:rsidR="007105D3">
          <w:rPr>
            <w:noProof/>
            <w:webHidden/>
          </w:rPr>
          <w:fldChar w:fldCharType="separate"/>
        </w:r>
        <w:r w:rsidR="007105D3">
          <w:rPr>
            <w:noProof/>
            <w:webHidden/>
          </w:rPr>
          <w:t>34</w:t>
        </w:r>
        <w:r w:rsidR="007105D3">
          <w:rPr>
            <w:noProof/>
            <w:webHidden/>
          </w:rPr>
          <w:fldChar w:fldCharType="end"/>
        </w:r>
      </w:hyperlink>
    </w:p>
    <w:p w14:paraId="0E6CEFD4" w14:textId="36DD9402"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27" w:history="1">
        <w:r w:rsidR="007105D3" w:rsidRPr="003A7597">
          <w:rPr>
            <w:rStyle w:val="Hyperlink"/>
            <w:noProof/>
          </w:rPr>
          <w:t>2.3.3</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Health Canada summary safety review (2022)</w:t>
        </w:r>
        <w:r w:rsidR="007105D3">
          <w:rPr>
            <w:noProof/>
            <w:webHidden/>
          </w:rPr>
          <w:tab/>
        </w:r>
        <w:r w:rsidR="007105D3">
          <w:rPr>
            <w:noProof/>
            <w:webHidden/>
          </w:rPr>
          <w:fldChar w:fldCharType="begin"/>
        </w:r>
        <w:r w:rsidR="007105D3">
          <w:rPr>
            <w:noProof/>
            <w:webHidden/>
          </w:rPr>
          <w:instrText xml:space="preserve"> PAGEREF _Toc165627827 \h </w:instrText>
        </w:r>
        <w:r w:rsidR="007105D3">
          <w:rPr>
            <w:noProof/>
            <w:webHidden/>
          </w:rPr>
        </w:r>
        <w:r w:rsidR="007105D3">
          <w:rPr>
            <w:noProof/>
            <w:webHidden/>
          </w:rPr>
          <w:fldChar w:fldCharType="separate"/>
        </w:r>
        <w:r w:rsidR="007105D3">
          <w:rPr>
            <w:noProof/>
            <w:webHidden/>
          </w:rPr>
          <w:t>34</w:t>
        </w:r>
        <w:r w:rsidR="007105D3">
          <w:rPr>
            <w:noProof/>
            <w:webHidden/>
          </w:rPr>
          <w:fldChar w:fldCharType="end"/>
        </w:r>
      </w:hyperlink>
    </w:p>
    <w:p w14:paraId="043957A2" w14:textId="4534C36F"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28" w:history="1">
        <w:r w:rsidR="007105D3" w:rsidRPr="003A7597">
          <w:rPr>
            <w:rStyle w:val="Hyperlink"/>
            <w:noProof/>
          </w:rPr>
          <w:t>3</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Clinical practice guidelines and regulatory advice</w:t>
        </w:r>
        <w:r w:rsidR="007105D3">
          <w:rPr>
            <w:noProof/>
            <w:webHidden/>
          </w:rPr>
          <w:tab/>
        </w:r>
        <w:r w:rsidR="007105D3">
          <w:rPr>
            <w:noProof/>
            <w:webHidden/>
          </w:rPr>
          <w:fldChar w:fldCharType="begin"/>
        </w:r>
        <w:r w:rsidR="007105D3">
          <w:rPr>
            <w:noProof/>
            <w:webHidden/>
          </w:rPr>
          <w:instrText xml:space="preserve"> PAGEREF _Toc165627828 \h </w:instrText>
        </w:r>
        <w:r w:rsidR="007105D3">
          <w:rPr>
            <w:noProof/>
            <w:webHidden/>
          </w:rPr>
        </w:r>
        <w:r w:rsidR="007105D3">
          <w:rPr>
            <w:noProof/>
            <w:webHidden/>
          </w:rPr>
          <w:fldChar w:fldCharType="separate"/>
        </w:r>
        <w:r w:rsidR="007105D3">
          <w:rPr>
            <w:noProof/>
            <w:webHidden/>
          </w:rPr>
          <w:t>35</w:t>
        </w:r>
        <w:r w:rsidR="007105D3">
          <w:rPr>
            <w:noProof/>
            <w:webHidden/>
          </w:rPr>
          <w:fldChar w:fldCharType="end"/>
        </w:r>
      </w:hyperlink>
    </w:p>
    <w:p w14:paraId="26E39D7F" w14:textId="7DDCAC49"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29" w:history="1">
        <w:r w:rsidR="007105D3" w:rsidRPr="003A7597">
          <w:rPr>
            <w:rStyle w:val="Hyperlink"/>
          </w:rPr>
          <w:t>3.1</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Methodology</w:t>
        </w:r>
        <w:r w:rsidR="007105D3">
          <w:rPr>
            <w:webHidden/>
          </w:rPr>
          <w:tab/>
        </w:r>
        <w:r w:rsidR="007105D3">
          <w:rPr>
            <w:webHidden/>
          </w:rPr>
          <w:fldChar w:fldCharType="begin"/>
        </w:r>
        <w:r w:rsidR="007105D3">
          <w:rPr>
            <w:webHidden/>
          </w:rPr>
          <w:instrText xml:space="preserve"> PAGEREF _Toc165627829 \h </w:instrText>
        </w:r>
        <w:r w:rsidR="007105D3">
          <w:rPr>
            <w:webHidden/>
          </w:rPr>
        </w:r>
        <w:r w:rsidR="007105D3">
          <w:rPr>
            <w:webHidden/>
          </w:rPr>
          <w:fldChar w:fldCharType="separate"/>
        </w:r>
        <w:r w:rsidR="007105D3">
          <w:rPr>
            <w:webHidden/>
          </w:rPr>
          <w:t>35</w:t>
        </w:r>
        <w:r w:rsidR="007105D3">
          <w:rPr>
            <w:webHidden/>
          </w:rPr>
          <w:fldChar w:fldCharType="end"/>
        </w:r>
      </w:hyperlink>
    </w:p>
    <w:p w14:paraId="051DDB18" w14:textId="14F17947"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30" w:history="1">
        <w:r w:rsidR="007105D3" w:rsidRPr="003A7597">
          <w:rPr>
            <w:rStyle w:val="Hyperlink"/>
          </w:rPr>
          <w:t>3.2</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Clinical practice guidelines and position statements</w:t>
        </w:r>
        <w:r w:rsidR="007105D3">
          <w:rPr>
            <w:webHidden/>
          </w:rPr>
          <w:tab/>
        </w:r>
        <w:r w:rsidR="007105D3">
          <w:rPr>
            <w:webHidden/>
          </w:rPr>
          <w:fldChar w:fldCharType="begin"/>
        </w:r>
        <w:r w:rsidR="007105D3">
          <w:rPr>
            <w:webHidden/>
          </w:rPr>
          <w:instrText xml:space="preserve"> PAGEREF _Toc165627830 \h </w:instrText>
        </w:r>
        <w:r w:rsidR="007105D3">
          <w:rPr>
            <w:webHidden/>
          </w:rPr>
        </w:r>
        <w:r w:rsidR="007105D3">
          <w:rPr>
            <w:webHidden/>
          </w:rPr>
          <w:fldChar w:fldCharType="separate"/>
        </w:r>
        <w:r w:rsidR="007105D3">
          <w:rPr>
            <w:webHidden/>
          </w:rPr>
          <w:t>35</w:t>
        </w:r>
        <w:r w:rsidR="007105D3">
          <w:rPr>
            <w:webHidden/>
          </w:rPr>
          <w:fldChar w:fldCharType="end"/>
        </w:r>
      </w:hyperlink>
    </w:p>
    <w:p w14:paraId="656AE5E8" w14:textId="12445DB6"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31" w:history="1">
        <w:r w:rsidR="007105D3" w:rsidRPr="003A7597">
          <w:rPr>
            <w:rStyle w:val="Hyperlink"/>
            <w:noProof/>
          </w:rPr>
          <w:t>3.2.1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EAU Guidelines on management of non-neurogenic female lower urinary tract symptoms (2023)</w:t>
        </w:r>
        <w:r w:rsidR="007105D3">
          <w:rPr>
            <w:noProof/>
            <w:webHidden/>
          </w:rPr>
          <w:tab/>
        </w:r>
        <w:r w:rsidR="007105D3">
          <w:rPr>
            <w:noProof/>
            <w:webHidden/>
          </w:rPr>
          <w:fldChar w:fldCharType="begin"/>
        </w:r>
        <w:r w:rsidR="007105D3">
          <w:rPr>
            <w:noProof/>
            <w:webHidden/>
          </w:rPr>
          <w:instrText xml:space="preserve"> PAGEREF _Toc165627831 \h </w:instrText>
        </w:r>
        <w:r w:rsidR="007105D3">
          <w:rPr>
            <w:noProof/>
            <w:webHidden/>
          </w:rPr>
        </w:r>
        <w:r w:rsidR="007105D3">
          <w:rPr>
            <w:noProof/>
            <w:webHidden/>
          </w:rPr>
          <w:fldChar w:fldCharType="separate"/>
        </w:r>
        <w:r w:rsidR="007105D3">
          <w:rPr>
            <w:noProof/>
            <w:webHidden/>
          </w:rPr>
          <w:t>35</w:t>
        </w:r>
        <w:r w:rsidR="007105D3">
          <w:rPr>
            <w:noProof/>
            <w:webHidden/>
          </w:rPr>
          <w:fldChar w:fldCharType="end"/>
        </w:r>
      </w:hyperlink>
    </w:p>
    <w:p w14:paraId="5102EC57" w14:textId="6E046574"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32" w:history="1">
        <w:r w:rsidR="007105D3" w:rsidRPr="003A7597">
          <w:rPr>
            <w:rStyle w:val="Hyperlink"/>
            <w:noProof/>
          </w:rPr>
          <w:t>3.2.2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FIGO recommendations: use of midurethral slings for the treatment of stress urinary incontinence (2023)</w:t>
        </w:r>
        <w:r w:rsidR="007105D3">
          <w:rPr>
            <w:noProof/>
            <w:webHidden/>
          </w:rPr>
          <w:tab/>
        </w:r>
        <w:r w:rsidR="007105D3">
          <w:rPr>
            <w:noProof/>
            <w:webHidden/>
          </w:rPr>
          <w:fldChar w:fldCharType="begin"/>
        </w:r>
        <w:r w:rsidR="007105D3">
          <w:rPr>
            <w:noProof/>
            <w:webHidden/>
          </w:rPr>
          <w:instrText xml:space="preserve"> PAGEREF _Toc165627832 \h </w:instrText>
        </w:r>
        <w:r w:rsidR="007105D3">
          <w:rPr>
            <w:noProof/>
            <w:webHidden/>
          </w:rPr>
        </w:r>
        <w:r w:rsidR="007105D3">
          <w:rPr>
            <w:noProof/>
            <w:webHidden/>
          </w:rPr>
          <w:fldChar w:fldCharType="separate"/>
        </w:r>
        <w:r w:rsidR="007105D3">
          <w:rPr>
            <w:noProof/>
            <w:webHidden/>
          </w:rPr>
          <w:t>36</w:t>
        </w:r>
        <w:r w:rsidR="007105D3">
          <w:rPr>
            <w:noProof/>
            <w:webHidden/>
          </w:rPr>
          <w:fldChar w:fldCharType="end"/>
        </w:r>
      </w:hyperlink>
    </w:p>
    <w:p w14:paraId="7831B77E" w14:textId="6D26E3F6"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33" w:history="1">
        <w:r w:rsidR="007105D3" w:rsidRPr="003A7597">
          <w:rPr>
            <w:rStyle w:val="Hyperlink"/>
            <w:noProof/>
          </w:rPr>
          <w:t>3.2.3</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NICE Guideline [NG123]</w:t>
        </w:r>
        <w:r w:rsidR="007105D3">
          <w:rPr>
            <w:noProof/>
            <w:webHidden/>
          </w:rPr>
          <w:tab/>
        </w:r>
        <w:r w:rsidR="007105D3">
          <w:rPr>
            <w:noProof/>
            <w:webHidden/>
          </w:rPr>
          <w:fldChar w:fldCharType="begin"/>
        </w:r>
        <w:r w:rsidR="007105D3">
          <w:rPr>
            <w:noProof/>
            <w:webHidden/>
          </w:rPr>
          <w:instrText xml:space="preserve"> PAGEREF _Toc165627833 \h </w:instrText>
        </w:r>
        <w:r w:rsidR="007105D3">
          <w:rPr>
            <w:noProof/>
            <w:webHidden/>
          </w:rPr>
        </w:r>
        <w:r w:rsidR="007105D3">
          <w:rPr>
            <w:noProof/>
            <w:webHidden/>
          </w:rPr>
          <w:fldChar w:fldCharType="separate"/>
        </w:r>
        <w:r w:rsidR="007105D3">
          <w:rPr>
            <w:noProof/>
            <w:webHidden/>
          </w:rPr>
          <w:t>36</w:t>
        </w:r>
        <w:r w:rsidR="007105D3">
          <w:rPr>
            <w:noProof/>
            <w:webHidden/>
          </w:rPr>
          <w:fldChar w:fldCharType="end"/>
        </w:r>
      </w:hyperlink>
    </w:p>
    <w:p w14:paraId="26596093" w14:textId="68661FBE"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34" w:history="1">
        <w:r w:rsidR="007105D3" w:rsidRPr="003A7597">
          <w:rPr>
            <w:rStyle w:val="Hyperlink"/>
          </w:rPr>
          <w:t>3.3</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Regulatory advice</w:t>
        </w:r>
        <w:r w:rsidR="007105D3">
          <w:rPr>
            <w:webHidden/>
          </w:rPr>
          <w:tab/>
        </w:r>
        <w:r w:rsidR="007105D3">
          <w:rPr>
            <w:webHidden/>
          </w:rPr>
          <w:fldChar w:fldCharType="begin"/>
        </w:r>
        <w:r w:rsidR="007105D3">
          <w:rPr>
            <w:webHidden/>
          </w:rPr>
          <w:instrText xml:space="preserve"> PAGEREF _Toc165627834 \h </w:instrText>
        </w:r>
        <w:r w:rsidR="007105D3">
          <w:rPr>
            <w:webHidden/>
          </w:rPr>
        </w:r>
        <w:r w:rsidR="007105D3">
          <w:rPr>
            <w:webHidden/>
          </w:rPr>
          <w:fldChar w:fldCharType="separate"/>
        </w:r>
        <w:r w:rsidR="007105D3">
          <w:rPr>
            <w:webHidden/>
          </w:rPr>
          <w:t>37</w:t>
        </w:r>
        <w:r w:rsidR="007105D3">
          <w:rPr>
            <w:webHidden/>
          </w:rPr>
          <w:fldChar w:fldCharType="end"/>
        </w:r>
      </w:hyperlink>
    </w:p>
    <w:p w14:paraId="4DDAAE5C" w14:textId="083A6742"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35" w:history="1">
        <w:r w:rsidR="007105D3" w:rsidRPr="003A7597">
          <w:rPr>
            <w:rStyle w:val="Hyperlink"/>
            <w:noProof/>
          </w:rPr>
          <w:t>3.3.1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Health Canada</w:t>
        </w:r>
        <w:r w:rsidR="007105D3">
          <w:rPr>
            <w:noProof/>
            <w:webHidden/>
          </w:rPr>
          <w:tab/>
        </w:r>
        <w:r w:rsidR="007105D3">
          <w:rPr>
            <w:noProof/>
            <w:webHidden/>
          </w:rPr>
          <w:fldChar w:fldCharType="begin"/>
        </w:r>
        <w:r w:rsidR="007105D3">
          <w:rPr>
            <w:noProof/>
            <w:webHidden/>
          </w:rPr>
          <w:instrText xml:space="preserve"> PAGEREF _Toc165627835 \h </w:instrText>
        </w:r>
        <w:r w:rsidR="007105D3">
          <w:rPr>
            <w:noProof/>
            <w:webHidden/>
          </w:rPr>
        </w:r>
        <w:r w:rsidR="007105D3">
          <w:rPr>
            <w:noProof/>
            <w:webHidden/>
          </w:rPr>
          <w:fldChar w:fldCharType="separate"/>
        </w:r>
        <w:r w:rsidR="007105D3">
          <w:rPr>
            <w:noProof/>
            <w:webHidden/>
          </w:rPr>
          <w:t>37</w:t>
        </w:r>
        <w:r w:rsidR="007105D3">
          <w:rPr>
            <w:noProof/>
            <w:webHidden/>
          </w:rPr>
          <w:fldChar w:fldCharType="end"/>
        </w:r>
      </w:hyperlink>
    </w:p>
    <w:p w14:paraId="595FD9C9" w14:textId="02FA0323"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36" w:history="1">
        <w:r w:rsidR="007105D3" w:rsidRPr="003A7597">
          <w:rPr>
            <w:rStyle w:val="Hyperlink"/>
            <w:noProof/>
          </w:rPr>
          <w:t>3.3.2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Therapeutic Goods Association</w:t>
        </w:r>
        <w:r w:rsidR="007105D3">
          <w:rPr>
            <w:noProof/>
            <w:webHidden/>
          </w:rPr>
          <w:tab/>
        </w:r>
        <w:r w:rsidR="007105D3">
          <w:rPr>
            <w:noProof/>
            <w:webHidden/>
          </w:rPr>
          <w:fldChar w:fldCharType="begin"/>
        </w:r>
        <w:r w:rsidR="007105D3">
          <w:rPr>
            <w:noProof/>
            <w:webHidden/>
          </w:rPr>
          <w:instrText xml:space="preserve"> PAGEREF _Toc165627836 \h </w:instrText>
        </w:r>
        <w:r w:rsidR="007105D3">
          <w:rPr>
            <w:noProof/>
            <w:webHidden/>
          </w:rPr>
        </w:r>
        <w:r w:rsidR="007105D3">
          <w:rPr>
            <w:noProof/>
            <w:webHidden/>
          </w:rPr>
          <w:fldChar w:fldCharType="separate"/>
        </w:r>
        <w:r w:rsidR="007105D3">
          <w:rPr>
            <w:noProof/>
            <w:webHidden/>
          </w:rPr>
          <w:t>37</w:t>
        </w:r>
        <w:r w:rsidR="007105D3">
          <w:rPr>
            <w:noProof/>
            <w:webHidden/>
          </w:rPr>
          <w:fldChar w:fldCharType="end"/>
        </w:r>
      </w:hyperlink>
    </w:p>
    <w:p w14:paraId="4D32D01B" w14:textId="6468D529"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37" w:history="1">
        <w:r w:rsidR="007105D3" w:rsidRPr="003A7597">
          <w:rPr>
            <w:rStyle w:val="Hyperlink"/>
            <w:noProof/>
          </w:rPr>
          <w:t>4</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Comparative cost-effectiveness</w:t>
        </w:r>
        <w:r w:rsidR="007105D3">
          <w:rPr>
            <w:noProof/>
            <w:webHidden/>
          </w:rPr>
          <w:tab/>
        </w:r>
        <w:r w:rsidR="007105D3">
          <w:rPr>
            <w:noProof/>
            <w:webHidden/>
          </w:rPr>
          <w:fldChar w:fldCharType="begin"/>
        </w:r>
        <w:r w:rsidR="007105D3">
          <w:rPr>
            <w:noProof/>
            <w:webHidden/>
          </w:rPr>
          <w:instrText xml:space="preserve"> PAGEREF _Toc165627837 \h </w:instrText>
        </w:r>
        <w:r w:rsidR="007105D3">
          <w:rPr>
            <w:noProof/>
            <w:webHidden/>
          </w:rPr>
        </w:r>
        <w:r w:rsidR="007105D3">
          <w:rPr>
            <w:noProof/>
            <w:webHidden/>
          </w:rPr>
          <w:fldChar w:fldCharType="separate"/>
        </w:r>
        <w:r w:rsidR="007105D3">
          <w:rPr>
            <w:noProof/>
            <w:webHidden/>
          </w:rPr>
          <w:t>38</w:t>
        </w:r>
        <w:r w:rsidR="007105D3">
          <w:rPr>
            <w:noProof/>
            <w:webHidden/>
          </w:rPr>
          <w:fldChar w:fldCharType="end"/>
        </w:r>
      </w:hyperlink>
    </w:p>
    <w:p w14:paraId="31667EB7" w14:textId="27EE21BC"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38" w:history="1">
        <w:r w:rsidR="007105D3" w:rsidRPr="003A7597">
          <w:rPr>
            <w:rStyle w:val="Hyperlink"/>
          </w:rPr>
          <w:t>4.1</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Methodology</w:t>
        </w:r>
        <w:r w:rsidR="007105D3">
          <w:rPr>
            <w:webHidden/>
          </w:rPr>
          <w:tab/>
        </w:r>
        <w:r w:rsidR="007105D3">
          <w:rPr>
            <w:webHidden/>
          </w:rPr>
          <w:fldChar w:fldCharType="begin"/>
        </w:r>
        <w:r w:rsidR="007105D3">
          <w:rPr>
            <w:webHidden/>
          </w:rPr>
          <w:instrText xml:space="preserve"> PAGEREF _Toc165627838 \h </w:instrText>
        </w:r>
        <w:r w:rsidR="007105D3">
          <w:rPr>
            <w:webHidden/>
          </w:rPr>
        </w:r>
        <w:r w:rsidR="007105D3">
          <w:rPr>
            <w:webHidden/>
          </w:rPr>
          <w:fldChar w:fldCharType="separate"/>
        </w:r>
        <w:r w:rsidR="007105D3">
          <w:rPr>
            <w:webHidden/>
          </w:rPr>
          <w:t>38</w:t>
        </w:r>
        <w:r w:rsidR="007105D3">
          <w:rPr>
            <w:webHidden/>
          </w:rPr>
          <w:fldChar w:fldCharType="end"/>
        </w:r>
      </w:hyperlink>
    </w:p>
    <w:p w14:paraId="44180354" w14:textId="6B7CD4A1"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39" w:history="1">
        <w:r w:rsidR="007105D3" w:rsidRPr="003A7597">
          <w:rPr>
            <w:rStyle w:val="Hyperlink"/>
          </w:rPr>
          <w:t>4.2</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Summary of the evidence</w:t>
        </w:r>
        <w:r w:rsidR="007105D3">
          <w:rPr>
            <w:webHidden/>
          </w:rPr>
          <w:tab/>
        </w:r>
        <w:r w:rsidR="007105D3">
          <w:rPr>
            <w:webHidden/>
          </w:rPr>
          <w:fldChar w:fldCharType="begin"/>
        </w:r>
        <w:r w:rsidR="007105D3">
          <w:rPr>
            <w:webHidden/>
          </w:rPr>
          <w:instrText xml:space="preserve"> PAGEREF _Toc165627839 \h </w:instrText>
        </w:r>
        <w:r w:rsidR="007105D3">
          <w:rPr>
            <w:webHidden/>
          </w:rPr>
        </w:r>
        <w:r w:rsidR="007105D3">
          <w:rPr>
            <w:webHidden/>
          </w:rPr>
          <w:fldChar w:fldCharType="separate"/>
        </w:r>
        <w:r w:rsidR="007105D3">
          <w:rPr>
            <w:webHidden/>
          </w:rPr>
          <w:t>38</w:t>
        </w:r>
        <w:r w:rsidR="007105D3">
          <w:rPr>
            <w:webHidden/>
          </w:rPr>
          <w:fldChar w:fldCharType="end"/>
        </w:r>
      </w:hyperlink>
    </w:p>
    <w:p w14:paraId="684486FA" w14:textId="0510065F"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40" w:history="1">
        <w:r w:rsidR="007105D3" w:rsidRPr="003A7597">
          <w:rPr>
            <w:rStyle w:val="Hyperlink"/>
            <w:noProof/>
          </w:rPr>
          <w:t>4.2.1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Systematic reviews of economic evaluations</w:t>
        </w:r>
        <w:r w:rsidR="007105D3">
          <w:rPr>
            <w:noProof/>
            <w:webHidden/>
          </w:rPr>
          <w:tab/>
        </w:r>
        <w:r w:rsidR="007105D3">
          <w:rPr>
            <w:noProof/>
            <w:webHidden/>
          </w:rPr>
          <w:fldChar w:fldCharType="begin"/>
        </w:r>
        <w:r w:rsidR="007105D3">
          <w:rPr>
            <w:noProof/>
            <w:webHidden/>
          </w:rPr>
          <w:instrText xml:space="preserve"> PAGEREF _Toc165627840 \h </w:instrText>
        </w:r>
        <w:r w:rsidR="007105D3">
          <w:rPr>
            <w:noProof/>
            <w:webHidden/>
          </w:rPr>
        </w:r>
        <w:r w:rsidR="007105D3">
          <w:rPr>
            <w:noProof/>
            <w:webHidden/>
          </w:rPr>
          <w:fldChar w:fldCharType="separate"/>
        </w:r>
        <w:r w:rsidR="007105D3">
          <w:rPr>
            <w:noProof/>
            <w:webHidden/>
          </w:rPr>
          <w:t>38</w:t>
        </w:r>
        <w:r w:rsidR="007105D3">
          <w:rPr>
            <w:noProof/>
            <w:webHidden/>
          </w:rPr>
          <w:fldChar w:fldCharType="end"/>
        </w:r>
      </w:hyperlink>
    </w:p>
    <w:p w14:paraId="27FB2061" w14:textId="722D617D"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41" w:history="1">
        <w:r w:rsidR="007105D3" w:rsidRPr="003A7597">
          <w:rPr>
            <w:rStyle w:val="Hyperlink"/>
            <w:noProof/>
          </w:rPr>
          <w:t>4.2.2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Modelled economic studies</w:t>
        </w:r>
        <w:r w:rsidR="007105D3">
          <w:rPr>
            <w:noProof/>
            <w:webHidden/>
          </w:rPr>
          <w:tab/>
        </w:r>
        <w:r w:rsidR="007105D3">
          <w:rPr>
            <w:noProof/>
            <w:webHidden/>
          </w:rPr>
          <w:fldChar w:fldCharType="begin"/>
        </w:r>
        <w:r w:rsidR="007105D3">
          <w:rPr>
            <w:noProof/>
            <w:webHidden/>
          </w:rPr>
          <w:instrText xml:space="preserve"> PAGEREF _Toc165627841 \h </w:instrText>
        </w:r>
        <w:r w:rsidR="007105D3">
          <w:rPr>
            <w:noProof/>
            <w:webHidden/>
          </w:rPr>
        </w:r>
        <w:r w:rsidR="007105D3">
          <w:rPr>
            <w:noProof/>
            <w:webHidden/>
          </w:rPr>
          <w:fldChar w:fldCharType="separate"/>
        </w:r>
        <w:r w:rsidR="007105D3">
          <w:rPr>
            <w:noProof/>
            <w:webHidden/>
          </w:rPr>
          <w:t>38</w:t>
        </w:r>
        <w:r w:rsidR="007105D3">
          <w:rPr>
            <w:noProof/>
            <w:webHidden/>
          </w:rPr>
          <w:fldChar w:fldCharType="end"/>
        </w:r>
      </w:hyperlink>
    </w:p>
    <w:p w14:paraId="6815F0DE" w14:textId="55E703AD"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42" w:history="1">
        <w:r w:rsidR="007105D3" w:rsidRPr="003A7597">
          <w:rPr>
            <w:rStyle w:val="Hyperlink"/>
            <w:noProof/>
          </w:rPr>
          <w:t>4.2.3</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Trial-based economic evaluations</w:t>
        </w:r>
        <w:r w:rsidR="007105D3">
          <w:rPr>
            <w:noProof/>
            <w:webHidden/>
          </w:rPr>
          <w:tab/>
        </w:r>
        <w:r w:rsidR="007105D3">
          <w:rPr>
            <w:noProof/>
            <w:webHidden/>
          </w:rPr>
          <w:fldChar w:fldCharType="begin"/>
        </w:r>
        <w:r w:rsidR="007105D3">
          <w:rPr>
            <w:noProof/>
            <w:webHidden/>
          </w:rPr>
          <w:instrText xml:space="preserve"> PAGEREF _Toc165627842 \h </w:instrText>
        </w:r>
        <w:r w:rsidR="007105D3">
          <w:rPr>
            <w:noProof/>
            <w:webHidden/>
          </w:rPr>
        </w:r>
        <w:r w:rsidR="007105D3">
          <w:rPr>
            <w:noProof/>
            <w:webHidden/>
          </w:rPr>
          <w:fldChar w:fldCharType="separate"/>
        </w:r>
        <w:r w:rsidR="007105D3">
          <w:rPr>
            <w:noProof/>
            <w:webHidden/>
          </w:rPr>
          <w:t>45</w:t>
        </w:r>
        <w:r w:rsidR="007105D3">
          <w:rPr>
            <w:noProof/>
            <w:webHidden/>
          </w:rPr>
          <w:fldChar w:fldCharType="end"/>
        </w:r>
      </w:hyperlink>
    </w:p>
    <w:p w14:paraId="2CC6675D" w14:textId="09FD850A"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43" w:history="1">
        <w:r w:rsidR="007105D3" w:rsidRPr="003A7597">
          <w:rPr>
            <w:rStyle w:val="Hyperlink"/>
            <w:noProof/>
          </w:rPr>
          <w:t>5</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Cost analysis</w:t>
        </w:r>
        <w:r w:rsidR="007105D3">
          <w:rPr>
            <w:noProof/>
            <w:webHidden/>
          </w:rPr>
          <w:tab/>
        </w:r>
        <w:r w:rsidR="007105D3">
          <w:rPr>
            <w:noProof/>
            <w:webHidden/>
          </w:rPr>
          <w:fldChar w:fldCharType="begin"/>
        </w:r>
        <w:r w:rsidR="007105D3">
          <w:rPr>
            <w:noProof/>
            <w:webHidden/>
          </w:rPr>
          <w:instrText xml:space="preserve"> PAGEREF _Toc165627843 \h </w:instrText>
        </w:r>
        <w:r w:rsidR="007105D3">
          <w:rPr>
            <w:noProof/>
            <w:webHidden/>
          </w:rPr>
        </w:r>
        <w:r w:rsidR="007105D3">
          <w:rPr>
            <w:noProof/>
            <w:webHidden/>
          </w:rPr>
          <w:fldChar w:fldCharType="separate"/>
        </w:r>
        <w:r w:rsidR="007105D3">
          <w:rPr>
            <w:noProof/>
            <w:webHidden/>
          </w:rPr>
          <w:t>48</w:t>
        </w:r>
        <w:r w:rsidR="007105D3">
          <w:rPr>
            <w:noProof/>
            <w:webHidden/>
          </w:rPr>
          <w:fldChar w:fldCharType="end"/>
        </w:r>
      </w:hyperlink>
    </w:p>
    <w:p w14:paraId="52783825" w14:textId="7E92548D"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44" w:history="1">
        <w:r w:rsidR="007105D3" w:rsidRPr="003A7597">
          <w:rPr>
            <w:rStyle w:val="Hyperlink"/>
          </w:rPr>
          <w:t>5.1</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Procedure cost of mid-urethral sling implantation</w:t>
        </w:r>
        <w:r w:rsidR="007105D3">
          <w:rPr>
            <w:webHidden/>
          </w:rPr>
          <w:tab/>
        </w:r>
        <w:r w:rsidR="007105D3">
          <w:rPr>
            <w:webHidden/>
          </w:rPr>
          <w:fldChar w:fldCharType="begin"/>
        </w:r>
        <w:r w:rsidR="007105D3">
          <w:rPr>
            <w:webHidden/>
          </w:rPr>
          <w:instrText xml:space="preserve"> PAGEREF _Toc165627844 \h </w:instrText>
        </w:r>
        <w:r w:rsidR="007105D3">
          <w:rPr>
            <w:webHidden/>
          </w:rPr>
        </w:r>
        <w:r w:rsidR="007105D3">
          <w:rPr>
            <w:webHidden/>
          </w:rPr>
          <w:fldChar w:fldCharType="separate"/>
        </w:r>
        <w:r w:rsidR="007105D3">
          <w:rPr>
            <w:webHidden/>
          </w:rPr>
          <w:t>48</w:t>
        </w:r>
        <w:r w:rsidR="007105D3">
          <w:rPr>
            <w:webHidden/>
          </w:rPr>
          <w:fldChar w:fldCharType="end"/>
        </w:r>
      </w:hyperlink>
    </w:p>
    <w:p w14:paraId="690EC9B7" w14:textId="706123D6"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45" w:history="1">
        <w:r w:rsidR="007105D3" w:rsidRPr="003A7597">
          <w:rPr>
            <w:rStyle w:val="Hyperlink"/>
            <w:noProof/>
          </w:rPr>
          <w:t>5.1.1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Comparison with international studies</w:t>
        </w:r>
        <w:r w:rsidR="007105D3">
          <w:rPr>
            <w:noProof/>
            <w:webHidden/>
          </w:rPr>
          <w:tab/>
        </w:r>
        <w:r w:rsidR="007105D3">
          <w:rPr>
            <w:noProof/>
            <w:webHidden/>
          </w:rPr>
          <w:fldChar w:fldCharType="begin"/>
        </w:r>
        <w:r w:rsidR="007105D3">
          <w:rPr>
            <w:noProof/>
            <w:webHidden/>
          </w:rPr>
          <w:instrText xml:space="preserve"> PAGEREF _Toc165627845 \h </w:instrText>
        </w:r>
        <w:r w:rsidR="007105D3">
          <w:rPr>
            <w:noProof/>
            <w:webHidden/>
          </w:rPr>
        </w:r>
        <w:r w:rsidR="007105D3">
          <w:rPr>
            <w:noProof/>
            <w:webHidden/>
          </w:rPr>
          <w:fldChar w:fldCharType="separate"/>
        </w:r>
        <w:r w:rsidR="007105D3">
          <w:rPr>
            <w:noProof/>
            <w:webHidden/>
          </w:rPr>
          <w:t>50</w:t>
        </w:r>
        <w:r w:rsidR="007105D3">
          <w:rPr>
            <w:noProof/>
            <w:webHidden/>
          </w:rPr>
          <w:fldChar w:fldCharType="end"/>
        </w:r>
      </w:hyperlink>
    </w:p>
    <w:p w14:paraId="775D6F5B" w14:textId="5EA078A9"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46" w:history="1">
        <w:r w:rsidR="007105D3" w:rsidRPr="003A7597">
          <w:rPr>
            <w:rStyle w:val="Hyperlink"/>
            <w:noProof/>
          </w:rPr>
          <w:t>6</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Summary of findings and considerations for PLAC</w:t>
        </w:r>
        <w:r w:rsidR="007105D3">
          <w:rPr>
            <w:noProof/>
            <w:webHidden/>
          </w:rPr>
          <w:tab/>
        </w:r>
        <w:r w:rsidR="007105D3">
          <w:rPr>
            <w:noProof/>
            <w:webHidden/>
          </w:rPr>
          <w:fldChar w:fldCharType="begin"/>
        </w:r>
        <w:r w:rsidR="007105D3">
          <w:rPr>
            <w:noProof/>
            <w:webHidden/>
          </w:rPr>
          <w:instrText xml:space="preserve"> PAGEREF _Toc165627846 \h </w:instrText>
        </w:r>
        <w:r w:rsidR="007105D3">
          <w:rPr>
            <w:noProof/>
            <w:webHidden/>
          </w:rPr>
        </w:r>
        <w:r w:rsidR="007105D3">
          <w:rPr>
            <w:noProof/>
            <w:webHidden/>
          </w:rPr>
          <w:fldChar w:fldCharType="separate"/>
        </w:r>
        <w:r w:rsidR="007105D3">
          <w:rPr>
            <w:noProof/>
            <w:webHidden/>
          </w:rPr>
          <w:t>52</w:t>
        </w:r>
        <w:r w:rsidR="007105D3">
          <w:rPr>
            <w:noProof/>
            <w:webHidden/>
          </w:rPr>
          <w:fldChar w:fldCharType="end"/>
        </w:r>
      </w:hyperlink>
    </w:p>
    <w:p w14:paraId="5685FC41" w14:textId="4CDBE37D"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47" w:history="1">
        <w:r w:rsidR="007105D3" w:rsidRPr="003A7597">
          <w:rPr>
            <w:rStyle w:val="Hyperlink"/>
          </w:rPr>
          <w:t>6.1</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Comparative clinical effectiveness</w:t>
        </w:r>
        <w:r w:rsidR="007105D3">
          <w:rPr>
            <w:webHidden/>
          </w:rPr>
          <w:tab/>
        </w:r>
        <w:r w:rsidR="007105D3">
          <w:rPr>
            <w:webHidden/>
          </w:rPr>
          <w:fldChar w:fldCharType="begin"/>
        </w:r>
        <w:r w:rsidR="007105D3">
          <w:rPr>
            <w:webHidden/>
          </w:rPr>
          <w:instrText xml:space="preserve"> PAGEREF _Toc165627847 \h </w:instrText>
        </w:r>
        <w:r w:rsidR="007105D3">
          <w:rPr>
            <w:webHidden/>
          </w:rPr>
        </w:r>
        <w:r w:rsidR="007105D3">
          <w:rPr>
            <w:webHidden/>
          </w:rPr>
          <w:fldChar w:fldCharType="separate"/>
        </w:r>
        <w:r w:rsidR="007105D3">
          <w:rPr>
            <w:webHidden/>
          </w:rPr>
          <w:t>52</w:t>
        </w:r>
        <w:r w:rsidR="007105D3">
          <w:rPr>
            <w:webHidden/>
          </w:rPr>
          <w:fldChar w:fldCharType="end"/>
        </w:r>
      </w:hyperlink>
    </w:p>
    <w:p w14:paraId="6D2B2FBD" w14:textId="290FD879"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48" w:history="1">
        <w:r w:rsidR="007105D3" w:rsidRPr="003A7597">
          <w:rPr>
            <w:rStyle w:val="Hyperlink"/>
            <w:noProof/>
          </w:rPr>
          <w:t>6.1.1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Colposuspension versus mid-urethral sling</w:t>
        </w:r>
        <w:r w:rsidR="007105D3">
          <w:rPr>
            <w:noProof/>
            <w:webHidden/>
          </w:rPr>
          <w:tab/>
        </w:r>
        <w:r w:rsidR="007105D3">
          <w:rPr>
            <w:noProof/>
            <w:webHidden/>
          </w:rPr>
          <w:fldChar w:fldCharType="begin"/>
        </w:r>
        <w:r w:rsidR="007105D3">
          <w:rPr>
            <w:noProof/>
            <w:webHidden/>
          </w:rPr>
          <w:instrText xml:space="preserve"> PAGEREF _Toc165627848 \h </w:instrText>
        </w:r>
        <w:r w:rsidR="007105D3">
          <w:rPr>
            <w:noProof/>
            <w:webHidden/>
          </w:rPr>
        </w:r>
        <w:r w:rsidR="007105D3">
          <w:rPr>
            <w:noProof/>
            <w:webHidden/>
          </w:rPr>
          <w:fldChar w:fldCharType="separate"/>
        </w:r>
        <w:r w:rsidR="007105D3">
          <w:rPr>
            <w:noProof/>
            <w:webHidden/>
          </w:rPr>
          <w:t>52</w:t>
        </w:r>
        <w:r w:rsidR="007105D3">
          <w:rPr>
            <w:noProof/>
            <w:webHidden/>
          </w:rPr>
          <w:fldChar w:fldCharType="end"/>
        </w:r>
      </w:hyperlink>
    </w:p>
    <w:p w14:paraId="2CD3559B" w14:textId="5B2451B7"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49" w:history="1">
        <w:r w:rsidR="007105D3" w:rsidRPr="003A7597">
          <w:rPr>
            <w:rStyle w:val="Hyperlink"/>
            <w:noProof/>
          </w:rPr>
          <w:t>6.1.2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Autologous rectus fascial sling (pubovaginal sling) versus mid-urethral sling</w:t>
        </w:r>
        <w:r w:rsidR="007105D3">
          <w:rPr>
            <w:noProof/>
            <w:webHidden/>
          </w:rPr>
          <w:tab/>
        </w:r>
        <w:r w:rsidR="007105D3">
          <w:rPr>
            <w:noProof/>
            <w:webHidden/>
          </w:rPr>
          <w:fldChar w:fldCharType="begin"/>
        </w:r>
        <w:r w:rsidR="007105D3">
          <w:rPr>
            <w:noProof/>
            <w:webHidden/>
          </w:rPr>
          <w:instrText xml:space="preserve"> PAGEREF _Toc165627849 \h </w:instrText>
        </w:r>
        <w:r w:rsidR="007105D3">
          <w:rPr>
            <w:noProof/>
            <w:webHidden/>
          </w:rPr>
        </w:r>
        <w:r w:rsidR="007105D3">
          <w:rPr>
            <w:noProof/>
            <w:webHidden/>
          </w:rPr>
          <w:fldChar w:fldCharType="separate"/>
        </w:r>
        <w:r w:rsidR="007105D3">
          <w:rPr>
            <w:noProof/>
            <w:webHidden/>
          </w:rPr>
          <w:t>53</w:t>
        </w:r>
        <w:r w:rsidR="007105D3">
          <w:rPr>
            <w:noProof/>
            <w:webHidden/>
          </w:rPr>
          <w:fldChar w:fldCharType="end"/>
        </w:r>
      </w:hyperlink>
    </w:p>
    <w:p w14:paraId="4287DD2C" w14:textId="1DDBC196"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50" w:history="1">
        <w:r w:rsidR="007105D3" w:rsidRPr="003A7597">
          <w:rPr>
            <w:rStyle w:val="Hyperlink"/>
            <w:noProof/>
          </w:rPr>
          <w:t>6.1.3</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TO-MUS versus RP-MUS</w:t>
        </w:r>
        <w:r w:rsidR="007105D3">
          <w:rPr>
            <w:noProof/>
            <w:webHidden/>
          </w:rPr>
          <w:tab/>
        </w:r>
        <w:r w:rsidR="007105D3">
          <w:rPr>
            <w:noProof/>
            <w:webHidden/>
          </w:rPr>
          <w:fldChar w:fldCharType="begin"/>
        </w:r>
        <w:r w:rsidR="007105D3">
          <w:rPr>
            <w:noProof/>
            <w:webHidden/>
          </w:rPr>
          <w:instrText xml:space="preserve"> PAGEREF _Toc165627850 \h </w:instrText>
        </w:r>
        <w:r w:rsidR="007105D3">
          <w:rPr>
            <w:noProof/>
            <w:webHidden/>
          </w:rPr>
        </w:r>
        <w:r w:rsidR="007105D3">
          <w:rPr>
            <w:noProof/>
            <w:webHidden/>
          </w:rPr>
          <w:fldChar w:fldCharType="separate"/>
        </w:r>
        <w:r w:rsidR="007105D3">
          <w:rPr>
            <w:noProof/>
            <w:webHidden/>
          </w:rPr>
          <w:t>54</w:t>
        </w:r>
        <w:r w:rsidR="007105D3">
          <w:rPr>
            <w:noProof/>
            <w:webHidden/>
          </w:rPr>
          <w:fldChar w:fldCharType="end"/>
        </w:r>
      </w:hyperlink>
    </w:p>
    <w:p w14:paraId="713CADDC" w14:textId="64FA691D"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51" w:history="1">
        <w:r w:rsidR="007105D3" w:rsidRPr="003A7597">
          <w:rPr>
            <w:rStyle w:val="Hyperlink"/>
            <w:noProof/>
          </w:rPr>
          <w:t>6.1.4</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Long term complications</w:t>
        </w:r>
        <w:r w:rsidR="007105D3">
          <w:rPr>
            <w:noProof/>
            <w:webHidden/>
          </w:rPr>
          <w:tab/>
        </w:r>
        <w:r w:rsidR="007105D3">
          <w:rPr>
            <w:noProof/>
            <w:webHidden/>
          </w:rPr>
          <w:fldChar w:fldCharType="begin"/>
        </w:r>
        <w:r w:rsidR="007105D3">
          <w:rPr>
            <w:noProof/>
            <w:webHidden/>
          </w:rPr>
          <w:instrText xml:space="preserve"> PAGEREF _Toc165627851 \h </w:instrText>
        </w:r>
        <w:r w:rsidR="007105D3">
          <w:rPr>
            <w:noProof/>
            <w:webHidden/>
          </w:rPr>
        </w:r>
        <w:r w:rsidR="007105D3">
          <w:rPr>
            <w:noProof/>
            <w:webHidden/>
          </w:rPr>
          <w:fldChar w:fldCharType="separate"/>
        </w:r>
        <w:r w:rsidR="007105D3">
          <w:rPr>
            <w:noProof/>
            <w:webHidden/>
          </w:rPr>
          <w:t>55</w:t>
        </w:r>
        <w:r w:rsidR="007105D3">
          <w:rPr>
            <w:noProof/>
            <w:webHidden/>
          </w:rPr>
          <w:fldChar w:fldCharType="end"/>
        </w:r>
      </w:hyperlink>
    </w:p>
    <w:p w14:paraId="3FE6B8B3" w14:textId="1107A7CA" w:rsidR="007105D3" w:rsidRDefault="00000000">
      <w:pPr>
        <w:pStyle w:val="TOC3"/>
        <w:tabs>
          <w:tab w:val="left" w:pos="1815"/>
        </w:tabs>
        <w:rPr>
          <w:rFonts w:asciiTheme="minorHAnsi" w:eastAsiaTheme="minorEastAsia" w:hAnsiTheme="minorHAnsi" w:cstheme="minorBidi"/>
          <w:noProof/>
          <w:kern w:val="2"/>
          <w:sz w:val="24"/>
          <w:szCs w:val="24"/>
          <w:lang w:eastAsia="en-AU"/>
          <w14:ligatures w14:val="standardContextual"/>
        </w:rPr>
      </w:pPr>
      <w:hyperlink w:anchor="_Toc165627852" w:history="1">
        <w:r w:rsidR="007105D3" w:rsidRPr="003A7597">
          <w:rPr>
            <w:rStyle w:val="Hyperlink"/>
            <w:noProof/>
          </w:rPr>
          <w:t>6.1.5</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Summary on clinical effectiveness</w:t>
        </w:r>
        <w:r w:rsidR="007105D3">
          <w:rPr>
            <w:noProof/>
            <w:webHidden/>
          </w:rPr>
          <w:tab/>
        </w:r>
        <w:r w:rsidR="007105D3">
          <w:rPr>
            <w:noProof/>
            <w:webHidden/>
          </w:rPr>
          <w:fldChar w:fldCharType="begin"/>
        </w:r>
        <w:r w:rsidR="007105D3">
          <w:rPr>
            <w:noProof/>
            <w:webHidden/>
          </w:rPr>
          <w:instrText xml:space="preserve"> PAGEREF _Toc165627852 \h </w:instrText>
        </w:r>
        <w:r w:rsidR="007105D3">
          <w:rPr>
            <w:noProof/>
            <w:webHidden/>
          </w:rPr>
        </w:r>
        <w:r w:rsidR="007105D3">
          <w:rPr>
            <w:noProof/>
            <w:webHidden/>
          </w:rPr>
          <w:fldChar w:fldCharType="separate"/>
        </w:r>
        <w:r w:rsidR="007105D3">
          <w:rPr>
            <w:noProof/>
            <w:webHidden/>
          </w:rPr>
          <w:t>55</w:t>
        </w:r>
        <w:r w:rsidR="007105D3">
          <w:rPr>
            <w:noProof/>
            <w:webHidden/>
          </w:rPr>
          <w:fldChar w:fldCharType="end"/>
        </w:r>
      </w:hyperlink>
    </w:p>
    <w:p w14:paraId="11487489" w14:textId="4EAB4844"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53" w:history="1">
        <w:r w:rsidR="007105D3" w:rsidRPr="003A7597">
          <w:rPr>
            <w:rStyle w:val="Hyperlink"/>
          </w:rPr>
          <w:t>6.2</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Clinical Practice Guidelines and Regulatory Advice</w:t>
        </w:r>
        <w:r w:rsidR="007105D3">
          <w:rPr>
            <w:webHidden/>
          </w:rPr>
          <w:tab/>
        </w:r>
        <w:r w:rsidR="007105D3">
          <w:rPr>
            <w:webHidden/>
          </w:rPr>
          <w:fldChar w:fldCharType="begin"/>
        </w:r>
        <w:r w:rsidR="007105D3">
          <w:rPr>
            <w:webHidden/>
          </w:rPr>
          <w:instrText xml:space="preserve"> PAGEREF _Toc165627853 \h </w:instrText>
        </w:r>
        <w:r w:rsidR="007105D3">
          <w:rPr>
            <w:webHidden/>
          </w:rPr>
        </w:r>
        <w:r w:rsidR="007105D3">
          <w:rPr>
            <w:webHidden/>
          </w:rPr>
          <w:fldChar w:fldCharType="separate"/>
        </w:r>
        <w:r w:rsidR="007105D3">
          <w:rPr>
            <w:webHidden/>
          </w:rPr>
          <w:t>56</w:t>
        </w:r>
        <w:r w:rsidR="007105D3">
          <w:rPr>
            <w:webHidden/>
          </w:rPr>
          <w:fldChar w:fldCharType="end"/>
        </w:r>
      </w:hyperlink>
    </w:p>
    <w:p w14:paraId="23AB6684" w14:textId="0736CD05"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54" w:history="1">
        <w:r w:rsidR="007105D3" w:rsidRPr="003A7597">
          <w:rPr>
            <w:rStyle w:val="Hyperlink"/>
          </w:rPr>
          <w:t>6.3</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Cost-effectiveness and cost analysis</w:t>
        </w:r>
        <w:r w:rsidR="007105D3">
          <w:rPr>
            <w:webHidden/>
          </w:rPr>
          <w:tab/>
        </w:r>
        <w:r w:rsidR="007105D3">
          <w:rPr>
            <w:webHidden/>
          </w:rPr>
          <w:fldChar w:fldCharType="begin"/>
        </w:r>
        <w:r w:rsidR="007105D3">
          <w:rPr>
            <w:webHidden/>
          </w:rPr>
          <w:instrText xml:space="preserve"> PAGEREF _Toc165627854 \h </w:instrText>
        </w:r>
        <w:r w:rsidR="007105D3">
          <w:rPr>
            <w:webHidden/>
          </w:rPr>
        </w:r>
        <w:r w:rsidR="007105D3">
          <w:rPr>
            <w:webHidden/>
          </w:rPr>
          <w:fldChar w:fldCharType="separate"/>
        </w:r>
        <w:r w:rsidR="007105D3">
          <w:rPr>
            <w:webHidden/>
          </w:rPr>
          <w:t>56</w:t>
        </w:r>
        <w:r w:rsidR="007105D3">
          <w:rPr>
            <w:webHidden/>
          </w:rPr>
          <w:fldChar w:fldCharType="end"/>
        </w:r>
      </w:hyperlink>
    </w:p>
    <w:p w14:paraId="01889905" w14:textId="474447B6" w:rsidR="007105D3" w:rsidRDefault="00000000">
      <w:pPr>
        <w:pStyle w:val="TOC2"/>
        <w:rPr>
          <w:rFonts w:asciiTheme="minorHAnsi" w:eastAsiaTheme="minorEastAsia" w:hAnsiTheme="minorHAnsi" w:cstheme="minorBidi"/>
          <w:kern w:val="2"/>
          <w:sz w:val="24"/>
          <w:szCs w:val="24"/>
          <w:lang w:eastAsia="en-AU"/>
          <w14:ligatures w14:val="standardContextual"/>
        </w:rPr>
      </w:pPr>
      <w:hyperlink w:anchor="_Toc165627855" w:history="1">
        <w:r w:rsidR="007105D3" w:rsidRPr="003A7597">
          <w:rPr>
            <w:rStyle w:val="Hyperlink"/>
          </w:rPr>
          <w:t>6.4</w:t>
        </w:r>
        <w:r w:rsidR="007105D3">
          <w:rPr>
            <w:rFonts w:asciiTheme="minorHAnsi" w:eastAsiaTheme="minorEastAsia" w:hAnsiTheme="minorHAnsi" w:cstheme="minorBidi"/>
            <w:kern w:val="2"/>
            <w:sz w:val="24"/>
            <w:szCs w:val="24"/>
            <w:lang w:eastAsia="en-AU"/>
            <w14:ligatures w14:val="standardContextual"/>
          </w:rPr>
          <w:tab/>
        </w:r>
        <w:r w:rsidR="007105D3" w:rsidRPr="003A7597">
          <w:rPr>
            <w:rStyle w:val="Hyperlink"/>
          </w:rPr>
          <w:t>Considerations for PLAC</w:t>
        </w:r>
        <w:r w:rsidR="007105D3">
          <w:rPr>
            <w:webHidden/>
          </w:rPr>
          <w:tab/>
        </w:r>
        <w:r w:rsidR="007105D3">
          <w:rPr>
            <w:webHidden/>
          </w:rPr>
          <w:fldChar w:fldCharType="begin"/>
        </w:r>
        <w:r w:rsidR="007105D3">
          <w:rPr>
            <w:webHidden/>
          </w:rPr>
          <w:instrText xml:space="preserve"> PAGEREF _Toc165627855 \h </w:instrText>
        </w:r>
        <w:r w:rsidR="007105D3">
          <w:rPr>
            <w:webHidden/>
          </w:rPr>
        </w:r>
        <w:r w:rsidR="007105D3">
          <w:rPr>
            <w:webHidden/>
          </w:rPr>
          <w:fldChar w:fldCharType="separate"/>
        </w:r>
        <w:r w:rsidR="007105D3">
          <w:rPr>
            <w:webHidden/>
          </w:rPr>
          <w:t>57</w:t>
        </w:r>
        <w:r w:rsidR="007105D3">
          <w:rPr>
            <w:webHidden/>
          </w:rPr>
          <w:fldChar w:fldCharType="end"/>
        </w:r>
      </w:hyperlink>
    </w:p>
    <w:p w14:paraId="7062F7BB" w14:textId="4CBDA322" w:rsidR="007105D3"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27856" w:history="1">
        <w:r w:rsidR="007105D3" w:rsidRPr="003A7597">
          <w:rPr>
            <w:rStyle w:val="Hyperlink"/>
            <w:noProof/>
          </w:rPr>
          <w:t>7</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References</w:t>
        </w:r>
        <w:r w:rsidR="007105D3">
          <w:rPr>
            <w:noProof/>
            <w:webHidden/>
          </w:rPr>
          <w:tab/>
        </w:r>
        <w:r w:rsidR="007105D3">
          <w:rPr>
            <w:noProof/>
            <w:webHidden/>
          </w:rPr>
          <w:fldChar w:fldCharType="begin"/>
        </w:r>
        <w:r w:rsidR="007105D3">
          <w:rPr>
            <w:noProof/>
            <w:webHidden/>
          </w:rPr>
          <w:instrText xml:space="preserve"> PAGEREF _Toc165627856 \h </w:instrText>
        </w:r>
        <w:r w:rsidR="007105D3">
          <w:rPr>
            <w:noProof/>
            <w:webHidden/>
          </w:rPr>
        </w:r>
        <w:r w:rsidR="007105D3">
          <w:rPr>
            <w:noProof/>
            <w:webHidden/>
          </w:rPr>
          <w:fldChar w:fldCharType="separate"/>
        </w:r>
        <w:r w:rsidR="007105D3">
          <w:rPr>
            <w:noProof/>
            <w:webHidden/>
          </w:rPr>
          <w:t>59</w:t>
        </w:r>
        <w:r w:rsidR="007105D3">
          <w:rPr>
            <w:noProof/>
            <w:webHidden/>
          </w:rPr>
          <w:fldChar w:fldCharType="end"/>
        </w:r>
      </w:hyperlink>
    </w:p>
    <w:p w14:paraId="1FC6B381" w14:textId="7A29F1E5" w:rsidR="007105D3"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27857" w:history="1">
        <w:r w:rsidR="007105D3" w:rsidRPr="003A7597">
          <w:rPr>
            <w:rStyle w:val="Hyperlink"/>
            <w:noProof/>
          </w:rPr>
          <w:t>Appendix A</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Search strategy</w:t>
        </w:r>
        <w:r w:rsidR="007105D3">
          <w:rPr>
            <w:noProof/>
            <w:webHidden/>
          </w:rPr>
          <w:tab/>
        </w:r>
        <w:r w:rsidR="007105D3">
          <w:rPr>
            <w:noProof/>
            <w:webHidden/>
          </w:rPr>
          <w:fldChar w:fldCharType="begin"/>
        </w:r>
        <w:r w:rsidR="007105D3">
          <w:rPr>
            <w:noProof/>
            <w:webHidden/>
          </w:rPr>
          <w:instrText xml:space="preserve"> PAGEREF _Toc165627857 \h </w:instrText>
        </w:r>
        <w:r w:rsidR="007105D3">
          <w:rPr>
            <w:noProof/>
            <w:webHidden/>
          </w:rPr>
        </w:r>
        <w:r w:rsidR="007105D3">
          <w:rPr>
            <w:noProof/>
            <w:webHidden/>
          </w:rPr>
          <w:fldChar w:fldCharType="separate"/>
        </w:r>
        <w:r w:rsidR="007105D3">
          <w:rPr>
            <w:noProof/>
            <w:webHidden/>
          </w:rPr>
          <w:t>62</w:t>
        </w:r>
        <w:r w:rsidR="007105D3">
          <w:rPr>
            <w:noProof/>
            <w:webHidden/>
          </w:rPr>
          <w:fldChar w:fldCharType="end"/>
        </w:r>
      </w:hyperlink>
    </w:p>
    <w:p w14:paraId="24E1108A" w14:textId="343D18BB" w:rsidR="007105D3"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27858" w:history="1">
        <w:r w:rsidR="007105D3" w:rsidRPr="003A7597">
          <w:rPr>
            <w:rStyle w:val="Hyperlink"/>
            <w:noProof/>
          </w:rPr>
          <w:t>A.1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Comparative clinical effectiveness</w:t>
        </w:r>
        <w:r w:rsidR="007105D3">
          <w:rPr>
            <w:noProof/>
            <w:webHidden/>
          </w:rPr>
          <w:tab/>
        </w:r>
        <w:r w:rsidR="007105D3">
          <w:rPr>
            <w:noProof/>
            <w:webHidden/>
          </w:rPr>
          <w:fldChar w:fldCharType="begin"/>
        </w:r>
        <w:r w:rsidR="007105D3">
          <w:rPr>
            <w:noProof/>
            <w:webHidden/>
          </w:rPr>
          <w:instrText xml:space="preserve"> PAGEREF _Toc165627858 \h </w:instrText>
        </w:r>
        <w:r w:rsidR="007105D3">
          <w:rPr>
            <w:noProof/>
            <w:webHidden/>
          </w:rPr>
        </w:r>
        <w:r w:rsidR="007105D3">
          <w:rPr>
            <w:noProof/>
            <w:webHidden/>
          </w:rPr>
          <w:fldChar w:fldCharType="separate"/>
        </w:r>
        <w:r w:rsidR="007105D3">
          <w:rPr>
            <w:noProof/>
            <w:webHidden/>
          </w:rPr>
          <w:t>62</w:t>
        </w:r>
        <w:r w:rsidR="007105D3">
          <w:rPr>
            <w:noProof/>
            <w:webHidden/>
          </w:rPr>
          <w:fldChar w:fldCharType="end"/>
        </w:r>
      </w:hyperlink>
    </w:p>
    <w:p w14:paraId="69444C35" w14:textId="485A44BE" w:rsidR="007105D3"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27859" w:history="1">
        <w:r w:rsidR="007105D3" w:rsidRPr="003A7597">
          <w:rPr>
            <w:rStyle w:val="Hyperlink"/>
            <w:noProof/>
          </w:rPr>
          <w:t>A.2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Comparative cost-effectiveness</w:t>
        </w:r>
        <w:r w:rsidR="007105D3">
          <w:rPr>
            <w:noProof/>
            <w:webHidden/>
          </w:rPr>
          <w:tab/>
        </w:r>
        <w:r w:rsidR="007105D3">
          <w:rPr>
            <w:noProof/>
            <w:webHidden/>
          </w:rPr>
          <w:fldChar w:fldCharType="begin"/>
        </w:r>
        <w:r w:rsidR="007105D3">
          <w:rPr>
            <w:noProof/>
            <w:webHidden/>
          </w:rPr>
          <w:instrText xml:space="preserve"> PAGEREF _Toc165627859 \h </w:instrText>
        </w:r>
        <w:r w:rsidR="007105D3">
          <w:rPr>
            <w:noProof/>
            <w:webHidden/>
          </w:rPr>
        </w:r>
        <w:r w:rsidR="007105D3">
          <w:rPr>
            <w:noProof/>
            <w:webHidden/>
          </w:rPr>
          <w:fldChar w:fldCharType="separate"/>
        </w:r>
        <w:r w:rsidR="007105D3">
          <w:rPr>
            <w:noProof/>
            <w:webHidden/>
          </w:rPr>
          <w:t>63</w:t>
        </w:r>
        <w:r w:rsidR="007105D3">
          <w:rPr>
            <w:noProof/>
            <w:webHidden/>
          </w:rPr>
          <w:fldChar w:fldCharType="end"/>
        </w:r>
      </w:hyperlink>
    </w:p>
    <w:p w14:paraId="7C2C716E" w14:textId="7B5AD960" w:rsidR="007105D3"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27860" w:history="1">
        <w:r w:rsidR="007105D3" w:rsidRPr="003A7597">
          <w:rPr>
            <w:rStyle w:val="Hyperlink"/>
            <w:noProof/>
          </w:rPr>
          <w:t>Appendix B</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NICE relevant included studies for clinical effectiveness</w:t>
        </w:r>
        <w:r w:rsidR="007105D3">
          <w:rPr>
            <w:noProof/>
            <w:webHidden/>
          </w:rPr>
          <w:tab/>
        </w:r>
        <w:r w:rsidR="007105D3">
          <w:rPr>
            <w:noProof/>
            <w:webHidden/>
          </w:rPr>
          <w:fldChar w:fldCharType="begin"/>
        </w:r>
        <w:r w:rsidR="007105D3">
          <w:rPr>
            <w:noProof/>
            <w:webHidden/>
          </w:rPr>
          <w:instrText xml:space="preserve"> PAGEREF _Toc165627860 \h </w:instrText>
        </w:r>
        <w:r w:rsidR="007105D3">
          <w:rPr>
            <w:noProof/>
            <w:webHidden/>
          </w:rPr>
        </w:r>
        <w:r w:rsidR="007105D3">
          <w:rPr>
            <w:noProof/>
            <w:webHidden/>
          </w:rPr>
          <w:fldChar w:fldCharType="separate"/>
        </w:r>
        <w:r w:rsidR="007105D3">
          <w:rPr>
            <w:noProof/>
            <w:webHidden/>
          </w:rPr>
          <w:t>65</w:t>
        </w:r>
        <w:r w:rsidR="007105D3">
          <w:rPr>
            <w:noProof/>
            <w:webHidden/>
          </w:rPr>
          <w:fldChar w:fldCharType="end"/>
        </w:r>
      </w:hyperlink>
    </w:p>
    <w:p w14:paraId="5008838B" w14:textId="14B9DB55" w:rsidR="007105D3"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27861" w:history="1">
        <w:r w:rsidR="007105D3" w:rsidRPr="003A7597">
          <w:rPr>
            <w:rStyle w:val="Hyperlink"/>
            <w:noProof/>
          </w:rPr>
          <w:t>B.1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Study characteristics</w:t>
        </w:r>
        <w:r w:rsidR="007105D3">
          <w:rPr>
            <w:noProof/>
            <w:webHidden/>
          </w:rPr>
          <w:tab/>
        </w:r>
        <w:r w:rsidR="007105D3">
          <w:rPr>
            <w:noProof/>
            <w:webHidden/>
          </w:rPr>
          <w:fldChar w:fldCharType="begin"/>
        </w:r>
        <w:r w:rsidR="007105D3">
          <w:rPr>
            <w:noProof/>
            <w:webHidden/>
          </w:rPr>
          <w:instrText xml:space="preserve"> PAGEREF _Toc165627861 \h </w:instrText>
        </w:r>
        <w:r w:rsidR="007105D3">
          <w:rPr>
            <w:noProof/>
            <w:webHidden/>
          </w:rPr>
        </w:r>
        <w:r w:rsidR="007105D3">
          <w:rPr>
            <w:noProof/>
            <w:webHidden/>
          </w:rPr>
          <w:fldChar w:fldCharType="separate"/>
        </w:r>
        <w:r w:rsidR="007105D3">
          <w:rPr>
            <w:noProof/>
            <w:webHidden/>
          </w:rPr>
          <w:t>65</w:t>
        </w:r>
        <w:r w:rsidR="007105D3">
          <w:rPr>
            <w:noProof/>
            <w:webHidden/>
          </w:rPr>
          <w:fldChar w:fldCharType="end"/>
        </w:r>
      </w:hyperlink>
    </w:p>
    <w:p w14:paraId="71AB4BA0" w14:textId="0DD0C3AA" w:rsidR="007105D3"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27862" w:history="1">
        <w:r w:rsidR="007105D3" w:rsidRPr="003A7597">
          <w:rPr>
            <w:rStyle w:val="Hyperlink"/>
            <w:noProof/>
          </w:rPr>
          <w:t>B.2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References</w:t>
        </w:r>
        <w:r w:rsidR="007105D3">
          <w:rPr>
            <w:noProof/>
            <w:webHidden/>
          </w:rPr>
          <w:tab/>
        </w:r>
        <w:r w:rsidR="007105D3">
          <w:rPr>
            <w:noProof/>
            <w:webHidden/>
          </w:rPr>
          <w:fldChar w:fldCharType="begin"/>
        </w:r>
        <w:r w:rsidR="007105D3">
          <w:rPr>
            <w:noProof/>
            <w:webHidden/>
          </w:rPr>
          <w:instrText xml:space="preserve"> PAGEREF _Toc165627862 \h </w:instrText>
        </w:r>
        <w:r w:rsidR="007105D3">
          <w:rPr>
            <w:noProof/>
            <w:webHidden/>
          </w:rPr>
        </w:r>
        <w:r w:rsidR="007105D3">
          <w:rPr>
            <w:noProof/>
            <w:webHidden/>
          </w:rPr>
          <w:fldChar w:fldCharType="separate"/>
        </w:r>
        <w:r w:rsidR="007105D3">
          <w:rPr>
            <w:noProof/>
            <w:webHidden/>
          </w:rPr>
          <w:t>70</w:t>
        </w:r>
        <w:r w:rsidR="007105D3">
          <w:rPr>
            <w:noProof/>
            <w:webHidden/>
          </w:rPr>
          <w:fldChar w:fldCharType="end"/>
        </w:r>
      </w:hyperlink>
    </w:p>
    <w:p w14:paraId="53813B0D" w14:textId="69A04DAA" w:rsidR="007105D3"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27863" w:history="1">
        <w:r w:rsidR="007105D3" w:rsidRPr="003A7597">
          <w:rPr>
            <w:rStyle w:val="Hyperlink"/>
            <w:noProof/>
          </w:rPr>
          <w:t>Appendix C</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NMA included studies for clinical effectiveness (Brazzelli 2019)</w:t>
        </w:r>
        <w:r w:rsidR="007105D3">
          <w:rPr>
            <w:noProof/>
            <w:webHidden/>
          </w:rPr>
          <w:tab/>
        </w:r>
        <w:r w:rsidR="007105D3">
          <w:rPr>
            <w:noProof/>
            <w:webHidden/>
          </w:rPr>
          <w:fldChar w:fldCharType="begin"/>
        </w:r>
        <w:r w:rsidR="007105D3">
          <w:rPr>
            <w:noProof/>
            <w:webHidden/>
          </w:rPr>
          <w:instrText xml:space="preserve"> PAGEREF _Toc165627863 \h </w:instrText>
        </w:r>
        <w:r w:rsidR="007105D3">
          <w:rPr>
            <w:noProof/>
            <w:webHidden/>
          </w:rPr>
        </w:r>
        <w:r w:rsidR="007105D3">
          <w:rPr>
            <w:noProof/>
            <w:webHidden/>
          </w:rPr>
          <w:fldChar w:fldCharType="separate"/>
        </w:r>
        <w:r w:rsidR="007105D3">
          <w:rPr>
            <w:noProof/>
            <w:webHidden/>
          </w:rPr>
          <w:t>75</w:t>
        </w:r>
        <w:r w:rsidR="007105D3">
          <w:rPr>
            <w:noProof/>
            <w:webHidden/>
          </w:rPr>
          <w:fldChar w:fldCharType="end"/>
        </w:r>
      </w:hyperlink>
    </w:p>
    <w:p w14:paraId="1FC33A5D" w14:textId="09FCA153" w:rsidR="007105D3"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27864" w:history="1">
        <w:r w:rsidR="007105D3" w:rsidRPr="003A7597">
          <w:rPr>
            <w:rStyle w:val="Hyperlink"/>
            <w:noProof/>
          </w:rPr>
          <w:t>C.1</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Study characteristics</w:t>
        </w:r>
        <w:r w:rsidR="007105D3">
          <w:rPr>
            <w:noProof/>
            <w:webHidden/>
          </w:rPr>
          <w:tab/>
        </w:r>
        <w:r w:rsidR="007105D3">
          <w:rPr>
            <w:noProof/>
            <w:webHidden/>
          </w:rPr>
          <w:fldChar w:fldCharType="begin"/>
        </w:r>
        <w:r w:rsidR="007105D3">
          <w:rPr>
            <w:noProof/>
            <w:webHidden/>
          </w:rPr>
          <w:instrText xml:space="preserve"> PAGEREF _Toc165627864 \h </w:instrText>
        </w:r>
        <w:r w:rsidR="007105D3">
          <w:rPr>
            <w:noProof/>
            <w:webHidden/>
          </w:rPr>
        </w:r>
        <w:r w:rsidR="007105D3">
          <w:rPr>
            <w:noProof/>
            <w:webHidden/>
          </w:rPr>
          <w:fldChar w:fldCharType="separate"/>
        </w:r>
        <w:r w:rsidR="007105D3">
          <w:rPr>
            <w:noProof/>
            <w:webHidden/>
          </w:rPr>
          <w:t>75</w:t>
        </w:r>
        <w:r w:rsidR="007105D3">
          <w:rPr>
            <w:noProof/>
            <w:webHidden/>
          </w:rPr>
          <w:fldChar w:fldCharType="end"/>
        </w:r>
      </w:hyperlink>
    </w:p>
    <w:p w14:paraId="1FA2D70E" w14:textId="2EC78BCC" w:rsidR="007105D3"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27865" w:history="1">
        <w:r w:rsidR="007105D3" w:rsidRPr="003A7597">
          <w:rPr>
            <w:rStyle w:val="Hyperlink"/>
            <w:noProof/>
          </w:rPr>
          <w:t>C.2</w:t>
        </w:r>
        <w:r w:rsidR="007105D3">
          <w:rPr>
            <w:rFonts w:asciiTheme="minorHAnsi" w:eastAsiaTheme="minorEastAsia" w:hAnsiTheme="minorHAnsi" w:cstheme="minorBidi"/>
            <w:noProof/>
            <w:kern w:val="2"/>
            <w:sz w:val="24"/>
            <w:szCs w:val="24"/>
            <w:lang w:eastAsia="en-AU"/>
            <w14:ligatures w14:val="standardContextual"/>
          </w:rPr>
          <w:tab/>
        </w:r>
        <w:r w:rsidR="007105D3" w:rsidRPr="003A7597">
          <w:rPr>
            <w:rStyle w:val="Hyperlink"/>
            <w:noProof/>
          </w:rPr>
          <w:t>References</w:t>
        </w:r>
        <w:r w:rsidR="007105D3">
          <w:rPr>
            <w:noProof/>
            <w:webHidden/>
          </w:rPr>
          <w:tab/>
        </w:r>
        <w:r w:rsidR="007105D3">
          <w:rPr>
            <w:noProof/>
            <w:webHidden/>
          </w:rPr>
          <w:fldChar w:fldCharType="begin"/>
        </w:r>
        <w:r w:rsidR="007105D3">
          <w:rPr>
            <w:noProof/>
            <w:webHidden/>
          </w:rPr>
          <w:instrText xml:space="preserve"> PAGEREF _Toc165627865 \h </w:instrText>
        </w:r>
        <w:r w:rsidR="007105D3">
          <w:rPr>
            <w:noProof/>
            <w:webHidden/>
          </w:rPr>
        </w:r>
        <w:r w:rsidR="007105D3">
          <w:rPr>
            <w:noProof/>
            <w:webHidden/>
          </w:rPr>
          <w:fldChar w:fldCharType="separate"/>
        </w:r>
        <w:r w:rsidR="007105D3">
          <w:rPr>
            <w:noProof/>
            <w:webHidden/>
          </w:rPr>
          <w:t>78</w:t>
        </w:r>
        <w:r w:rsidR="007105D3">
          <w:rPr>
            <w:noProof/>
            <w:webHidden/>
          </w:rPr>
          <w:fldChar w:fldCharType="end"/>
        </w:r>
      </w:hyperlink>
    </w:p>
    <w:p w14:paraId="452102B0" w14:textId="48F52932" w:rsidR="007105D3"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27866" w:history="1">
        <w:r w:rsidR="007105D3" w:rsidRPr="003A7597">
          <w:rPr>
            <w:rStyle w:val="Hyperlink"/>
            <w:noProof/>
          </w:rPr>
          <w:t>Appendix D</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NICE included studies for long-term complications</w:t>
        </w:r>
        <w:r w:rsidR="007105D3">
          <w:rPr>
            <w:noProof/>
            <w:webHidden/>
          </w:rPr>
          <w:tab/>
        </w:r>
        <w:r w:rsidR="007105D3">
          <w:rPr>
            <w:noProof/>
            <w:webHidden/>
          </w:rPr>
          <w:fldChar w:fldCharType="begin"/>
        </w:r>
        <w:r w:rsidR="007105D3">
          <w:rPr>
            <w:noProof/>
            <w:webHidden/>
          </w:rPr>
          <w:instrText xml:space="preserve"> PAGEREF _Toc165627866 \h </w:instrText>
        </w:r>
        <w:r w:rsidR="007105D3">
          <w:rPr>
            <w:noProof/>
            <w:webHidden/>
          </w:rPr>
        </w:r>
        <w:r w:rsidR="007105D3">
          <w:rPr>
            <w:noProof/>
            <w:webHidden/>
          </w:rPr>
          <w:fldChar w:fldCharType="separate"/>
        </w:r>
        <w:r w:rsidR="007105D3">
          <w:rPr>
            <w:noProof/>
            <w:webHidden/>
          </w:rPr>
          <w:t>82</w:t>
        </w:r>
        <w:r w:rsidR="007105D3">
          <w:rPr>
            <w:noProof/>
            <w:webHidden/>
          </w:rPr>
          <w:fldChar w:fldCharType="end"/>
        </w:r>
      </w:hyperlink>
    </w:p>
    <w:p w14:paraId="1E70E22C" w14:textId="54438945" w:rsidR="007105D3"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27867" w:history="1">
        <w:r w:rsidR="007105D3" w:rsidRPr="003A7597">
          <w:rPr>
            <w:rStyle w:val="Hyperlink"/>
            <w:noProof/>
          </w:rPr>
          <w:t>Appendix E</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Clinical practice guidelines and position statements</w:t>
        </w:r>
        <w:r w:rsidR="007105D3">
          <w:rPr>
            <w:noProof/>
            <w:webHidden/>
          </w:rPr>
          <w:tab/>
        </w:r>
        <w:r w:rsidR="007105D3">
          <w:rPr>
            <w:noProof/>
            <w:webHidden/>
          </w:rPr>
          <w:fldChar w:fldCharType="begin"/>
        </w:r>
        <w:r w:rsidR="007105D3">
          <w:rPr>
            <w:noProof/>
            <w:webHidden/>
          </w:rPr>
          <w:instrText xml:space="preserve"> PAGEREF _Toc165627867 \h </w:instrText>
        </w:r>
        <w:r w:rsidR="007105D3">
          <w:rPr>
            <w:noProof/>
            <w:webHidden/>
          </w:rPr>
        </w:r>
        <w:r w:rsidR="007105D3">
          <w:rPr>
            <w:noProof/>
            <w:webHidden/>
          </w:rPr>
          <w:fldChar w:fldCharType="separate"/>
        </w:r>
        <w:r w:rsidR="007105D3">
          <w:rPr>
            <w:noProof/>
            <w:webHidden/>
          </w:rPr>
          <w:t>86</w:t>
        </w:r>
        <w:r w:rsidR="007105D3">
          <w:rPr>
            <w:noProof/>
            <w:webHidden/>
          </w:rPr>
          <w:fldChar w:fldCharType="end"/>
        </w:r>
      </w:hyperlink>
    </w:p>
    <w:p w14:paraId="6BA1695B" w14:textId="6F61F606" w:rsidR="007105D3"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27868" w:history="1">
        <w:r w:rsidR="007105D3" w:rsidRPr="003A7597">
          <w:rPr>
            <w:rStyle w:val="Hyperlink"/>
            <w:noProof/>
          </w:rPr>
          <w:t>Appendix F</w:t>
        </w:r>
        <w:r w:rsidR="007105D3">
          <w:rPr>
            <w:rFonts w:asciiTheme="minorHAnsi" w:eastAsiaTheme="minorEastAsia" w:hAnsiTheme="minorHAnsi" w:cstheme="minorBidi"/>
            <w:b w:val="0"/>
            <w:noProof/>
            <w:kern w:val="2"/>
            <w:sz w:val="24"/>
            <w:szCs w:val="24"/>
            <w:lang w:eastAsia="en-AU"/>
            <w14:ligatures w14:val="standardContextual"/>
          </w:rPr>
          <w:tab/>
        </w:r>
        <w:r w:rsidR="007105D3" w:rsidRPr="003A7597">
          <w:rPr>
            <w:rStyle w:val="Hyperlink"/>
            <w:noProof/>
          </w:rPr>
          <w:t>Health Canada summary safety report</w:t>
        </w:r>
        <w:r w:rsidR="007105D3">
          <w:rPr>
            <w:noProof/>
            <w:webHidden/>
          </w:rPr>
          <w:tab/>
        </w:r>
        <w:r w:rsidR="007105D3">
          <w:rPr>
            <w:noProof/>
            <w:webHidden/>
          </w:rPr>
          <w:fldChar w:fldCharType="begin"/>
        </w:r>
        <w:r w:rsidR="007105D3">
          <w:rPr>
            <w:noProof/>
            <w:webHidden/>
          </w:rPr>
          <w:instrText xml:space="preserve"> PAGEREF _Toc165627868 \h </w:instrText>
        </w:r>
        <w:r w:rsidR="007105D3">
          <w:rPr>
            <w:noProof/>
            <w:webHidden/>
          </w:rPr>
        </w:r>
        <w:r w:rsidR="007105D3">
          <w:rPr>
            <w:noProof/>
            <w:webHidden/>
          </w:rPr>
          <w:fldChar w:fldCharType="separate"/>
        </w:r>
        <w:r w:rsidR="007105D3">
          <w:rPr>
            <w:noProof/>
            <w:webHidden/>
          </w:rPr>
          <w:t>92</w:t>
        </w:r>
        <w:r w:rsidR="007105D3">
          <w:rPr>
            <w:noProof/>
            <w:webHidden/>
          </w:rPr>
          <w:fldChar w:fldCharType="end"/>
        </w:r>
      </w:hyperlink>
    </w:p>
    <w:p w14:paraId="5F41592C" w14:textId="2A53AAD1" w:rsidR="008712BE" w:rsidRPr="00B0485F" w:rsidRDefault="00A331DF" w:rsidP="00DE5894">
      <w:r w:rsidRPr="00B0485F">
        <w:rPr>
          <w:bCs/>
          <w:noProof/>
        </w:rPr>
        <w:fldChar w:fldCharType="end"/>
      </w:r>
    </w:p>
    <w:p w14:paraId="6620FD9B" w14:textId="77777777" w:rsidR="00F90769" w:rsidRPr="00B0485F" w:rsidRDefault="00F90769" w:rsidP="00D47A81">
      <w:pPr>
        <w:pStyle w:val="ExecSumHeading1"/>
        <w:sectPr w:rsidR="00F90769" w:rsidRPr="00B0485F" w:rsidSect="003E0819">
          <w:footerReference w:type="default" r:id="rId15"/>
          <w:pgSz w:w="11906" w:h="16838"/>
          <w:pgMar w:top="1134" w:right="1134" w:bottom="1134" w:left="1134" w:header="850" w:footer="709" w:gutter="0"/>
          <w:cols w:space="708"/>
          <w:docGrid w:linePitch="360"/>
        </w:sectPr>
      </w:pPr>
      <w:bookmarkStart w:id="0" w:name="_Toc531705722"/>
    </w:p>
    <w:p w14:paraId="6AE64D4B" w14:textId="06E3ABC1" w:rsidR="00271995" w:rsidRPr="00B0485F" w:rsidRDefault="00271995" w:rsidP="00860CE9">
      <w:pPr>
        <w:pStyle w:val="TOCHeading"/>
        <w:rPr>
          <w:lang w:val="en-AU"/>
        </w:rPr>
      </w:pPr>
      <w:r w:rsidRPr="00B0485F">
        <w:rPr>
          <w:lang w:val="en-AU"/>
        </w:rPr>
        <w:lastRenderedPageBreak/>
        <w:t>tables</w:t>
      </w:r>
    </w:p>
    <w:p w14:paraId="4633D980" w14:textId="202C09F6" w:rsidR="007105D3" w:rsidRDefault="00682586">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rsidRPr="00B0485F">
        <w:fldChar w:fldCharType="begin"/>
      </w:r>
      <w:r w:rsidRPr="00B0485F">
        <w:instrText xml:space="preserve"> TOC \h \z \c "Table" </w:instrText>
      </w:r>
      <w:r w:rsidRPr="00B0485F">
        <w:fldChar w:fldCharType="separate"/>
      </w:r>
      <w:hyperlink w:anchor="_Toc165627869" w:history="1">
        <w:r w:rsidR="007105D3" w:rsidRPr="00CC6A28">
          <w:rPr>
            <w:rStyle w:val="Hyperlink"/>
            <w:noProof/>
          </w:rPr>
          <w:t>Table 1</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Services to be provided in this post-listing review</w:t>
        </w:r>
        <w:r w:rsidR="007105D3">
          <w:rPr>
            <w:noProof/>
            <w:webHidden/>
          </w:rPr>
          <w:tab/>
        </w:r>
        <w:r w:rsidR="007105D3">
          <w:rPr>
            <w:noProof/>
            <w:webHidden/>
          </w:rPr>
          <w:fldChar w:fldCharType="begin"/>
        </w:r>
        <w:r w:rsidR="007105D3">
          <w:rPr>
            <w:noProof/>
            <w:webHidden/>
          </w:rPr>
          <w:instrText xml:space="preserve"> PAGEREF _Toc165627869 \h </w:instrText>
        </w:r>
        <w:r w:rsidR="007105D3">
          <w:rPr>
            <w:noProof/>
            <w:webHidden/>
          </w:rPr>
        </w:r>
        <w:r w:rsidR="007105D3">
          <w:rPr>
            <w:noProof/>
            <w:webHidden/>
          </w:rPr>
          <w:fldChar w:fldCharType="separate"/>
        </w:r>
        <w:r w:rsidR="007105D3">
          <w:rPr>
            <w:noProof/>
            <w:webHidden/>
          </w:rPr>
          <w:t>17</w:t>
        </w:r>
        <w:r w:rsidR="007105D3">
          <w:rPr>
            <w:noProof/>
            <w:webHidden/>
          </w:rPr>
          <w:fldChar w:fldCharType="end"/>
        </w:r>
      </w:hyperlink>
    </w:p>
    <w:p w14:paraId="4E2BCF54" w14:textId="7D6AADBD"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0" w:history="1">
        <w:r w:rsidR="007105D3" w:rsidRPr="00CC6A28">
          <w:rPr>
            <w:rStyle w:val="Hyperlink"/>
            <w:noProof/>
          </w:rPr>
          <w:t>Table 2</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Mid-urethral slings currently on the Prostheses List (March 2023) under product sub-group 05.01.03.02 Urogenital – Incontinence Prostheses – Sling - Female</w:t>
        </w:r>
        <w:r w:rsidR="007105D3">
          <w:rPr>
            <w:noProof/>
            <w:webHidden/>
          </w:rPr>
          <w:tab/>
        </w:r>
        <w:r w:rsidR="007105D3">
          <w:rPr>
            <w:noProof/>
            <w:webHidden/>
          </w:rPr>
          <w:fldChar w:fldCharType="begin"/>
        </w:r>
        <w:r w:rsidR="007105D3">
          <w:rPr>
            <w:noProof/>
            <w:webHidden/>
          </w:rPr>
          <w:instrText xml:space="preserve"> PAGEREF _Toc165627870 \h </w:instrText>
        </w:r>
        <w:r w:rsidR="007105D3">
          <w:rPr>
            <w:noProof/>
            <w:webHidden/>
          </w:rPr>
        </w:r>
        <w:r w:rsidR="007105D3">
          <w:rPr>
            <w:noProof/>
            <w:webHidden/>
          </w:rPr>
          <w:fldChar w:fldCharType="separate"/>
        </w:r>
        <w:r w:rsidR="007105D3">
          <w:rPr>
            <w:noProof/>
            <w:webHidden/>
          </w:rPr>
          <w:t>19</w:t>
        </w:r>
        <w:r w:rsidR="007105D3">
          <w:rPr>
            <w:noProof/>
            <w:webHidden/>
          </w:rPr>
          <w:fldChar w:fldCharType="end"/>
        </w:r>
      </w:hyperlink>
    </w:p>
    <w:p w14:paraId="01BD9C77" w14:textId="32BC248B"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1" w:history="1">
        <w:r w:rsidR="007105D3" w:rsidRPr="00CC6A28">
          <w:rPr>
            <w:rStyle w:val="Hyperlink"/>
            <w:noProof/>
          </w:rPr>
          <w:t>Table 3</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Utilisation of MBS item 35599 from January 2013 to December 2022 for females</w:t>
        </w:r>
        <w:r w:rsidR="007105D3">
          <w:rPr>
            <w:noProof/>
            <w:webHidden/>
          </w:rPr>
          <w:tab/>
        </w:r>
        <w:r w:rsidR="007105D3">
          <w:rPr>
            <w:noProof/>
            <w:webHidden/>
          </w:rPr>
          <w:fldChar w:fldCharType="begin"/>
        </w:r>
        <w:r w:rsidR="007105D3">
          <w:rPr>
            <w:noProof/>
            <w:webHidden/>
          </w:rPr>
          <w:instrText xml:space="preserve"> PAGEREF _Toc165627871 \h </w:instrText>
        </w:r>
        <w:r w:rsidR="007105D3">
          <w:rPr>
            <w:noProof/>
            <w:webHidden/>
          </w:rPr>
        </w:r>
        <w:r w:rsidR="007105D3">
          <w:rPr>
            <w:noProof/>
            <w:webHidden/>
          </w:rPr>
          <w:fldChar w:fldCharType="separate"/>
        </w:r>
        <w:r w:rsidR="007105D3">
          <w:rPr>
            <w:noProof/>
            <w:webHidden/>
          </w:rPr>
          <w:t>20</w:t>
        </w:r>
        <w:r w:rsidR="007105D3">
          <w:rPr>
            <w:noProof/>
            <w:webHidden/>
          </w:rPr>
          <w:fldChar w:fldCharType="end"/>
        </w:r>
      </w:hyperlink>
    </w:p>
    <w:p w14:paraId="622837A0" w14:textId="70D26C1C"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2" w:history="1">
        <w:r w:rsidR="007105D3" w:rsidRPr="00CC6A28">
          <w:rPr>
            <w:rStyle w:val="Hyperlink"/>
            <w:noProof/>
          </w:rPr>
          <w:t>Table 4</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PICO criteria for NICE Guideline (NG 123) review question 5.1</w:t>
        </w:r>
        <w:r w:rsidR="007105D3">
          <w:rPr>
            <w:noProof/>
            <w:webHidden/>
          </w:rPr>
          <w:tab/>
        </w:r>
        <w:r w:rsidR="007105D3">
          <w:rPr>
            <w:noProof/>
            <w:webHidden/>
          </w:rPr>
          <w:fldChar w:fldCharType="begin"/>
        </w:r>
        <w:r w:rsidR="007105D3">
          <w:rPr>
            <w:noProof/>
            <w:webHidden/>
          </w:rPr>
          <w:instrText xml:space="preserve"> PAGEREF _Toc165627872 \h </w:instrText>
        </w:r>
        <w:r w:rsidR="007105D3">
          <w:rPr>
            <w:noProof/>
            <w:webHidden/>
          </w:rPr>
        </w:r>
        <w:r w:rsidR="007105D3">
          <w:rPr>
            <w:noProof/>
            <w:webHidden/>
          </w:rPr>
          <w:fldChar w:fldCharType="separate"/>
        </w:r>
        <w:r w:rsidR="007105D3">
          <w:rPr>
            <w:noProof/>
            <w:webHidden/>
          </w:rPr>
          <w:t>23</w:t>
        </w:r>
        <w:r w:rsidR="007105D3">
          <w:rPr>
            <w:noProof/>
            <w:webHidden/>
          </w:rPr>
          <w:fldChar w:fldCharType="end"/>
        </w:r>
      </w:hyperlink>
    </w:p>
    <w:p w14:paraId="3BEAF063" w14:textId="56F92AF8"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3" w:history="1">
        <w:r w:rsidR="007105D3" w:rsidRPr="00CC6A28">
          <w:rPr>
            <w:rStyle w:val="Hyperlink"/>
            <w:noProof/>
          </w:rPr>
          <w:t>Table 5</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Summary of relevant studies included in NICE Guideline evidence review</w:t>
        </w:r>
        <w:r w:rsidR="007105D3">
          <w:rPr>
            <w:noProof/>
            <w:webHidden/>
          </w:rPr>
          <w:tab/>
        </w:r>
        <w:r w:rsidR="007105D3">
          <w:rPr>
            <w:noProof/>
            <w:webHidden/>
          </w:rPr>
          <w:fldChar w:fldCharType="begin"/>
        </w:r>
        <w:r w:rsidR="007105D3">
          <w:rPr>
            <w:noProof/>
            <w:webHidden/>
          </w:rPr>
          <w:instrText xml:space="preserve"> PAGEREF _Toc165627873 \h </w:instrText>
        </w:r>
        <w:r w:rsidR="007105D3">
          <w:rPr>
            <w:noProof/>
            <w:webHidden/>
          </w:rPr>
        </w:r>
        <w:r w:rsidR="007105D3">
          <w:rPr>
            <w:noProof/>
            <w:webHidden/>
          </w:rPr>
          <w:fldChar w:fldCharType="separate"/>
        </w:r>
        <w:r w:rsidR="007105D3">
          <w:rPr>
            <w:noProof/>
            <w:webHidden/>
          </w:rPr>
          <w:t>24</w:t>
        </w:r>
        <w:r w:rsidR="007105D3">
          <w:rPr>
            <w:noProof/>
            <w:webHidden/>
          </w:rPr>
          <w:fldChar w:fldCharType="end"/>
        </w:r>
      </w:hyperlink>
    </w:p>
    <w:p w14:paraId="3F14C8BA" w14:textId="6DE75837"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4" w:history="1">
        <w:r w:rsidR="007105D3" w:rsidRPr="00CC6A28">
          <w:rPr>
            <w:rStyle w:val="Hyperlink"/>
            <w:noProof/>
          </w:rPr>
          <w:t>Table 6</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PICO criteria for Brazzelli (2019) clinical effectiveness evidence synthesis</w:t>
        </w:r>
        <w:r w:rsidR="007105D3">
          <w:rPr>
            <w:noProof/>
            <w:webHidden/>
          </w:rPr>
          <w:tab/>
        </w:r>
        <w:r w:rsidR="007105D3">
          <w:rPr>
            <w:noProof/>
            <w:webHidden/>
          </w:rPr>
          <w:fldChar w:fldCharType="begin"/>
        </w:r>
        <w:r w:rsidR="007105D3">
          <w:rPr>
            <w:noProof/>
            <w:webHidden/>
          </w:rPr>
          <w:instrText xml:space="preserve"> PAGEREF _Toc165627874 \h </w:instrText>
        </w:r>
        <w:r w:rsidR="007105D3">
          <w:rPr>
            <w:noProof/>
            <w:webHidden/>
          </w:rPr>
        </w:r>
        <w:r w:rsidR="007105D3">
          <w:rPr>
            <w:noProof/>
            <w:webHidden/>
          </w:rPr>
          <w:fldChar w:fldCharType="separate"/>
        </w:r>
        <w:r w:rsidR="007105D3">
          <w:rPr>
            <w:noProof/>
            <w:webHidden/>
          </w:rPr>
          <w:t>29</w:t>
        </w:r>
        <w:r w:rsidR="007105D3">
          <w:rPr>
            <w:noProof/>
            <w:webHidden/>
          </w:rPr>
          <w:fldChar w:fldCharType="end"/>
        </w:r>
      </w:hyperlink>
    </w:p>
    <w:p w14:paraId="1B655B58" w14:textId="50195DEB"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5" w:history="1">
        <w:r w:rsidR="007105D3" w:rsidRPr="00CC6A28">
          <w:rPr>
            <w:rStyle w:val="Hyperlink"/>
            <w:noProof/>
          </w:rPr>
          <w:t>Table 7</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Number of trials providing direct evidence to NMA by treatment comparison and outcome</w:t>
        </w:r>
        <w:r w:rsidR="007105D3">
          <w:rPr>
            <w:noProof/>
            <w:webHidden/>
          </w:rPr>
          <w:tab/>
        </w:r>
        <w:r w:rsidR="007105D3">
          <w:rPr>
            <w:noProof/>
            <w:webHidden/>
          </w:rPr>
          <w:fldChar w:fldCharType="begin"/>
        </w:r>
        <w:r w:rsidR="007105D3">
          <w:rPr>
            <w:noProof/>
            <w:webHidden/>
          </w:rPr>
          <w:instrText xml:space="preserve"> PAGEREF _Toc165627875 \h </w:instrText>
        </w:r>
        <w:r w:rsidR="007105D3">
          <w:rPr>
            <w:noProof/>
            <w:webHidden/>
          </w:rPr>
        </w:r>
        <w:r w:rsidR="007105D3">
          <w:rPr>
            <w:noProof/>
            <w:webHidden/>
          </w:rPr>
          <w:fldChar w:fldCharType="separate"/>
        </w:r>
        <w:r w:rsidR="007105D3">
          <w:rPr>
            <w:noProof/>
            <w:webHidden/>
          </w:rPr>
          <w:t>30</w:t>
        </w:r>
        <w:r w:rsidR="007105D3">
          <w:rPr>
            <w:noProof/>
            <w:webHidden/>
          </w:rPr>
          <w:fldChar w:fldCharType="end"/>
        </w:r>
      </w:hyperlink>
    </w:p>
    <w:p w14:paraId="1A6DF54B" w14:textId="4C1CBACB"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6" w:history="1">
        <w:r w:rsidR="007105D3" w:rsidRPr="00CC6A28">
          <w:rPr>
            <w:rStyle w:val="Hyperlink"/>
            <w:noProof/>
          </w:rPr>
          <w:t>Table 8</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Number of participants randomised by intervention and outcome in the NMA</w:t>
        </w:r>
        <w:r w:rsidR="007105D3">
          <w:rPr>
            <w:noProof/>
            <w:webHidden/>
          </w:rPr>
          <w:tab/>
        </w:r>
        <w:r w:rsidR="007105D3">
          <w:rPr>
            <w:noProof/>
            <w:webHidden/>
          </w:rPr>
          <w:fldChar w:fldCharType="begin"/>
        </w:r>
        <w:r w:rsidR="007105D3">
          <w:rPr>
            <w:noProof/>
            <w:webHidden/>
          </w:rPr>
          <w:instrText xml:space="preserve"> PAGEREF _Toc165627876 \h </w:instrText>
        </w:r>
        <w:r w:rsidR="007105D3">
          <w:rPr>
            <w:noProof/>
            <w:webHidden/>
          </w:rPr>
        </w:r>
        <w:r w:rsidR="007105D3">
          <w:rPr>
            <w:noProof/>
            <w:webHidden/>
          </w:rPr>
          <w:fldChar w:fldCharType="separate"/>
        </w:r>
        <w:r w:rsidR="007105D3">
          <w:rPr>
            <w:noProof/>
            <w:webHidden/>
          </w:rPr>
          <w:t>30</w:t>
        </w:r>
        <w:r w:rsidR="007105D3">
          <w:rPr>
            <w:noProof/>
            <w:webHidden/>
          </w:rPr>
          <w:fldChar w:fldCharType="end"/>
        </w:r>
      </w:hyperlink>
    </w:p>
    <w:p w14:paraId="07680C2D" w14:textId="1A4B1323"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7" w:history="1">
        <w:r w:rsidR="007105D3" w:rsidRPr="00CC6A28">
          <w:rPr>
            <w:rStyle w:val="Hyperlink"/>
            <w:noProof/>
          </w:rPr>
          <w:t>Table 9</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NMA results for number of women cured for relevant treatment comparisons</w:t>
        </w:r>
        <w:r w:rsidR="007105D3">
          <w:rPr>
            <w:noProof/>
            <w:webHidden/>
          </w:rPr>
          <w:tab/>
        </w:r>
        <w:r w:rsidR="007105D3">
          <w:rPr>
            <w:noProof/>
            <w:webHidden/>
          </w:rPr>
          <w:fldChar w:fldCharType="begin"/>
        </w:r>
        <w:r w:rsidR="007105D3">
          <w:rPr>
            <w:noProof/>
            <w:webHidden/>
          </w:rPr>
          <w:instrText xml:space="preserve"> PAGEREF _Toc165627877 \h </w:instrText>
        </w:r>
        <w:r w:rsidR="007105D3">
          <w:rPr>
            <w:noProof/>
            <w:webHidden/>
          </w:rPr>
        </w:r>
        <w:r w:rsidR="007105D3">
          <w:rPr>
            <w:noProof/>
            <w:webHidden/>
          </w:rPr>
          <w:fldChar w:fldCharType="separate"/>
        </w:r>
        <w:r w:rsidR="007105D3">
          <w:rPr>
            <w:noProof/>
            <w:webHidden/>
          </w:rPr>
          <w:t>31</w:t>
        </w:r>
        <w:r w:rsidR="007105D3">
          <w:rPr>
            <w:noProof/>
            <w:webHidden/>
          </w:rPr>
          <w:fldChar w:fldCharType="end"/>
        </w:r>
      </w:hyperlink>
    </w:p>
    <w:p w14:paraId="3DA7CA3A" w14:textId="1697B5B9"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8" w:history="1">
        <w:r w:rsidR="007105D3" w:rsidRPr="00CC6A28">
          <w:rPr>
            <w:rStyle w:val="Hyperlink"/>
            <w:noProof/>
          </w:rPr>
          <w:t>Table 10</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NMA results for number of women improved for relevant treatment comparisons</w:t>
        </w:r>
        <w:r w:rsidR="007105D3">
          <w:rPr>
            <w:noProof/>
            <w:webHidden/>
          </w:rPr>
          <w:tab/>
        </w:r>
        <w:r w:rsidR="007105D3">
          <w:rPr>
            <w:noProof/>
            <w:webHidden/>
          </w:rPr>
          <w:fldChar w:fldCharType="begin"/>
        </w:r>
        <w:r w:rsidR="007105D3">
          <w:rPr>
            <w:noProof/>
            <w:webHidden/>
          </w:rPr>
          <w:instrText xml:space="preserve"> PAGEREF _Toc165627878 \h </w:instrText>
        </w:r>
        <w:r w:rsidR="007105D3">
          <w:rPr>
            <w:noProof/>
            <w:webHidden/>
          </w:rPr>
        </w:r>
        <w:r w:rsidR="007105D3">
          <w:rPr>
            <w:noProof/>
            <w:webHidden/>
          </w:rPr>
          <w:fldChar w:fldCharType="separate"/>
        </w:r>
        <w:r w:rsidR="007105D3">
          <w:rPr>
            <w:noProof/>
            <w:webHidden/>
          </w:rPr>
          <w:t>31</w:t>
        </w:r>
        <w:r w:rsidR="007105D3">
          <w:rPr>
            <w:noProof/>
            <w:webHidden/>
          </w:rPr>
          <w:fldChar w:fldCharType="end"/>
        </w:r>
      </w:hyperlink>
    </w:p>
    <w:p w14:paraId="6905EF88" w14:textId="48ED8F1C"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79" w:history="1">
        <w:r w:rsidR="007105D3" w:rsidRPr="00CC6A28">
          <w:rPr>
            <w:rStyle w:val="Hyperlink"/>
            <w:noProof/>
          </w:rPr>
          <w:t>Table 11</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 xml:space="preserve"> Long-term complication rates (&gt;5 years) calculated as weighted averages</w:t>
        </w:r>
        <w:r w:rsidR="007105D3">
          <w:rPr>
            <w:noProof/>
            <w:webHidden/>
          </w:rPr>
          <w:tab/>
        </w:r>
        <w:r w:rsidR="007105D3">
          <w:rPr>
            <w:noProof/>
            <w:webHidden/>
          </w:rPr>
          <w:fldChar w:fldCharType="begin"/>
        </w:r>
        <w:r w:rsidR="007105D3">
          <w:rPr>
            <w:noProof/>
            <w:webHidden/>
          </w:rPr>
          <w:instrText xml:space="preserve"> PAGEREF _Toc165627879 \h </w:instrText>
        </w:r>
        <w:r w:rsidR="007105D3">
          <w:rPr>
            <w:noProof/>
            <w:webHidden/>
          </w:rPr>
        </w:r>
        <w:r w:rsidR="007105D3">
          <w:rPr>
            <w:noProof/>
            <w:webHidden/>
          </w:rPr>
          <w:fldChar w:fldCharType="separate"/>
        </w:r>
        <w:r w:rsidR="007105D3">
          <w:rPr>
            <w:noProof/>
            <w:webHidden/>
          </w:rPr>
          <w:t>33</w:t>
        </w:r>
        <w:r w:rsidR="007105D3">
          <w:rPr>
            <w:noProof/>
            <w:webHidden/>
          </w:rPr>
          <w:fldChar w:fldCharType="end"/>
        </w:r>
      </w:hyperlink>
    </w:p>
    <w:p w14:paraId="23C313CB" w14:textId="6722CC53"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0" w:history="1">
        <w:r w:rsidR="007105D3" w:rsidRPr="00CC6A28">
          <w:rPr>
            <w:rStyle w:val="Hyperlink"/>
            <w:noProof/>
          </w:rPr>
          <w:t>Table 12</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Jia (2023)</w:t>
        </w:r>
        <w:r w:rsidR="007105D3">
          <w:rPr>
            <w:noProof/>
            <w:webHidden/>
          </w:rPr>
          <w:tab/>
        </w:r>
        <w:r w:rsidR="007105D3">
          <w:rPr>
            <w:noProof/>
            <w:webHidden/>
          </w:rPr>
          <w:fldChar w:fldCharType="begin"/>
        </w:r>
        <w:r w:rsidR="007105D3">
          <w:rPr>
            <w:noProof/>
            <w:webHidden/>
          </w:rPr>
          <w:instrText xml:space="preserve"> PAGEREF _Toc165627880 \h </w:instrText>
        </w:r>
        <w:r w:rsidR="007105D3">
          <w:rPr>
            <w:noProof/>
            <w:webHidden/>
          </w:rPr>
        </w:r>
        <w:r w:rsidR="007105D3">
          <w:rPr>
            <w:noProof/>
            <w:webHidden/>
          </w:rPr>
          <w:fldChar w:fldCharType="separate"/>
        </w:r>
        <w:r w:rsidR="007105D3">
          <w:rPr>
            <w:noProof/>
            <w:webHidden/>
          </w:rPr>
          <w:t>39</w:t>
        </w:r>
        <w:r w:rsidR="007105D3">
          <w:rPr>
            <w:noProof/>
            <w:webHidden/>
          </w:rPr>
          <w:fldChar w:fldCharType="end"/>
        </w:r>
      </w:hyperlink>
    </w:p>
    <w:p w14:paraId="0DDB0EFE" w14:textId="2B8615BE"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1" w:history="1">
        <w:r w:rsidR="007105D3" w:rsidRPr="00CC6A28">
          <w:rPr>
            <w:rStyle w:val="Hyperlink"/>
            <w:noProof/>
          </w:rPr>
          <w:t>Table 13</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Jia (2023) – at 1 year</w:t>
        </w:r>
        <w:r w:rsidR="007105D3">
          <w:rPr>
            <w:noProof/>
            <w:webHidden/>
          </w:rPr>
          <w:tab/>
        </w:r>
        <w:r w:rsidR="007105D3">
          <w:rPr>
            <w:noProof/>
            <w:webHidden/>
          </w:rPr>
          <w:fldChar w:fldCharType="begin"/>
        </w:r>
        <w:r w:rsidR="007105D3">
          <w:rPr>
            <w:noProof/>
            <w:webHidden/>
          </w:rPr>
          <w:instrText xml:space="preserve"> PAGEREF _Toc165627881 \h </w:instrText>
        </w:r>
        <w:r w:rsidR="007105D3">
          <w:rPr>
            <w:noProof/>
            <w:webHidden/>
          </w:rPr>
        </w:r>
        <w:r w:rsidR="007105D3">
          <w:rPr>
            <w:noProof/>
            <w:webHidden/>
          </w:rPr>
          <w:fldChar w:fldCharType="separate"/>
        </w:r>
        <w:r w:rsidR="007105D3">
          <w:rPr>
            <w:noProof/>
            <w:webHidden/>
          </w:rPr>
          <w:t>39</w:t>
        </w:r>
        <w:r w:rsidR="007105D3">
          <w:rPr>
            <w:noProof/>
            <w:webHidden/>
          </w:rPr>
          <w:fldChar w:fldCharType="end"/>
        </w:r>
      </w:hyperlink>
    </w:p>
    <w:p w14:paraId="27DADB40" w14:textId="28A99975"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2" w:history="1">
        <w:r w:rsidR="007105D3" w:rsidRPr="00CC6A28">
          <w:rPr>
            <w:rStyle w:val="Hyperlink"/>
            <w:noProof/>
          </w:rPr>
          <w:t>Table 14</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Chang (2022)</w:t>
        </w:r>
        <w:r w:rsidR="007105D3">
          <w:rPr>
            <w:noProof/>
            <w:webHidden/>
          </w:rPr>
          <w:tab/>
        </w:r>
        <w:r w:rsidR="007105D3">
          <w:rPr>
            <w:noProof/>
            <w:webHidden/>
          </w:rPr>
          <w:fldChar w:fldCharType="begin"/>
        </w:r>
        <w:r w:rsidR="007105D3">
          <w:rPr>
            <w:noProof/>
            <w:webHidden/>
          </w:rPr>
          <w:instrText xml:space="preserve"> PAGEREF _Toc165627882 \h </w:instrText>
        </w:r>
        <w:r w:rsidR="007105D3">
          <w:rPr>
            <w:noProof/>
            <w:webHidden/>
          </w:rPr>
        </w:r>
        <w:r w:rsidR="007105D3">
          <w:rPr>
            <w:noProof/>
            <w:webHidden/>
          </w:rPr>
          <w:fldChar w:fldCharType="separate"/>
        </w:r>
        <w:r w:rsidR="007105D3">
          <w:rPr>
            <w:noProof/>
            <w:webHidden/>
          </w:rPr>
          <w:t>40</w:t>
        </w:r>
        <w:r w:rsidR="007105D3">
          <w:rPr>
            <w:noProof/>
            <w:webHidden/>
          </w:rPr>
          <w:fldChar w:fldCharType="end"/>
        </w:r>
      </w:hyperlink>
    </w:p>
    <w:p w14:paraId="1219E9D7" w14:textId="67ED1D1C"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3" w:history="1">
        <w:r w:rsidR="007105D3" w:rsidRPr="00CC6A28">
          <w:rPr>
            <w:rStyle w:val="Hyperlink"/>
            <w:noProof/>
          </w:rPr>
          <w:t>Table 15</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Chang (2022) – at 2 years</w:t>
        </w:r>
        <w:r w:rsidR="007105D3">
          <w:rPr>
            <w:noProof/>
            <w:webHidden/>
          </w:rPr>
          <w:tab/>
        </w:r>
        <w:r w:rsidR="007105D3">
          <w:rPr>
            <w:noProof/>
            <w:webHidden/>
          </w:rPr>
          <w:fldChar w:fldCharType="begin"/>
        </w:r>
        <w:r w:rsidR="007105D3">
          <w:rPr>
            <w:noProof/>
            <w:webHidden/>
          </w:rPr>
          <w:instrText xml:space="preserve"> PAGEREF _Toc165627883 \h </w:instrText>
        </w:r>
        <w:r w:rsidR="007105D3">
          <w:rPr>
            <w:noProof/>
            <w:webHidden/>
          </w:rPr>
        </w:r>
        <w:r w:rsidR="007105D3">
          <w:rPr>
            <w:noProof/>
            <w:webHidden/>
          </w:rPr>
          <w:fldChar w:fldCharType="separate"/>
        </w:r>
        <w:r w:rsidR="007105D3">
          <w:rPr>
            <w:noProof/>
            <w:webHidden/>
          </w:rPr>
          <w:t>40</w:t>
        </w:r>
        <w:r w:rsidR="007105D3">
          <w:rPr>
            <w:noProof/>
            <w:webHidden/>
          </w:rPr>
          <w:fldChar w:fldCharType="end"/>
        </w:r>
      </w:hyperlink>
    </w:p>
    <w:p w14:paraId="072C8A71" w14:textId="14F4BAFC"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4" w:history="1">
        <w:r w:rsidR="007105D3" w:rsidRPr="00CC6A28">
          <w:rPr>
            <w:rStyle w:val="Hyperlink"/>
            <w:noProof/>
          </w:rPr>
          <w:t>Table 16</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Javanbakht (2020b)</w:t>
        </w:r>
        <w:r w:rsidR="007105D3">
          <w:rPr>
            <w:noProof/>
            <w:webHidden/>
          </w:rPr>
          <w:tab/>
        </w:r>
        <w:r w:rsidR="007105D3">
          <w:rPr>
            <w:noProof/>
            <w:webHidden/>
          </w:rPr>
          <w:fldChar w:fldCharType="begin"/>
        </w:r>
        <w:r w:rsidR="007105D3">
          <w:rPr>
            <w:noProof/>
            <w:webHidden/>
          </w:rPr>
          <w:instrText xml:space="preserve"> PAGEREF _Toc165627884 \h </w:instrText>
        </w:r>
        <w:r w:rsidR="007105D3">
          <w:rPr>
            <w:noProof/>
            <w:webHidden/>
          </w:rPr>
        </w:r>
        <w:r w:rsidR="007105D3">
          <w:rPr>
            <w:noProof/>
            <w:webHidden/>
          </w:rPr>
          <w:fldChar w:fldCharType="separate"/>
        </w:r>
        <w:r w:rsidR="007105D3">
          <w:rPr>
            <w:noProof/>
            <w:webHidden/>
          </w:rPr>
          <w:t>41</w:t>
        </w:r>
        <w:r w:rsidR="007105D3">
          <w:rPr>
            <w:noProof/>
            <w:webHidden/>
          </w:rPr>
          <w:fldChar w:fldCharType="end"/>
        </w:r>
      </w:hyperlink>
    </w:p>
    <w:p w14:paraId="52C7C068" w14:textId="5DB0AA34"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5" w:history="1">
        <w:r w:rsidR="007105D3" w:rsidRPr="00CC6A28">
          <w:rPr>
            <w:rStyle w:val="Hyperlink"/>
            <w:noProof/>
          </w:rPr>
          <w:t>Table 17</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Javanbakht (2020b) – at 10 years and lifetime</w:t>
        </w:r>
        <w:r w:rsidR="007105D3">
          <w:rPr>
            <w:noProof/>
            <w:webHidden/>
          </w:rPr>
          <w:tab/>
        </w:r>
        <w:r w:rsidR="007105D3">
          <w:rPr>
            <w:noProof/>
            <w:webHidden/>
          </w:rPr>
          <w:fldChar w:fldCharType="begin"/>
        </w:r>
        <w:r w:rsidR="007105D3">
          <w:rPr>
            <w:noProof/>
            <w:webHidden/>
          </w:rPr>
          <w:instrText xml:space="preserve"> PAGEREF _Toc165627885 \h </w:instrText>
        </w:r>
        <w:r w:rsidR="007105D3">
          <w:rPr>
            <w:noProof/>
            <w:webHidden/>
          </w:rPr>
        </w:r>
        <w:r w:rsidR="007105D3">
          <w:rPr>
            <w:noProof/>
            <w:webHidden/>
          </w:rPr>
          <w:fldChar w:fldCharType="separate"/>
        </w:r>
        <w:r w:rsidR="007105D3">
          <w:rPr>
            <w:noProof/>
            <w:webHidden/>
          </w:rPr>
          <w:t>41</w:t>
        </w:r>
        <w:r w:rsidR="007105D3">
          <w:rPr>
            <w:noProof/>
            <w:webHidden/>
          </w:rPr>
          <w:fldChar w:fldCharType="end"/>
        </w:r>
      </w:hyperlink>
    </w:p>
    <w:p w14:paraId="542D27D4" w14:textId="286FB7CB"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6" w:history="1">
        <w:r w:rsidR="007105D3" w:rsidRPr="00CC6A28">
          <w:rPr>
            <w:rStyle w:val="Hyperlink"/>
            <w:noProof/>
          </w:rPr>
          <w:t>Table 18</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Kunkle (2015)</w:t>
        </w:r>
        <w:r w:rsidR="007105D3">
          <w:rPr>
            <w:noProof/>
            <w:webHidden/>
          </w:rPr>
          <w:tab/>
        </w:r>
        <w:r w:rsidR="007105D3">
          <w:rPr>
            <w:noProof/>
            <w:webHidden/>
          </w:rPr>
          <w:fldChar w:fldCharType="begin"/>
        </w:r>
        <w:r w:rsidR="007105D3">
          <w:rPr>
            <w:noProof/>
            <w:webHidden/>
          </w:rPr>
          <w:instrText xml:space="preserve"> PAGEREF _Toc165627886 \h </w:instrText>
        </w:r>
        <w:r w:rsidR="007105D3">
          <w:rPr>
            <w:noProof/>
            <w:webHidden/>
          </w:rPr>
        </w:r>
        <w:r w:rsidR="007105D3">
          <w:rPr>
            <w:noProof/>
            <w:webHidden/>
          </w:rPr>
          <w:fldChar w:fldCharType="separate"/>
        </w:r>
        <w:r w:rsidR="007105D3">
          <w:rPr>
            <w:noProof/>
            <w:webHidden/>
          </w:rPr>
          <w:t>42</w:t>
        </w:r>
        <w:r w:rsidR="007105D3">
          <w:rPr>
            <w:noProof/>
            <w:webHidden/>
          </w:rPr>
          <w:fldChar w:fldCharType="end"/>
        </w:r>
      </w:hyperlink>
    </w:p>
    <w:p w14:paraId="635DC5E2" w14:textId="604A82FD"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7" w:history="1">
        <w:r w:rsidR="007105D3" w:rsidRPr="00CC6A28">
          <w:rPr>
            <w:rStyle w:val="Hyperlink"/>
            <w:noProof/>
          </w:rPr>
          <w:t>Table 19</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Kunkle (2015) – at 1 year</w:t>
        </w:r>
        <w:r w:rsidR="007105D3">
          <w:rPr>
            <w:noProof/>
            <w:webHidden/>
          </w:rPr>
          <w:tab/>
        </w:r>
        <w:r w:rsidR="007105D3">
          <w:rPr>
            <w:noProof/>
            <w:webHidden/>
          </w:rPr>
          <w:fldChar w:fldCharType="begin"/>
        </w:r>
        <w:r w:rsidR="007105D3">
          <w:rPr>
            <w:noProof/>
            <w:webHidden/>
          </w:rPr>
          <w:instrText xml:space="preserve"> PAGEREF _Toc165627887 \h </w:instrText>
        </w:r>
        <w:r w:rsidR="007105D3">
          <w:rPr>
            <w:noProof/>
            <w:webHidden/>
          </w:rPr>
        </w:r>
        <w:r w:rsidR="007105D3">
          <w:rPr>
            <w:noProof/>
            <w:webHidden/>
          </w:rPr>
          <w:fldChar w:fldCharType="separate"/>
        </w:r>
        <w:r w:rsidR="007105D3">
          <w:rPr>
            <w:noProof/>
            <w:webHidden/>
          </w:rPr>
          <w:t>43</w:t>
        </w:r>
        <w:r w:rsidR="007105D3">
          <w:rPr>
            <w:noProof/>
            <w:webHidden/>
          </w:rPr>
          <w:fldChar w:fldCharType="end"/>
        </w:r>
      </w:hyperlink>
    </w:p>
    <w:p w14:paraId="1F7D4F16" w14:textId="10E73F4D"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8" w:history="1">
        <w:r w:rsidR="007105D3" w:rsidRPr="00CC6A28">
          <w:rPr>
            <w:rStyle w:val="Hyperlink"/>
            <w:noProof/>
          </w:rPr>
          <w:t>Table 20</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Seklehner (2014)</w:t>
        </w:r>
        <w:r w:rsidR="007105D3">
          <w:rPr>
            <w:noProof/>
            <w:webHidden/>
          </w:rPr>
          <w:tab/>
        </w:r>
        <w:r w:rsidR="007105D3">
          <w:rPr>
            <w:noProof/>
            <w:webHidden/>
          </w:rPr>
          <w:fldChar w:fldCharType="begin"/>
        </w:r>
        <w:r w:rsidR="007105D3">
          <w:rPr>
            <w:noProof/>
            <w:webHidden/>
          </w:rPr>
          <w:instrText xml:space="preserve"> PAGEREF _Toc165627888 \h </w:instrText>
        </w:r>
        <w:r w:rsidR="007105D3">
          <w:rPr>
            <w:noProof/>
            <w:webHidden/>
          </w:rPr>
        </w:r>
        <w:r w:rsidR="007105D3">
          <w:rPr>
            <w:noProof/>
            <w:webHidden/>
          </w:rPr>
          <w:fldChar w:fldCharType="separate"/>
        </w:r>
        <w:r w:rsidR="007105D3">
          <w:rPr>
            <w:noProof/>
            <w:webHidden/>
          </w:rPr>
          <w:t>43</w:t>
        </w:r>
        <w:r w:rsidR="007105D3">
          <w:rPr>
            <w:noProof/>
            <w:webHidden/>
          </w:rPr>
          <w:fldChar w:fldCharType="end"/>
        </w:r>
      </w:hyperlink>
    </w:p>
    <w:p w14:paraId="254FCC9F" w14:textId="0D46627D"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89" w:history="1">
        <w:r w:rsidR="007105D3" w:rsidRPr="00CC6A28">
          <w:rPr>
            <w:rStyle w:val="Hyperlink"/>
            <w:noProof/>
          </w:rPr>
          <w:t>Table 21</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Seklehner (2014) – based on objective cure at 10 years</w:t>
        </w:r>
        <w:r w:rsidR="007105D3">
          <w:rPr>
            <w:noProof/>
            <w:webHidden/>
          </w:rPr>
          <w:tab/>
        </w:r>
        <w:r w:rsidR="007105D3">
          <w:rPr>
            <w:noProof/>
            <w:webHidden/>
          </w:rPr>
          <w:fldChar w:fldCharType="begin"/>
        </w:r>
        <w:r w:rsidR="007105D3">
          <w:rPr>
            <w:noProof/>
            <w:webHidden/>
          </w:rPr>
          <w:instrText xml:space="preserve"> PAGEREF _Toc165627889 \h </w:instrText>
        </w:r>
        <w:r w:rsidR="007105D3">
          <w:rPr>
            <w:noProof/>
            <w:webHidden/>
          </w:rPr>
        </w:r>
        <w:r w:rsidR="007105D3">
          <w:rPr>
            <w:noProof/>
            <w:webHidden/>
          </w:rPr>
          <w:fldChar w:fldCharType="separate"/>
        </w:r>
        <w:r w:rsidR="007105D3">
          <w:rPr>
            <w:noProof/>
            <w:webHidden/>
          </w:rPr>
          <w:t>44</w:t>
        </w:r>
        <w:r w:rsidR="007105D3">
          <w:rPr>
            <w:noProof/>
            <w:webHidden/>
          </w:rPr>
          <w:fldChar w:fldCharType="end"/>
        </w:r>
      </w:hyperlink>
    </w:p>
    <w:p w14:paraId="0169AA23" w14:textId="63C37EA0"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0" w:history="1">
        <w:r w:rsidR="007105D3" w:rsidRPr="00CC6A28">
          <w:rPr>
            <w:rStyle w:val="Hyperlink"/>
            <w:noProof/>
          </w:rPr>
          <w:t>Table 22</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Laudano (2013)</w:t>
        </w:r>
        <w:r w:rsidR="007105D3">
          <w:rPr>
            <w:noProof/>
            <w:webHidden/>
          </w:rPr>
          <w:tab/>
        </w:r>
        <w:r w:rsidR="007105D3">
          <w:rPr>
            <w:noProof/>
            <w:webHidden/>
          </w:rPr>
          <w:fldChar w:fldCharType="begin"/>
        </w:r>
        <w:r w:rsidR="007105D3">
          <w:rPr>
            <w:noProof/>
            <w:webHidden/>
          </w:rPr>
          <w:instrText xml:space="preserve"> PAGEREF _Toc165627890 \h </w:instrText>
        </w:r>
        <w:r w:rsidR="007105D3">
          <w:rPr>
            <w:noProof/>
            <w:webHidden/>
          </w:rPr>
        </w:r>
        <w:r w:rsidR="007105D3">
          <w:rPr>
            <w:noProof/>
            <w:webHidden/>
          </w:rPr>
          <w:fldChar w:fldCharType="separate"/>
        </w:r>
        <w:r w:rsidR="007105D3">
          <w:rPr>
            <w:noProof/>
            <w:webHidden/>
          </w:rPr>
          <w:t>44</w:t>
        </w:r>
        <w:r w:rsidR="007105D3">
          <w:rPr>
            <w:noProof/>
            <w:webHidden/>
          </w:rPr>
          <w:fldChar w:fldCharType="end"/>
        </w:r>
      </w:hyperlink>
    </w:p>
    <w:p w14:paraId="4DB0A0EF" w14:textId="5AC0C85B"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1" w:history="1">
        <w:r w:rsidR="007105D3" w:rsidRPr="00CC6A28">
          <w:rPr>
            <w:rStyle w:val="Hyperlink"/>
            <w:noProof/>
          </w:rPr>
          <w:t>Table 23</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Laudano (2013) – at 10 years</w:t>
        </w:r>
        <w:r w:rsidR="007105D3">
          <w:rPr>
            <w:noProof/>
            <w:webHidden/>
          </w:rPr>
          <w:tab/>
        </w:r>
        <w:r w:rsidR="007105D3">
          <w:rPr>
            <w:noProof/>
            <w:webHidden/>
          </w:rPr>
          <w:fldChar w:fldCharType="begin"/>
        </w:r>
        <w:r w:rsidR="007105D3">
          <w:rPr>
            <w:noProof/>
            <w:webHidden/>
          </w:rPr>
          <w:instrText xml:space="preserve"> PAGEREF _Toc165627891 \h </w:instrText>
        </w:r>
        <w:r w:rsidR="007105D3">
          <w:rPr>
            <w:noProof/>
            <w:webHidden/>
          </w:rPr>
        </w:r>
        <w:r w:rsidR="007105D3">
          <w:rPr>
            <w:noProof/>
            <w:webHidden/>
          </w:rPr>
          <w:fldChar w:fldCharType="separate"/>
        </w:r>
        <w:r w:rsidR="007105D3">
          <w:rPr>
            <w:noProof/>
            <w:webHidden/>
          </w:rPr>
          <w:t>45</w:t>
        </w:r>
        <w:r w:rsidR="007105D3">
          <w:rPr>
            <w:noProof/>
            <w:webHidden/>
          </w:rPr>
          <w:fldChar w:fldCharType="end"/>
        </w:r>
      </w:hyperlink>
    </w:p>
    <w:p w14:paraId="0C1ACEB7" w14:textId="34650A15"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2" w:history="1">
        <w:r w:rsidR="007105D3" w:rsidRPr="00CC6A28">
          <w:rPr>
            <w:rStyle w:val="Hyperlink"/>
            <w:noProof/>
          </w:rPr>
          <w:t>Table 24</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Casteleijn (2023)</w:t>
        </w:r>
        <w:r w:rsidR="007105D3">
          <w:rPr>
            <w:noProof/>
            <w:webHidden/>
          </w:rPr>
          <w:tab/>
        </w:r>
        <w:r w:rsidR="007105D3">
          <w:rPr>
            <w:noProof/>
            <w:webHidden/>
          </w:rPr>
          <w:fldChar w:fldCharType="begin"/>
        </w:r>
        <w:r w:rsidR="007105D3">
          <w:rPr>
            <w:noProof/>
            <w:webHidden/>
          </w:rPr>
          <w:instrText xml:space="preserve"> PAGEREF _Toc165627892 \h </w:instrText>
        </w:r>
        <w:r w:rsidR="007105D3">
          <w:rPr>
            <w:noProof/>
            <w:webHidden/>
          </w:rPr>
        </w:r>
        <w:r w:rsidR="007105D3">
          <w:rPr>
            <w:noProof/>
            <w:webHidden/>
          </w:rPr>
          <w:fldChar w:fldCharType="separate"/>
        </w:r>
        <w:r w:rsidR="007105D3">
          <w:rPr>
            <w:noProof/>
            <w:webHidden/>
          </w:rPr>
          <w:t>45</w:t>
        </w:r>
        <w:r w:rsidR="007105D3">
          <w:rPr>
            <w:noProof/>
            <w:webHidden/>
          </w:rPr>
          <w:fldChar w:fldCharType="end"/>
        </w:r>
      </w:hyperlink>
    </w:p>
    <w:p w14:paraId="7B78F1E8" w14:textId="44E70815"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3" w:history="1">
        <w:r w:rsidR="007105D3" w:rsidRPr="00CC6A28">
          <w:rPr>
            <w:rStyle w:val="Hyperlink"/>
            <w:noProof/>
          </w:rPr>
          <w:t>Table 25</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Casteleijn (2023) – at 1 year</w:t>
        </w:r>
        <w:r w:rsidR="007105D3">
          <w:rPr>
            <w:noProof/>
            <w:webHidden/>
          </w:rPr>
          <w:tab/>
        </w:r>
        <w:r w:rsidR="007105D3">
          <w:rPr>
            <w:noProof/>
            <w:webHidden/>
          </w:rPr>
          <w:fldChar w:fldCharType="begin"/>
        </w:r>
        <w:r w:rsidR="007105D3">
          <w:rPr>
            <w:noProof/>
            <w:webHidden/>
          </w:rPr>
          <w:instrText xml:space="preserve"> PAGEREF _Toc165627893 \h </w:instrText>
        </w:r>
        <w:r w:rsidR="007105D3">
          <w:rPr>
            <w:noProof/>
            <w:webHidden/>
          </w:rPr>
        </w:r>
        <w:r w:rsidR="007105D3">
          <w:rPr>
            <w:noProof/>
            <w:webHidden/>
          </w:rPr>
          <w:fldChar w:fldCharType="separate"/>
        </w:r>
        <w:r w:rsidR="007105D3">
          <w:rPr>
            <w:noProof/>
            <w:webHidden/>
          </w:rPr>
          <w:t>46</w:t>
        </w:r>
        <w:r w:rsidR="007105D3">
          <w:rPr>
            <w:noProof/>
            <w:webHidden/>
          </w:rPr>
          <w:fldChar w:fldCharType="end"/>
        </w:r>
      </w:hyperlink>
    </w:p>
    <w:p w14:paraId="69E550A8" w14:textId="365912F1"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4" w:history="1">
        <w:r w:rsidR="007105D3" w:rsidRPr="00CC6A28">
          <w:rPr>
            <w:rStyle w:val="Hyperlink"/>
            <w:noProof/>
          </w:rPr>
          <w:t>Table 26</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Study characteristics of Lier (2017)</w:t>
        </w:r>
        <w:r w:rsidR="007105D3">
          <w:rPr>
            <w:noProof/>
            <w:webHidden/>
          </w:rPr>
          <w:tab/>
        </w:r>
        <w:r w:rsidR="007105D3">
          <w:rPr>
            <w:noProof/>
            <w:webHidden/>
          </w:rPr>
          <w:fldChar w:fldCharType="begin"/>
        </w:r>
        <w:r w:rsidR="007105D3">
          <w:rPr>
            <w:noProof/>
            <w:webHidden/>
          </w:rPr>
          <w:instrText xml:space="preserve"> PAGEREF _Toc165627894 \h </w:instrText>
        </w:r>
        <w:r w:rsidR="007105D3">
          <w:rPr>
            <w:noProof/>
            <w:webHidden/>
          </w:rPr>
        </w:r>
        <w:r w:rsidR="007105D3">
          <w:rPr>
            <w:noProof/>
            <w:webHidden/>
          </w:rPr>
          <w:fldChar w:fldCharType="separate"/>
        </w:r>
        <w:r w:rsidR="007105D3">
          <w:rPr>
            <w:noProof/>
            <w:webHidden/>
          </w:rPr>
          <w:t>46</w:t>
        </w:r>
        <w:r w:rsidR="007105D3">
          <w:rPr>
            <w:noProof/>
            <w:webHidden/>
          </w:rPr>
          <w:fldChar w:fldCharType="end"/>
        </w:r>
      </w:hyperlink>
    </w:p>
    <w:p w14:paraId="1D543525" w14:textId="266C7173"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5" w:history="1">
        <w:r w:rsidR="007105D3" w:rsidRPr="00CC6A28">
          <w:rPr>
            <w:rStyle w:val="Hyperlink"/>
            <w:noProof/>
          </w:rPr>
          <w:t>Table 27</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Outcomes of Lier (2017) – at 5 years</w:t>
        </w:r>
        <w:r w:rsidR="007105D3">
          <w:rPr>
            <w:noProof/>
            <w:webHidden/>
          </w:rPr>
          <w:tab/>
        </w:r>
        <w:r w:rsidR="007105D3">
          <w:rPr>
            <w:noProof/>
            <w:webHidden/>
          </w:rPr>
          <w:fldChar w:fldCharType="begin"/>
        </w:r>
        <w:r w:rsidR="007105D3">
          <w:rPr>
            <w:noProof/>
            <w:webHidden/>
          </w:rPr>
          <w:instrText xml:space="preserve"> PAGEREF _Toc165627895 \h </w:instrText>
        </w:r>
        <w:r w:rsidR="007105D3">
          <w:rPr>
            <w:noProof/>
            <w:webHidden/>
          </w:rPr>
        </w:r>
        <w:r w:rsidR="007105D3">
          <w:rPr>
            <w:noProof/>
            <w:webHidden/>
          </w:rPr>
          <w:fldChar w:fldCharType="separate"/>
        </w:r>
        <w:r w:rsidR="007105D3">
          <w:rPr>
            <w:noProof/>
            <w:webHidden/>
          </w:rPr>
          <w:t>47</w:t>
        </w:r>
        <w:r w:rsidR="007105D3">
          <w:rPr>
            <w:noProof/>
            <w:webHidden/>
          </w:rPr>
          <w:fldChar w:fldCharType="end"/>
        </w:r>
      </w:hyperlink>
    </w:p>
    <w:p w14:paraId="42878670" w14:textId="7258692D"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6" w:history="1">
        <w:r w:rsidR="007105D3" w:rsidRPr="00CC6A28">
          <w:rPr>
            <w:rStyle w:val="Hyperlink"/>
            <w:noProof/>
          </w:rPr>
          <w:t>Table 28</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Proposed MUS procedure costs to the Commonwealth (private setting only)</w:t>
        </w:r>
        <w:r w:rsidR="007105D3">
          <w:rPr>
            <w:noProof/>
            <w:webHidden/>
          </w:rPr>
          <w:tab/>
        </w:r>
        <w:r w:rsidR="007105D3">
          <w:rPr>
            <w:noProof/>
            <w:webHidden/>
          </w:rPr>
          <w:fldChar w:fldCharType="begin"/>
        </w:r>
        <w:r w:rsidR="007105D3">
          <w:rPr>
            <w:noProof/>
            <w:webHidden/>
          </w:rPr>
          <w:instrText xml:space="preserve"> PAGEREF _Toc165627896 \h </w:instrText>
        </w:r>
        <w:r w:rsidR="007105D3">
          <w:rPr>
            <w:noProof/>
            <w:webHidden/>
          </w:rPr>
        </w:r>
        <w:r w:rsidR="007105D3">
          <w:rPr>
            <w:noProof/>
            <w:webHidden/>
          </w:rPr>
          <w:fldChar w:fldCharType="separate"/>
        </w:r>
        <w:r w:rsidR="007105D3">
          <w:rPr>
            <w:noProof/>
            <w:webHidden/>
          </w:rPr>
          <w:t>49</w:t>
        </w:r>
        <w:r w:rsidR="007105D3">
          <w:rPr>
            <w:noProof/>
            <w:webHidden/>
          </w:rPr>
          <w:fldChar w:fldCharType="end"/>
        </w:r>
      </w:hyperlink>
    </w:p>
    <w:p w14:paraId="643D40CA" w14:textId="2C782F82"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7" w:history="1">
        <w:r w:rsidR="007105D3" w:rsidRPr="00CC6A28">
          <w:rPr>
            <w:rStyle w:val="Hyperlink"/>
            <w:noProof/>
          </w:rPr>
          <w:t>Table 29</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Resource use and other costs to the Commonwealth for mid-urethral sling surgery</w:t>
        </w:r>
        <w:r w:rsidR="007105D3">
          <w:rPr>
            <w:noProof/>
            <w:webHidden/>
          </w:rPr>
          <w:tab/>
        </w:r>
        <w:r w:rsidR="007105D3">
          <w:rPr>
            <w:noProof/>
            <w:webHidden/>
          </w:rPr>
          <w:fldChar w:fldCharType="begin"/>
        </w:r>
        <w:r w:rsidR="007105D3">
          <w:rPr>
            <w:noProof/>
            <w:webHidden/>
          </w:rPr>
          <w:instrText xml:space="preserve"> PAGEREF _Toc165627897 \h </w:instrText>
        </w:r>
        <w:r w:rsidR="007105D3">
          <w:rPr>
            <w:noProof/>
            <w:webHidden/>
          </w:rPr>
        </w:r>
        <w:r w:rsidR="007105D3">
          <w:rPr>
            <w:noProof/>
            <w:webHidden/>
          </w:rPr>
          <w:fldChar w:fldCharType="separate"/>
        </w:r>
        <w:r w:rsidR="007105D3">
          <w:rPr>
            <w:noProof/>
            <w:webHidden/>
          </w:rPr>
          <w:t>50</w:t>
        </w:r>
        <w:r w:rsidR="007105D3">
          <w:rPr>
            <w:noProof/>
            <w:webHidden/>
          </w:rPr>
          <w:fldChar w:fldCharType="end"/>
        </w:r>
      </w:hyperlink>
    </w:p>
    <w:p w14:paraId="1CEB77E0" w14:textId="1B1A827F"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8" w:history="1">
        <w:r w:rsidR="007105D3" w:rsidRPr="00CC6A28">
          <w:rPr>
            <w:rStyle w:val="Hyperlink"/>
            <w:noProof/>
          </w:rPr>
          <w:t>Table 30</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Device unit costs outside Australia – USA</w:t>
        </w:r>
        <w:r w:rsidR="007105D3">
          <w:rPr>
            <w:noProof/>
            <w:webHidden/>
          </w:rPr>
          <w:tab/>
        </w:r>
        <w:r w:rsidR="007105D3">
          <w:rPr>
            <w:noProof/>
            <w:webHidden/>
          </w:rPr>
          <w:fldChar w:fldCharType="begin"/>
        </w:r>
        <w:r w:rsidR="007105D3">
          <w:rPr>
            <w:noProof/>
            <w:webHidden/>
          </w:rPr>
          <w:instrText xml:space="preserve"> PAGEREF _Toc165627898 \h </w:instrText>
        </w:r>
        <w:r w:rsidR="007105D3">
          <w:rPr>
            <w:noProof/>
            <w:webHidden/>
          </w:rPr>
        </w:r>
        <w:r w:rsidR="007105D3">
          <w:rPr>
            <w:noProof/>
            <w:webHidden/>
          </w:rPr>
          <w:fldChar w:fldCharType="separate"/>
        </w:r>
        <w:r w:rsidR="007105D3">
          <w:rPr>
            <w:noProof/>
            <w:webHidden/>
          </w:rPr>
          <w:t>50</w:t>
        </w:r>
        <w:r w:rsidR="007105D3">
          <w:rPr>
            <w:noProof/>
            <w:webHidden/>
          </w:rPr>
          <w:fldChar w:fldCharType="end"/>
        </w:r>
      </w:hyperlink>
    </w:p>
    <w:p w14:paraId="106294D5" w14:textId="50457364"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899" w:history="1">
        <w:r w:rsidR="007105D3" w:rsidRPr="00CC6A28">
          <w:rPr>
            <w:rStyle w:val="Hyperlink"/>
            <w:noProof/>
          </w:rPr>
          <w:t>Table 31</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Procedure costs used in the included economic studies and relevant cost analyses (mesh only)</w:t>
        </w:r>
        <w:r w:rsidR="007105D3">
          <w:rPr>
            <w:noProof/>
            <w:webHidden/>
          </w:rPr>
          <w:tab/>
        </w:r>
        <w:r w:rsidR="007105D3">
          <w:rPr>
            <w:noProof/>
            <w:webHidden/>
          </w:rPr>
          <w:fldChar w:fldCharType="begin"/>
        </w:r>
        <w:r w:rsidR="007105D3">
          <w:rPr>
            <w:noProof/>
            <w:webHidden/>
          </w:rPr>
          <w:instrText xml:space="preserve"> PAGEREF _Toc165627899 \h </w:instrText>
        </w:r>
        <w:r w:rsidR="007105D3">
          <w:rPr>
            <w:noProof/>
            <w:webHidden/>
          </w:rPr>
        </w:r>
        <w:r w:rsidR="007105D3">
          <w:rPr>
            <w:noProof/>
            <w:webHidden/>
          </w:rPr>
          <w:fldChar w:fldCharType="separate"/>
        </w:r>
        <w:r w:rsidR="007105D3">
          <w:rPr>
            <w:noProof/>
            <w:webHidden/>
          </w:rPr>
          <w:t>51</w:t>
        </w:r>
        <w:r w:rsidR="007105D3">
          <w:rPr>
            <w:noProof/>
            <w:webHidden/>
          </w:rPr>
          <w:fldChar w:fldCharType="end"/>
        </w:r>
      </w:hyperlink>
    </w:p>
    <w:p w14:paraId="30F47BA8" w14:textId="52B69024"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0" w:history="1">
        <w:r w:rsidR="007105D3" w:rsidRPr="00CC6A28">
          <w:rPr>
            <w:rStyle w:val="Hyperlink"/>
            <w:noProof/>
          </w:rPr>
          <w:t>Table 32</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Summary of NICE findings for colposuspension versus MUS</w:t>
        </w:r>
        <w:r w:rsidR="007105D3">
          <w:rPr>
            <w:noProof/>
            <w:webHidden/>
          </w:rPr>
          <w:tab/>
        </w:r>
        <w:r w:rsidR="007105D3">
          <w:rPr>
            <w:noProof/>
            <w:webHidden/>
          </w:rPr>
          <w:fldChar w:fldCharType="begin"/>
        </w:r>
        <w:r w:rsidR="007105D3">
          <w:rPr>
            <w:noProof/>
            <w:webHidden/>
          </w:rPr>
          <w:instrText xml:space="preserve"> PAGEREF _Toc165627900 \h </w:instrText>
        </w:r>
        <w:r w:rsidR="007105D3">
          <w:rPr>
            <w:noProof/>
            <w:webHidden/>
          </w:rPr>
        </w:r>
        <w:r w:rsidR="007105D3">
          <w:rPr>
            <w:noProof/>
            <w:webHidden/>
          </w:rPr>
          <w:fldChar w:fldCharType="separate"/>
        </w:r>
        <w:r w:rsidR="007105D3">
          <w:rPr>
            <w:noProof/>
            <w:webHidden/>
          </w:rPr>
          <w:t>52</w:t>
        </w:r>
        <w:r w:rsidR="007105D3">
          <w:rPr>
            <w:noProof/>
            <w:webHidden/>
          </w:rPr>
          <w:fldChar w:fldCharType="end"/>
        </w:r>
      </w:hyperlink>
    </w:p>
    <w:p w14:paraId="2E38B26D" w14:textId="7079E425"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1" w:history="1">
        <w:r w:rsidR="007105D3" w:rsidRPr="00CC6A28">
          <w:rPr>
            <w:rStyle w:val="Hyperlink"/>
            <w:noProof/>
          </w:rPr>
          <w:t>Table 33</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Summary of findings for autologous rectus fascial sling versus MUS based on relevant studies from NICE review</w:t>
        </w:r>
        <w:r w:rsidR="007105D3">
          <w:rPr>
            <w:noProof/>
            <w:webHidden/>
          </w:rPr>
          <w:tab/>
        </w:r>
        <w:r w:rsidR="007105D3">
          <w:rPr>
            <w:noProof/>
            <w:webHidden/>
          </w:rPr>
          <w:fldChar w:fldCharType="begin"/>
        </w:r>
        <w:r w:rsidR="007105D3">
          <w:rPr>
            <w:noProof/>
            <w:webHidden/>
          </w:rPr>
          <w:instrText xml:space="preserve"> PAGEREF _Toc165627901 \h </w:instrText>
        </w:r>
        <w:r w:rsidR="007105D3">
          <w:rPr>
            <w:noProof/>
            <w:webHidden/>
          </w:rPr>
        </w:r>
        <w:r w:rsidR="007105D3">
          <w:rPr>
            <w:noProof/>
            <w:webHidden/>
          </w:rPr>
          <w:fldChar w:fldCharType="separate"/>
        </w:r>
        <w:r w:rsidR="007105D3">
          <w:rPr>
            <w:noProof/>
            <w:webHidden/>
          </w:rPr>
          <w:t>53</w:t>
        </w:r>
        <w:r w:rsidR="007105D3">
          <w:rPr>
            <w:noProof/>
            <w:webHidden/>
          </w:rPr>
          <w:fldChar w:fldCharType="end"/>
        </w:r>
      </w:hyperlink>
    </w:p>
    <w:p w14:paraId="5021C3A2" w14:textId="66A92A13"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2" w:history="1">
        <w:r w:rsidR="007105D3" w:rsidRPr="00CC6A28">
          <w:rPr>
            <w:rStyle w:val="Hyperlink"/>
            <w:noProof/>
          </w:rPr>
          <w:t>Table 34</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Summary of NICE findings for TO-MUS versus RP-MUS</w:t>
        </w:r>
        <w:r w:rsidR="007105D3">
          <w:rPr>
            <w:noProof/>
            <w:webHidden/>
          </w:rPr>
          <w:tab/>
        </w:r>
        <w:r w:rsidR="007105D3">
          <w:rPr>
            <w:noProof/>
            <w:webHidden/>
          </w:rPr>
          <w:fldChar w:fldCharType="begin"/>
        </w:r>
        <w:r w:rsidR="007105D3">
          <w:rPr>
            <w:noProof/>
            <w:webHidden/>
          </w:rPr>
          <w:instrText xml:space="preserve"> PAGEREF _Toc165627902 \h </w:instrText>
        </w:r>
        <w:r w:rsidR="007105D3">
          <w:rPr>
            <w:noProof/>
            <w:webHidden/>
          </w:rPr>
        </w:r>
        <w:r w:rsidR="007105D3">
          <w:rPr>
            <w:noProof/>
            <w:webHidden/>
          </w:rPr>
          <w:fldChar w:fldCharType="separate"/>
        </w:r>
        <w:r w:rsidR="007105D3">
          <w:rPr>
            <w:noProof/>
            <w:webHidden/>
          </w:rPr>
          <w:t>54</w:t>
        </w:r>
        <w:r w:rsidR="007105D3">
          <w:rPr>
            <w:noProof/>
            <w:webHidden/>
          </w:rPr>
          <w:fldChar w:fldCharType="end"/>
        </w:r>
      </w:hyperlink>
    </w:p>
    <w:p w14:paraId="3A5AF4FE" w14:textId="6BCF09F1"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3" w:history="1">
        <w:r w:rsidR="007105D3" w:rsidRPr="00CC6A28">
          <w:rPr>
            <w:rStyle w:val="Hyperlink"/>
            <w:noProof/>
          </w:rPr>
          <w:t>Table 35</w:t>
        </w:r>
        <w:r w:rsidR="007105D3">
          <w:rPr>
            <w:rFonts w:asciiTheme="minorHAnsi" w:eastAsiaTheme="minorEastAsia" w:hAnsiTheme="minorHAnsi" w:cstheme="minorBidi"/>
            <w:noProof/>
            <w:kern w:val="2"/>
            <w:sz w:val="24"/>
            <w:szCs w:val="24"/>
            <w:lang w:eastAsia="en-AU"/>
            <w14:ligatures w14:val="standardContextual"/>
          </w:rPr>
          <w:tab/>
        </w:r>
        <w:r w:rsidR="007105D3" w:rsidRPr="00CC6A28">
          <w:rPr>
            <w:rStyle w:val="Hyperlink"/>
            <w:noProof/>
          </w:rPr>
          <w:t>Summary of cost-effectiveness findings</w:t>
        </w:r>
        <w:r w:rsidR="007105D3">
          <w:rPr>
            <w:noProof/>
            <w:webHidden/>
          </w:rPr>
          <w:tab/>
        </w:r>
        <w:r w:rsidR="007105D3">
          <w:rPr>
            <w:noProof/>
            <w:webHidden/>
          </w:rPr>
          <w:fldChar w:fldCharType="begin"/>
        </w:r>
        <w:r w:rsidR="007105D3">
          <w:rPr>
            <w:noProof/>
            <w:webHidden/>
          </w:rPr>
          <w:instrText xml:space="preserve"> PAGEREF _Toc165627903 \h </w:instrText>
        </w:r>
        <w:r w:rsidR="007105D3">
          <w:rPr>
            <w:noProof/>
            <w:webHidden/>
          </w:rPr>
        </w:r>
        <w:r w:rsidR="007105D3">
          <w:rPr>
            <w:noProof/>
            <w:webHidden/>
          </w:rPr>
          <w:fldChar w:fldCharType="separate"/>
        </w:r>
        <w:r w:rsidR="007105D3">
          <w:rPr>
            <w:noProof/>
            <w:webHidden/>
          </w:rPr>
          <w:t>57</w:t>
        </w:r>
        <w:r w:rsidR="007105D3">
          <w:rPr>
            <w:noProof/>
            <w:webHidden/>
          </w:rPr>
          <w:fldChar w:fldCharType="end"/>
        </w:r>
      </w:hyperlink>
    </w:p>
    <w:p w14:paraId="66CB1A63" w14:textId="77777777" w:rsidR="007105D3" w:rsidRDefault="00682586">
      <w:pPr>
        <w:pStyle w:val="TableofFigures"/>
        <w:tabs>
          <w:tab w:val="right" w:leader="dot" w:pos="9628"/>
        </w:tabs>
        <w:rPr>
          <w:noProof/>
        </w:rPr>
      </w:pPr>
      <w:r w:rsidRPr="00B0485F">
        <w:fldChar w:fldCharType="end"/>
      </w:r>
      <w:r w:rsidR="001F0686" w:rsidRPr="00B0485F">
        <w:fldChar w:fldCharType="begin"/>
      </w:r>
      <w:r w:rsidR="001F0686" w:rsidRPr="00B0485F">
        <w:instrText xml:space="preserve"> TOC \h \z \c "Table App." </w:instrText>
      </w:r>
      <w:r w:rsidR="001F0686" w:rsidRPr="00B0485F">
        <w:fldChar w:fldCharType="separate"/>
      </w:r>
    </w:p>
    <w:p w14:paraId="18C04805" w14:textId="2F15888D"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4" w:history="1">
        <w:r w:rsidR="007105D3" w:rsidRPr="00361039">
          <w:rPr>
            <w:rStyle w:val="Hyperlink"/>
            <w:noProof/>
          </w:rPr>
          <w:t>Table App. 1</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Search strategy to identify comparative clinical effectiveness evidence on mid-urethral slings</w:t>
        </w:r>
        <w:r w:rsidR="007105D3">
          <w:rPr>
            <w:noProof/>
            <w:webHidden/>
          </w:rPr>
          <w:tab/>
        </w:r>
        <w:r w:rsidR="007105D3">
          <w:rPr>
            <w:noProof/>
            <w:webHidden/>
          </w:rPr>
          <w:fldChar w:fldCharType="begin"/>
        </w:r>
        <w:r w:rsidR="007105D3">
          <w:rPr>
            <w:noProof/>
            <w:webHidden/>
          </w:rPr>
          <w:instrText xml:space="preserve"> PAGEREF _Toc165627904 \h </w:instrText>
        </w:r>
        <w:r w:rsidR="007105D3">
          <w:rPr>
            <w:noProof/>
            <w:webHidden/>
          </w:rPr>
        </w:r>
        <w:r w:rsidR="007105D3">
          <w:rPr>
            <w:noProof/>
            <w:webHidden/>
          </w:rPr>
          <w:fldChar w:fldCharType="separate"/>
        </w:r>
        <w:r w:rsidR="007105D3">
          <w:rPr>
            <w:noProof/>
            <w:webHidden/>
          </w:rPr>
          <w:t>62</w:t>
        </w:r>
        <w:r w:rsidR="007105D3">
          <w:rPr>
            <w:noProof/>
            <w:webHidden/>
          </w:rPr>
          <w:fldChar w:fldCharType="end"/>
        </w:r>
      </w:hyperlink>
    </w:p>
    <w:p w14:paraId="2397AB8E" w14:textId="293AEB81"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5" w:history="1">
        <w:r w:rsidR="007105D3" w:rsidRPr="00361039">
          <w:rPr>
            <w:rStyle w:val="Hyperlink"/>
            <w:noProof/>
          </w:rPr>
          <w:t>Table App. 2</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Search strategy to identify comparative cost effectiveness evidence on mid-urethral slings</w:t>
        </w:r>
        <w:r w:rsidR="007105D3">
          <w:rPr>
            <w:noProof/>
            <w:webHidden/>
          </w:rPr>
          <w:tab/>
        </w:r>
        <w:r w:rsidR="007105D3">
          <w:rPr>
            <w:noProof/>
            <w:webHidden/>
          </w:rPr>
          <w:fldChar w:fldCharType="begin"/>
        </w:r>
        <w:r w:rsidR="007105D3">
          <w:rPr>
            <w:noProof/>
            <w:webHidden/>
          </w:rPr>
          <w:instrText xml:space="preserve"> PAGEREF _Toc165627905 \h </w:instrText>
        </w:r>
        <w:r w:rsidR="007105D3">
          <w:rPr>
            <w:noProof/>
            <w:webHidden/>
          </w:rPr>
        </w:r>
        <w:r w:rsidR="007105D3">
          <w:rPr>
            <w:noProof/>
            <w:webHidden/>
          </w:rPr>
          <w:fldChar w:fldCharType="separate"/>
        </w:r>
        <w:r w:rsidR="007105D3">
          <w:rPr>
            <w:noProof/>
            <w:webHidden/>
          </w:rPr>
          <w:t>63</w:t>
        </w:r>
        <w:r w:rsidR="007105D3">
          <w:rPr>
            <w:noProof/>
            <w:webHidden/>
          </w:rPr>
          <w:fldChar w:fldCharType="end"/>
        </w:r>
      </w:hyperlink>
    </w:p>
    <w:p w14:paraId="0C9D21DC" w14:textId="0540D18A"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6" w:history="1">
        <w:r w:rsidR="007105D3" w:rsidRPr="00361039">
          <w:rPr>
            <w:rStyle w:val="Hyperlink"/>
            <w:noProof/>
          </w:rPr>
          <w:t>Table App. 3</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included RCTs for colposuspension versus MUS</w:t>
        </w:r>
        <w:r w:rsidR="007105D3">
          <w:rPr>
            <w:noProof/>
            <w:webHidden/>
          </w:rPr>
          <w:tab/>
        </w:r>
        <w:r w:rsidR="007105D3">
          <w:rPr>
            <w:noProof/>
            <w:webHidden/>
          </w:rPr>
          <w:fldChar w:fldCharType="begin"/>
        </w:r>
        <w:r w:rsidR="007105D3">
          <w:rPr>
            <w:noProof/>
            <w:webHidden/>
          </w:rPr>
          <w:instrText xml:space="preserve"> PAGEREF _Toc165627906 \h </w:instrText>
        </w:r>
        <w:r w:rsidR="007105D3">
          <w:rPr>
            <w:noProof/>
            <w:webHidden/>
          </w:rPr>
        </w:r>
        <w:r w:rsidR="007105D3">
          <w:rPr>
            <w:noProof/>
            <w:webHidden/>
          </w:rPr>
          <w:fldChar w:fldCharType="separate"/>
        </w:r>
        <w:r w:rsidR="007105D3">
          <w:rPr>
            <w:noProof/>
            <w:webHidden/>
          </w:rPr>
          <w:t>65</w:t>
        </w:r>
        <w:r w:rsidR="007105D3">
          <w:rPr>
            <w:noProof/>
            <w:webHidden/>
          </w:rPr>
          <w:fldChar w:fldCharType="end"/>
        </w:r>
      </w:hyperlink>
    </w:p>
    <w:p w14:paraId="03289C0A" w14:textId="2C54ADEA"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7" w:history="1">
        <w:r w:rsidR="007105D3" w:rsidRPr="00361039">
          <w:rPr>
            <w:rStyle w:val="Hyperlink"/>
            <w:noProof/>
          </w:rPr>
          <w:t>Table App. 4</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included RCTs for autologous rectus fascial sling versus MUS</w:t>
        </w:r>
        <w:r w:rsidR="007105D3">
          <w:rPr>
            <w:noProof/>
            <w:webHidden/>
          </w:rPr>
          <w:tab/>
        </w:r>
        <w:r w:rsidR="007105D3">
          <w:rPr>
            <w:noProof/>
            <w:webHidden/>
          </w:rPr>
          <w:fldChar w:fldCharType="begin"/>
        </w:r>
        <w:r w:rsidR="007105D3">
          <w:rPr>
            <w:noProof/>
            <w:webHidden/>
          </w:rPr>
          <w:instrText xml:space="preserve"> PAGEREF _Toc165627907 \h </w:instrText>
        </w:r>
        <w:r w:rsidR="007105D3">
          <w:rPr>
            <w:noProof/>
            <w:webHidden/>
          </w:rPr>
        </w:r>
        <w:r w:rsidR="007105D3">
          <w:rPr>
            <w:noProof/>
            <w:webHidden/>
          </w:rPr>
          <w:fldChar w:fldCharType="separate"/>
        </w:r>
        <w:r w:rsidR="007105D3">
          <w:rPr>
            <w:noProof/>
            <w:webHidden/>
          </w:rPr>
          <w:t>66</w:t>
        </w:r>
        <w:r w:rsidR="007105D3">
          <w:rPr>
            <w:noProof/>
            <w:webHidden/>
          </w:rPr>
          <w:fldChar w:fldCharType="end"/>
        </w:r>
      </w:hyperlink>
    </w:p>
    <w:p w14:paraId="47F6D811" w14:textId="0A052905"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8" w:history="1">
        <w:r w:rsidR="007105D3" w:rsidRPr="00361039">
          <w:rPr>
            <w:rStyle w:val="Hyperlink"/>
            <w:noProof/>
          </w:rPr>
          <w:t>Table App. 5</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included RCTs for TO-MUS versus RP-MUS</w:t>
        </w:r>
        <w:r w:rsidR="007105D3">
          <w:rPr>
            <w:noProof/>
            <w:webHidden/>
          </w:rPr>
          <w:tab/>
        </w:r>
        <w:r w:rsidR="007105D3">
          <w:rPr>
            <w:noProof/>
            <w:webHidden/>
          </w:rPr>
          <w:fldChar w:fldCharType="begin"/>
        </w:r>
        <w:r w:rsidR="007105D3">
          <w:rPr>
            <w:noProof/>
            <w:webHidden/>
          </w:rPr>
          <w:instrText xml:space="preserve"> PAGEREF _Toc165627908 \h </w:instrText>
        </w:r>
        <w:r w:rsidR="007105D3">
          <w:rPr>
            <w:noProof/>
            <w:webHidden/>
          </w:rPr>
        </w:r>
        <w:r w:rsidR="007105D3">
          <w:rPr>
            <w:noProof/>
            <w:webHidden/>
          </w:rPr>
          <w:fldChar w:fldCharType="separate"/>
        </w:r>
        <w:r w:rsidR="007105D3">
          <w:rPr>
            <w:noProof/>
            <w:webHidden/>
          </w:rPr>
          <w:t>66</w:t>
        </w:r>
        <w:r w:rsidR="007105D3">
          <w:rPr>
            <w:noProof/>
            <w:webHidden/>
          </w:rPr>
          <w:fldChar w:fldCharType="end"/>
        </w:r>
      </w:hyperlink>
    </w:p>
    <w:p w14:paraId="63CBD300" w14:textId="3BB2E653"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09" w:history="1">
        <w:r w:rsidR="007105D3" w:rsidRPr="00361039">
          <w:rPr>
            <w:rStyle w:val="Hyperlink"/>
            <w:noProof/>
          </w:rPr>
          <w:t>Table App. 6</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included RCTs for open colposuspension versus RP-MUS</w:t>
        </w:r>
        <w:r w:rsidR="007105D3">
          <w:rPr>
            <w:noProof/>
            <w:webHidden/>
          </w:rPr>
          <w:tab/>
        </w:r>
        <w:r w:rsidR="007105D3">
          <w:rPr>
            <w:noProof/>
            <w:webHidden/>
          </w:rPr>
          <w:fldChar w:fldCharType="begin"/>
        </w:r>
        <w:r w:rsidR="007105D3">
          <w:rPr>
            <w:noProof/>
            <w:webHidden/>
          </w:rPr>
          <w:instrText xml:space="preserve"> PAGEREF _Toc165627909 \h </w:instrText>
        </w:r>
        <w:r w:rsidR="007105D3">
          <w:rPr>
            <w:noProof/>
            <w:webHidden/>
          </w:rPr>
        </w:r>
        <w:r w:rsidR="007105D3">
          <w:rPr>
            <w:noProof/>
            <w:webHidden/>
          </w:rPr>
          <w:fldChar w:fldCharType="separate"/>
        </w:r>
        <w:r w:rsidR="007105D3">
          <w:rPr>
            <w:noProof/>
            <w:webHidden/>
          </w:rPr>
          <w:t>75</w:t>
        </w:r>
        <w:r w:rsidR="007105D3">
          <w:rPr>
            <w:noProof/>
            <w:webHidden/>
          </w:rPr>
          <w:fldChar w:fldCharType="end"/>
        </w:r>
      </w:hyperlink>
    </w:p>
    <w:p w14:paraId="1D6A9B24" w14:textId="0A4FCE80"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10" w:history="1">
        <w:r w:rsidR="007105D3" w:rsidRPr="00361039">
          <w:rPr>
            <w:rStyle w:val="Hyperlink"/>
            <w:noProof/>
          </w:rPr>
          <w:t>Table App. 7</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included RCTs for laparoscopic colposuspension versus RP-MUS</w:t>
        </w:r>
        <w:r w:rsidR="007105D3">
          <w:rPr>
            <w:noProof/>
            <w:webHidden/>
          </w:rPr>
          <w:tab/>
        </w:r>
        <w:r w:rsidR="007105D3">
          <w:rPr>
            <w:noProof/>
            <w:webHidden/>
          </w:rPr>
          <w:fldChar w:fldCharType="begin"/>
        </w:r>
        <w:r w:rsidR="007105D3">
          <w:rPr>
            <w:noProof/>
            <w:webHidden/>
          </w:rPr>
          <w:instrText xml:space="preserve"> PAGEREF _Toc165627910 \h </w:instrText>
        </w:r>
        <w:r w:rsidR="007105D3">
          <w:rPr>
            <w:noProof/>
            <w:webHidden/>
          </w:rPr>
        </w:r>
        <w:r w:rsidR="007105D3">
          <w:rPr>
            <w:noProof/>
            <w:webHidden/>
          </w:rPr>
          <w:fldChar w:fldCharType="separate"/>
        </w:r>
        <w:r w:rsidR="007105D3">
          <w:rPr>
            <w:noProof/>
            <w:webHidden/>
          </w:rPr>
          <w:t>75</w:t>
        </w:r>
        <w:r w:rsidR="007105D3">
          <w:rPr>
            <w:noProof/>
            <w:webHidden/>
          </w:rPr>
          <w:fldChar w:fldCharType="end"/>
        </w:r>
      </w:hyperlink>
    </w:p>
    <w:p w14:paraId="1DCE7C63" w14:textId="20CD6710"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11" w:history="1">
        <w:r w:rsidR="007105D3" w:rsidRPr="00361039">
          <w:rPr>
            <w:rStyle w:val="Hyperlink"/>
            <w:noProof/>
          </w:rPr>
          <w:t>Table App. 8</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included RCTs for open colposuspension versus TO-MUS</w:t>
        </w:r>
        <w:r w:rsidR="007105D3">
          <w:rPr>
            <w:noProof/>
            <w:webHidden/>
          </w:rPr>
          <w:tab/>
        </w:r>
        <w:r w:rsidR="007105D3">
          <w:rPr>
            <w:noProof/>
            <w:webHidden/>
          </w:rPr>
          <w:fldChar w:fldCharType="begin"/>
        </w:r>
        <w:r w:rsidR="007105D3">
          <w:rPr>
            <w:noProof/>
            <w:webHidden/>
          </w:rPr>
          <w:instrText xml:space="preserve"> PAGEREF _Toc165627911 \h </w:instrText>
        </w:r>
        <w:r w:rsidR="007105D3">
          <w:rPr>
            <w:noProof/>
            <w:webHidden/>
          </w:rPr>
        </w:r>
        <w:r w:rsidR="007105D3">
          <w:rPr>
            <w:noProof/>
            <w:webHidden/>
          </w:rPr>
          <w:fldChar w:fldCharType="separate"/>
        </w:r>
        <w:r w:rsidR="007105D3">
          <w:rPr>
            <w:noProof/>
            <w:webHidden/>
          </w:rPr>
          <w:t>76</w:t>
        </w:r>
        <w:r w:rsidR="007105D3">
          <w:rPr>
            <w:noProof/>
            <w:webHidden/>
          </w:rPr>
          <w:fldChar w:fldCharType="end"/>
        </w:r>
      </w:hyperlink>
    </w:p>
    <w:p w14:paraId="1586A04F" w14:textId="6A035065"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12" w:history="1">
        <w:r w:rsidR="007105D3" w:rsidRPr="00361039">
          <w:rPr>
            <w:rStyle w:val="Hyperlink"/>
            <w:noProof/>
          </w:rPr>
          <w:t>Table App. 9</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included RCTs for TO-MUS versus RP-MUS</w:t>
        </w:r>
        <w:r w:rsidR="007105D3">
          <w:rPr>
            <w:noProof/>
            <w:webHidden/>
          </w:rPr>
          <w:tab/>
        </w:r>
        <w:r w:rsidR="007105D3">
          <w:rPr>
            <w:noProof/>
            <w:webHidden/>
          </w:rPr>
          <w:fldChar w:fldCharType="begin"/>
        </w:r>
        <w:r w:rsidR="007105D3">
          <w:rPr>
            <w:noProof/>
            <w:webHidden/>
          </w:rPr>
          <w:instrText xml:space="preserve"> PAGEREF _Toc165627912 \h </w:instrText>
        </w:r>
        <w:r w:rsidR="007105D3">
          <w:rPr>
            <w:noProof/>
            <w:webHidden/>
          </w:rPr>
        </w:r>
        <w:r w:rsidR="007105D3">
          <w:rPr>
            <w:noProof/>
            <w:webHidden/>
          </w:rPr>
          <w:fldChar w:fldCharType="separate"/>
        </w:r>
        <w:r w:rsidR="007105D3">
          <w:rPr>
            <w:noProof/>
            <w:webHidden/>
          </w:rPr>
          <w:t>76</w:t>
        </w:r>
        <w:r w:rsidR="007105D3">
          <w:rPr>
            <w:noProof/>
            <w:webHidden/>
          </w:rPr>
          <w:fldChar w:fldCharType="end"/>
        </w:r>
      </w:hyperlink>
    </w:p>
    <w:p w14:paraId="68C0AEF8" w14:textId="1B6EA411"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13" w:history="1">
        <w:r w:rsidR="007105D3" w:rsidRPr="00361039">
          <w:rPr>
            <w:rStyle w:val="Hyperlink"/>
            <w:noProof/>
          </w:rPr>
          <w:t>Table App. 10</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studies with relevant interventions and long-term (&gt;5 years) complication data</w:t>
        </w:r>
        <w:r w:rsidR="007105D3">
          <w:rPr>
            <w:noProof/>
            <w:webHidden/>
          </w:rPr>
          <w:tab/>
        </w:r>
        <w:r w:rsidR="007105D3">
          <w:rPr>
            <w:noProof/>
            <w:webHidden/>
          </w:rPr>
          <w:fldChar w:fldCharType="begin"/>
        </w:r>
        <w:r w:rsidR="007105D3">
          <w:rPr>
            <w:noProof/>
            <w:webHidden/>
          </w:rPr>
          <w:instrText xml:space="preserve"> PAGEREF _Toc165627913 \h </w:instrText>
        </w:r>
        <w:r w:rsidR="007105D3">
          <w:rPr>
            <w:noProof/>
            <w:webHidden/>
          </w:rPr>
        </w:r>
        <w:r w:rsidR="007105D3">
          <w:rPr>
            <w:noProof/>
            <w:webHidden/>
          </w:rPr>
          <w:fldChar w:fldCharType="separate"/>
        </w:r>
        <w:r w:rsidR="007105D3">
          <w:rPr>
            <w:noProof/>
            <w:webHidden/>
          </w:rPr>
          <w:t>82</w:t>
        </w:r>
        <w:r w:rsidR="007105D3">
          <w:rPr>
            <w:noProof/>
            <w:webHidden/>
          </w:rPr>
          <w:fldChar w:fldCharType="end"/>
        </w:r>
      </w:hyperlink>
    </w:p>
    <w:p w14:paraId="430549BE" w14:textId="34198D09"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14" w:history="1">
        <w:r w:rsidR="007105D3" w:rsidRPr="00361039">
          <w:rPr>
            <w:rStyle w:val="Hyperlink"/>
            <w:noProof/>
          </w:rPr>
          <w:t>Table App. 11</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clinical practice guidelines and position statements addressing MUS for the treatment of SUI</w:t>
        </w:r>
        <w:r w:rsidR="007105D3">
          <w:rPr>
            <w:noProof/>
            <w:webHidden/>
          </w:rPr>
          <w:tab/>
        </w:r>
        <w:r w:rsidR="007105D3">
          <w:rPr>
            <w:noProof/>
            <w:webHidden/>
          </w:rPr>
          <w:fldChar w:fldCharType="begin"/>
        </w:r>
        <w:r w:rsidR="007105D3">
          <w:rPr>
            <w:noProof/>
            <w:webHidden/>
          </w:rPr>
          <w:instrText xml:space="preserve"> PAGEREF _Toc165627914 \h </w:instrText>
        </w:r>
        <w:r w:rsidR="007105D3">
          <w:rPr>
            <w:noProof/>
            <w:webHidden/>
          </w:rPr>
        </w:r>
        <w:r w:rsidR="007105D3">
          <w:rPr>
            <w:noProof/>
            <w:webHidden/>
          </w:rPr>
          <w:fldChar w:fldCharType="separate"/>
        </w:r>
        <w:r w:rsidR="007105D3">
          <w:rPr>
            <w:noProof/>
            <w:webHidden/>
          </w:rPr>
          <w:t>86</w:t>
        </w:r>
        <w:r w:rsidR="007105D3">
          <w:rPr>
            <w:noProof/>
            <w:webHidden/>
          </w:rPr>
          <w:fldChar w:fldCharType="end"/>
        </w:r>
      </w:hyperlink>
    </w:p>
    <w:p w14:paraId="3CEADC35" w14:textId="6B936FD6" w:rsidR="007105D3" w:rsidRDefault="00000000">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165627915" w:history="1">
        <w:r w:rsidR="007105D3" w:rsidRPr="00361039">
          <w:rPr>
            <w:rStyle w:val="Hyperlink"/>
            <w:noProof/>
          </w:rPr>
          <w:t>Table App. 12</w:t>
        </w:r>
        <w:r w:rsidR="007105D3">
          <w:rPr>
            <w:rFonts w:asciiTheme="minorHAnsi" w:eastAsiaTheme="minorEastAsia" w:hAnsiTheme="minorHAnsi" w:cstheme="minorBidi"/>
            <w:noProof/>
            <w:kern w:val="2"/>
            <w:sz w:val="24"/>
            <w:szCs w:val="24"/>
            <w:lang w:eastAsia="en-AU"/>
            <w14:ligatures w14:val="standardContextual"/>
          </w:rPr>
          <w:tab/>
        </w:r>
        <w:r w:rsidR="007105D3" w:rsidRPr="00361039">
          <w:rPr>
            <w:rStyle w:val="Hyperlink"/>
            <w:noProof/>
          </w:rPr>
          <w:t>Summary of Health Canada safety review of standard synthetic mid-urethral sling (SMUS) made from non-absorbable synthetic material</w:t>
        </w:r>
        <w:r w:rsidR="007105D3">
          <w:rPr>
            <w:noProof/>
            <w:webHidden/>
          </w:rPr>
          <w:tab/>
        </w:r>
        <w:r w:rsidR="007105D3">
          <w:rPr>
            <w:noProof/>
            <w:webHidden/>
          </w:rPr>
          <w:fldChar w:fldCharType="begin"/>
        </w:r>
        <w:r w:rsidR="007105D3">
          <w:rPr>
            <w:noProof/>
            <w:webHidden/>
          </w:rPr>
          <w:instrText xml:space="preserve"> PAGEREF _Toc165627915 \h </w:instrText>
        </w:r>
        <w:r w:rsidR="007105D3">
          <w:rPr>
            <w:noProof/>
            <w:webHidden/>
          </w:rPr>
        </w:r>
        <w:r w:rsidR="007105D3">
          <w:rPr>
            <w:noProof/>
            <w:webHidden/>
          </w:rPr>
          <w:fldChar w:fldCharType="separate"/>
        </w:r>
        <w:r w:rsidR="007105D3">
          <w:rPr>
            <w:noProof/>
            <w:webHidden/>
          </w:rPr>
          <w:t>92</w:t>
        </w:r>
        <w:r w:rsidR="007105D3">
          <w:rPr>
            <w:noProof/>
            <w:webHidden/>
          </w:rPr>
          <w:fldChar w:fldCharType="end"/>
        </w:r>
      </w:hyperlink>
    </w:p>
    <w:p w14:paraId="13A0F20E" w14:textId="71DD4C24" w:rsidR="001F0686" w:rsidRPr="00B0485F" w:rsidRDefault="001F0686" w:rsidP="00682586">
      <w:pPr>
        <w:pStyle w:val="TableofFigures"/>
      </w:pPr>
      <w:r w:rsidRPr="00B0485F">
        <w:fldChar w:fldCharType="end"/>
      </w:r>
    </w:p>
    <w:p w14:paraId="1212201E" w14:textId="749AD506" w:rsidR="00CB7015" w:rsidRPr="00B0485F" w:rsidRDefault="00CB7015" w:rsidP="00DE5894">
      <w:pPr>
        <w:pStyle w:val="TOCHeading"/>
        <w:spacing w:before="240"/>
        <w:rPr>
          <w:lang w:val="en-AU"/>
        </w:rPr>
      </w:pPr>
      <w:r w:rsidRPr="00B0485F">
        <w:rPr>
          <w:lang w:val="en-AU"/>
        </w:rPr>
        <w:t>figures</w:t>
      </w:r>
    </w:p>
    <w:p w14:paraId="24075716" w14:textId="56C10B55" w:rsidR="007105D3" w:rsidRDefault="00F90769">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rsidRPr="00B0485F">
        <w:fldChar w:fldCharType="begin"/>
      </w:r>
      <w:r w:rsidRPr="00B0485F">
        <w:instrText xml:space="preserve"> TOC \h \z \c "Figure" </w:instrText>
      </w:r>
      <w:r w:rsidRPr="00B0485F">
        <w:fldChar w:fldCharType="separate"/>
      </w:r>
      <w:hyperlink w:anchor="_Toc165627916" w:history="1">
        <w:r w:rsidR="007105D3" w:rsidRPr="006B29BA">
          <w:rPr>
            <w:rStyle w:val="Hyperlink"/>
            <w:noProof/>
          </w:rPr>
          <w:t>Figure 1</w:t>
        </w:r>
        <w:r w:rsidR="007105D3">
          <w:rPr>
            <w:rFonts w:asciiTheme="minorHAnsi" w:eastAsiaTheme="minorEastAsia" w:hAnsiTheme="minorHAnsi" w:cstheme="minorBidi"/>
            <w:noProof/>
            <w:kern w:val="2"/>
            <w:sz w:val="24"/>
            <w:szCs w:val="24"/>
            <w:lang w:eastAsia="en-AU"/>
            <w14:ligatures w14:val="standardContextual"/>
          </w:rPr>
          <w:tab/>
        </w:r>
        <w:r w:rsidR="007105D3" w:rsidRPr="006B29BA">
          <w:rPr>
            <w:rStyle w:val="Hyperlink"/>
            <w:noProof/>
          </w:rPr>
          <w:t>ACSQHC Care pathway for the management of stress urinary incontinence (SUI)</w:t>
        </w:r>
        <w:r w:rsidR="007105D3">
          <w:rPr>
            <w:noProof/>
            <w:webHidden/>
          </w:rPr>
          <w:tab/>
        </w:r>
        <w:r w:rsidR="007105D3">
          <w:rPr>
            <w:noProof/>
            <w:webHidden/>
          </w:rPr>
          <w:fldChar w:fldCharType="begin"/>
        </w:r>
        <w:r w:rsidR="007105D3">
          <w:rPr>
            <w:noProof/>
            <w:webHidden/>
          </w:rPr>
          <w:instrText xml:space="preserve"> PAGEREF _Toc165627916 \h </w:instrText>
        </w:r>
        <w:r w:rsidR="007105D3">
          <w:rPr>
            <w:noProof/>
            <w:webHidden/>
          </w:rPr>
        </w:r>
        <w:r w:rsidR="007105D3">
          <w:rPr>
            <w:noProof/>
            <w:webHidden/>
          </w:rPr>
          <w:fldChar w:fldCharType="separate"/>
        </w:r>
        <w:r w:rsidR="007105D3">
          <w:rPr>
            <w:noProof/>
            <w:webHidden/>
          </w:rPr>
          <w:t>19</w:t>
        </w:r>
        <w:r w:rsidR="007105D3">
          <w:rPr>
            <w:noProof/>
            <w:webHidden/>
          </w:rPr>
          <w:fldChar w:fldCharType="end"/>
        </w:r>
      </w:hyperlink>
    </w:p>
    <w:p w14:paraId="6906CB77" w14:textId="48A4BE5C" w:rsidR="0034464C" w:rsidRPr="00B0485F" w:rsidRDefault="00F90769" w:rsidP="00682586">
      <w:pPr>
        <w:pStyle w:val="ExecSumHeading1"/>
      </w:pPr>
      <w:r w:rsidRPr="00B0485F">
        <w:lastRenderedPageBreak/>
        <w:fldChar w:fldCharType="end"/>
      </w:r>
      <w:bookmarkStart w:id="1" w:name="_Toc165627803"/>
      <w:r w:rsidR="0034464C" w:rsidRPr="00B0485F">
        <w:t>Abbreviations</w:t>
      </w:r>
      <w:bookmarkEnd w:id="0"/>
      <w:bookmarkEnd w:id="1"/>
      <w:r w:rsidR="00D47A81" w:rsidRPr="00B0485F">
        <w:t xml:space="preserve"> </w:t>
      </w:r>
    </w:p>
    <w:p w14:paraId="54321E98" w14:textId="16F0E534" w:rsidR="006709E6" w:rsidRPr="00B0485F" w:rsidRDefault="006709E6" w:rsidP="003B4825">
      <w:pPr>
        <w:tabs>
          <w:tab w:val="left" w:pos="1134"/>
        </w:tabs>
        <w:spacing w:after="120" w:line="240" w:lineRule="auto"/>
      </w:pPr>
      <w:r w:rsidRPr="00B0485F">
        <w:t>ACSQHC</w:t>
      </w:r>
      <w:r w:rsidRPr="00B0485F">
        <w:tab/>
      </w:r>
      <w:r w:rsidR="00471AC5" w:rsidRPr="00B0485F">
        <w:t xml:space="preserve">Australian </w:t>
      </w:r>
      <w:r w:rsidR="00673B45" w:rsidRPr="00B0485F">
        <w:t>Commission</w:t>
      </w:r>
      <w:r w:rsidR="00471AC5" w:rsidRPr="00B0485F">
        <w:t xml:space="preserve"> on Safety and Quality in Health Care</w:t>
      </w:r>
    </w:p>
    <w:p w14:paraId="5C88F243" w14:textId="5A09F93E" w:rsidR="00207578" w:rsidRPr="00B0485F" w:rsidRDefault="00207578" w:rsidP="003B4825">
      <w:pPr>
        <w:tabs>
          <w:tab w:val="left" w:pos="1134"/>
        </w:tabs>
        <w:spacing w:after="120" w:line="240" w:lineRule="auto"/>
      </w:pPr>
      <w:r w:rsidRPr="00B0485F">
        <w:t>AIHW</w:t>
      </w:r>
      <w:r w:rsidRPr="00B0485F">
        <w:tab/>
        <w:t>Australian Institute of Health and Welfare</w:t>
      </w:r>
    </w:p>
    <w:p w14:paraId="1CB69ABE" w14:textId="06E95D2E" w:rsidR="00B03EF0" w:rsidRDefault="00B03EF0" w:rsidP="003B4825">
      <w:pPr>
        <w:tabs>
          <w:tab w:val="left" w:pos="1134"/>
        </w:tabs>
        <w:spacing w:after="120" w:line="240" w:lineRule="auto"/>
      </w:pPr>
      <w:r>
        <w:t>APFPR</w:t>
      </w:r>
      <w:r>
        <w:tab/>
        <w:t>Australa</w:t>
      </w:r>
      <w:r w:rsidR="00D42187">
        <w:t>sia</w:t>
      </w:r>
      <w:r>
        <w:t>n Pelvic Floor Procedure Registry</w:t>
      </w:r>
    </w:p>
    <w:p w14:paraId="7C0CB88D" w14:textId="1D2482B2" w:rsidR="00A81BD2" w:rsidRDefault="00A81BD2" w:rsidP="003B4825">
      <w:pPr>
        <w:tabs>
          <w:tab w:val="left" w:pos="1134"/>
        </w:tabs>
        <w:spacing w:after="120" w:line="240" w:lineRule="auto"/>
      </w:pPr>
      <w:r>
        <w:t>ARTG</w:t>
      </w:r>
      <w:r>
        <w:tab/>
        <w:t>Australian Register of Therapeutic Goods</w:t>
      </w:r>
    </w:p>
    <w:p w14:paraId="220F9939" w14:textId="7EC8E52C" w:rsidR="002F3068" w:rsidRDefault="002F3068" w:rsidP="003B4825">
      <w:pPr>
        <w:tabs>
          <w:tab w:val="left" w:pos="1134"/>
        </w:tabs>
        <w:spacing w:after="120" w:line="240" w:lineRule="auto"/>
      </w:pPr>
      <w:r w:rsidRPr="002F3068">
        <w:t>CEA</w:t>
      </w:r>
      <w:r>
        <w:tab/>
      </w:r>
      <w:r w:rsidRPr="002F3068">
        <w:t>cost-effectiveness analysis</w:t>
      </w:r>
    </w:p>
    <w:p w14:paraId="66A34E3F" w14:textId="74D23FB5" w:rsidR="00FC1693" w:rsidRDefault="00FC1693" w:rsidP="003B4825">
      <w:pPr>
        <w:tabs>
          <w:tab w:val="left" w:pos="1134"/>
        </w:tabs>
        <w:spacing w:after="120" w:line="240" w:lineRule="auto"/>
      </w:pPr>
      <w:r>
        <w:t>CI</w:t>
      </w:r>
      <w:r>
        <w:tab/>
        <w:t>confidence interval</w:t>
      </w:r>
    </w:p>
    <w:p w14:paraId="506D78EA" w14:textId="4A8EE2E5" w:rsidR="002F3068" w:rsidRPr="00B0485F" w:rsidRDefault="002F3068" w:rsidP="003B4825">
      <w:pPr>
        <w:tabs>
          <w:tab w:val="left" w:pos="1134"/>
        </w:tabs>
        <w:spacing w:after="120" w:line="240" w:lineRule="auto"/>
      </w:pPr>
      <w:r>
        <w:t>CUA</w:t>
      </w:r>
      <w:r>
        <w:tab/>
        <w:t>cost-utility analysis</w:t>
      </w:r>
    </w:p>
    <w:p w14:paraId="386FB2CB" w14:textId="3D53943E" w:rsidR="00B67E13" w:rsidRPr="00B0485F" w:rsidRDefault="00336111" w:rsidP="003B4825">
      <w:pPr>
        <w:tabs>
          <w:tab w:val="left" w:pos="1134"/>
        </w:tabs>
        <w:spacing w:after="120" w:line="240" w:lineRule="auto"/>
      </w:pPr>
      <w:proofErr w:type="spellStart"/>
      <w:r w:rsidRPr="00B0485F">
        <w:t>D</w:t>
      </w:r>
      <w:r w:rsidR="001A3BBC">
        <w:t>o</w:t>
      </w:r>
      <w:r w:rsidRPr="00B0485F">
        <w:t>HAC</w:t>
      </w:r>
      <w:proofErr w:type="spellEnd"/>
      <w:r w:rsidRPr="00B0485F">
        <w:tab/>
        <w:t>Department of Health and Aged Care</w:t>
      </w:r>
    </w:p>
    <w:p w14:paraId="431D862F" w14:textId="5411F8EF" w:rsidR="00354D02" w:rsidRPr="00B0485F" w:rsidRDefault="00354D02" w:rsidP="003B4825">
      <w:pPr>
        <w:tabs>
          <w:tab w:val="left" w:pos="1134"/>
        </w:tabs>
        <w:spacing w:after="120" w:line="240" w:lineRule="auto"/>
      </w:pPr>
      <w:r w:rsidRPr="00B0485F">
        <w:t>DRG</w:t>
      </w:r>
      <w:r w:rsidRPr="00B0485F">
        <w:tab/>
      </w:r>
      <w:r w:rsidR="007075AA" w:rsidRPr="00B0485F">
        <w:t>diagnosis related group</w:t>
      </w:r>
    </w:p>
    <w:p w14:paraId="73ABF504" w14:textId="6D58B850" w:rsidR="006C0C81" w:rsidRPr="00B0485F" w:rsidRDefault="006C0C81" w:rsidP="003B4825">
      <w:pPr>
        <w:tabs>
          <w:tab w:val="left" w:pos="1134"/>
        </w:tabs>
        <w:spacing w:after="120" w:line="240" w:lineRule="auto"/>
      </w:pPr>
      <w:r w:rsidRPr="00B0485F">
        <w:t>GRADE</w:t>
      </w:r>
      <w:r w:rsidRPr="00B0485F">
        <w:tab/>
        <w:t>Grading of Recommendations, Assessment, Development and Evaluation</w:t>
      </w:r>
    </w:p>
    <w:p w14:paraId="2FC3D014" w14:textId="254216C7" w:rsidR="00BE7D17" w:rsidRPr="00B0485F" w:rsidRDefault="00BE7D17" w:rsidP="003B4825">
      <w:pPr>
        <w:tabs>
          <w:tab w:val="left" w:pos="1134"/>
        </w:tabs>
        <w:spacing w:after="120" w:line="240" w:lineRule="auto"/>
      </w:pPr>
      <w:r w:rsidRPr="00B0485F">
        <w:t>HTA</w:t>
      </w:r>
      <w:r w:rsidR="00002BF4" w:rsidRPr="00B0485F">
        <w:tab/>
      </w:r>
      <w:bookmarkStart w:id="2" w:name="_Hlk128736372"/>
      <w:r w:rsidR="00C34BB0">
        <w:t>h</w:t>
      </w:r>
      <w:r w:rsidR="00002BF4" w:rsidRPr="00B0485F">
        <w:t xml:space="preserve">ealth </w:t>
      </w:r>
      <w:r w:rsidR="00C34BB0">
        <w:t>t</w:t>
      </w:r>
      <w:r w:rsidR="00002BF4" w:rsidRPr="00B0485F">
        <w:t xml:space="preserve">echnology </w:t>
      </w:r>
      <w:r w:rsidR="00C34BB0">
        <w:t>a</w:t>
      </w:r>
      <w:r w:rsidR="00002BF4" w:rsidRPr="00B0485F">
        <w:t>ssessment</w:t>
      </w:r>
      <w:bookmarkEnd w:id="2"/>
    </w:p>
    <w:p w14:paraId="31F0212E" w14:textId="55DC355E" w:rsidR="00221BBA" w:rsidRDefault="00221BBA" w:rsidP="003B4825">
      <w:pPr>
        <w:tabs>
          <w:tab w:val="left" w:pos="1134"/>
        </w:tabs>
        <w:spacing w:after="120" w:line="240" w:lineRule="auto"/>
      </w:pPr>
      <w:proofErr w:type="spellStart"/>
      <w:r>
        <w:t>HRQoL</w:t>
      </w:r>
      <w:proofErr w:type="spellEnd"/>
      <w:r>
        <w:tab/>
        <w:t>health-related quality of life</w:t>
      </w:r>
    </w:p>
    <w:p w14:paraId="1DD856A1" w14:textId="751B4342" w:rsidR="00987B29" w:rsidRPr="00B0485F" w:rsidRDefault="00987B29" w:rsidP="003B4825">
      <w:pPr>
        <w:tabs>
          <w:tab w:val="left" w:pos="1134"/>
        </w:tabs>
        <w:spacing w:after="120" w:line="240" w:lineRule="auto"/>
      </w:pPr>
      <w:r w:rsidRPr="002618A1">
        <w:t>ICER</w:t>
      </w:r>
      <w:r w:rsidRPr="002618A1">
        <w:tab/>
        <w:t>incremental cost-effectiveness ratio</w:t>
      </w:r>
    </w:p>
    <w:p w14:paraId="51D61098" w14:textId="5D10183F" w:rsidR="006511A9" w:rsidRDefault="006511A9" w:rsidP="003B4825">
      <w:pPr>
        <w:tabs>
          <w:tab w:val="left" w:pos="1134"/>
        </w:tabs>
        <w:spacing w:after="120" w:line="240" w:lineRule="auto"/>
      </w:pPr>
      <w:r>
        <w:t>ICUR</w:t>
      </w:r>
      <w:r>
        <w:tab/>
        <w:t>incremental cost-utility ratio</w:t>
      </w:r>
    </w:p>
    <w:p w14:paraId="7D6A501E" w14:textId="299EF2D1" w:rsidR="00433865" w:rsidRPr="00B0485F" w:rsidRDefault="00433865" w:rsidP="003B4825">
      <w:pPr>
        <w:tabs>
          <w:tab w:val="left" w:pos="1134"/>
        </w:tabs>
        <w:spacing w:after="120" w:line="240" w:lineRule="auto"/>
      </w:pPr>
      <w:r>
        <w:t>IHPA</w:t>
      </w:r>
      <w:r>
        <w:tab/>
        <w:t>Independent Hospital Pricing Authority</w:t>
      </w:r>
    </w:p>
    <w:p w14:paraId="5DCE84C9" w14:textId="26C6E890" w:rsidR="00A77583" w:rsidRPr="00B0485F" w:rsidRDefault="00A77583" w:rsidP="003B4825">
      <w:pPr>
        <w:tabs>
          <w:tab w:val="left" w:pos="1134"/>
        </w:tabs>
        <w:spacing w:after="120" w:line="240" w:lineRule="auto"/>
      </w:pPr>
      <w:r>
        <w:t>INMB</w:t>
      </w:r>
      <w:r>
        <w:tab/>
        <w:t>incremental net monetary benefit</w:t>
      </w:r>
    </w:p>
    <w:p w14:paraId="74B62DC5" w14:textId="33D21FF0" w:rsidR="00A026D5" w:rsidRDefault="00A026D5" w:rsidP="003B4825">
      <w:pPr>
        <w:tabs>
          <w:tab w:val="left" w:pos="1134"/>
        </w:tabs>
        <w:spacing w:after="120" w:line="240" w:lineRule="auto"/>
      </w:pPr>
      <w:r>
        <w:t>MBS</w:t>
      </w:r>
      <w:r>
        <w:tab/>
        <w:t>Medicare Benefits Schedule</w:t>
      </w:r>
    </w:p>
    <w:p w14:paraId="44B8964E" w14:textId="68F75CF6" w:rsidR="0034464C" w:rsidRPr="00B0485F" w:rsidRDefault="00BE7D17" w:rsidP="003B4825">
      <w:pPr>
        <w:tabs>
          <w:tab w:val="left" w:pos="1134"/>
        </w:tabs>
        <w:spacing w:after="120" w:line="240" w:lineRule="auto"/>
      </w:pPr>
      <w:r w:rsidRPr="00B0485F">
        <w:t>MSAC</w:t>
      </w:r>
      <w:r w:rsidR="0034464C" w:rsidRPr="00B0485F">
        <w:tab/>
      </w:r>
      <w:r w:rsidR="00002BF4" w:rsidRPr="00B0485F">
        <w:t>Medical Services Advisory Committee</w:t>
      </w:r>
    </w:p>
    <w:p w14:paraId="6CF6CACF" w14:textId="18D34D69" w:rsidR="00494030" w:rsidRPr="00B0485F" w:rsidRDefault="00494030" w:rsidP="003B4825">
      <w:pPr>
        <w:tabs>
          <w:tab w:val="left" w:pos="1134"/>
        </w:tabs>
        <w:spacing w:after="120" w:line="240" w:lineRule="auto"/>
      </w:pPr>
      <w:r w:rsidRPr="00B0485F">
        <w:t>MID</w:t>
      </w:r>
      <w:r w:rsidRPr="00B0485F">
        <w:tab/>
        <w:t>minimum important difference</w:t>
      </w:r>
    </w:p>
    <w:p w14:paraId="3E706BF4" w14:textId="3EA612DC" w:rsidR="00D81058" w:rsidRDefault="00D81058" w:rsidP="003B4825">
      <w:pPr>
        <w:tabs>
          <w:tab w:val="left" w:pos="1134"/>
        </w:tabs>
        <w:spacing w:after="120" w:line="240" w:lineRule="auto"/>
      </w:pPr>
      <w:r>
        <w:t>MUI</w:t>
      </w:r>
      <w:r>
        <w:tab/>
        <w:t>mixed urinary incontinence</w:t>
      </w:r>
    </w:p>
    <w:p w14:paraId="3F031480" w14:textId="3C9AE7D2" w:rsidR="0071230B" w:rsidRDefault="0071230B" w:rsidP="003B4825">
      <w:pPr>
        <w:tabs>
          <w:tab w:val="left" w:pos="1134"/>
        </w:tabs>
        <w:spacing w:after="120" w:line="240" w:lineRule="auto"/>
      </w:pPr>
      <w:r w:rsidRPr="002618A1">
        <w:t>MUS</w:t>
      </w:r>
      <w:r w:rsidRPr="002618A1">
        <w:tab/>
        <w:t>mid-urethral sling</w:t>
      </w:r>
    </w:p>
    <w:p w14:paraId="34337B31" w14:textId="36901C36" w:rsidR="00E620F2" w:rsidRDefault="00E620F2" w:rsidP="003B4825">
      <w:pPr>
        <w:tabs>
          <w:tab w:val="left" w:pos="1134"/>
        </w:tabs>
        <w:spacing w:after="120" w:line="240" w:lineRule="auto"/>
      </w:pPr>
      <w:r w:rsidRPr="002618A1">
        <w:t>NHS</w:t>
      </w:r>
      <w:r w:rsidRPr="002618A1">
        <w:tab/>
        <w:t>National Health Service (United Kingdom)</w:t>
      </w:r>
    </w:p>
    <w:p w14:paraId="093B5D17" w14:textId="25B1829A" w:rsidR="00FF339C" w:rsidRDefault="00FF339C" w:rsidP="003B4825">
      <w:pPr>
        <w:tabs>
          <w:tab w:val="left" w:pos="1134"/>
        </w:tabs>
        <w:spacing w:after="120" w:line="240" w:lineRule="auto"/>
      </w:pPr>
      <w:r>
        <w:t>NICE</w:t>
      </w:r>
      <w:r w:rsidR="00E97A97">
        <w:tab/>
        <w:t>National Institute for Health and Care Excellence</w:t>
      </w:r>
    </w:p>
    <w:p w14:paraId="5D7391C7" w14:textId="4CBB5C13" w:rsidR="004700C0" w:rsidRDefault="004700C0" w:rsidP="003B4825">
      <w:pPr>
        <w:tabs>
          <w:tab w:val="left" w:pos="1134"/>
        </w:tabs>
        <w:spacing w:after="120" w:line="240" w:lineRule="auto"/>
      </w:pPr>
      <w:r>
        <w:t>NMA</w:t>
      </w:r>
      <w:r>
        <w:tab/>
        <w:t>network meta-analysis</w:t>
      </w:r>
    </w:p>
    <w:p w14:paraId="617CF1E0" w14:textId="48BAE27D" w:rsidR="00433865" w:rsidRDefault="00433865" w:rsidP="003B4825">
      <w:pPr>
        <w:tabs>
          <w:tab w:val="left" w:pos="1134"/>
        </w:tabs>
        <w:spacing w:after="120" w:line="240" w:lineRule="auto"/>
      </w:pPr>
      <w:r>
        <w:t>PBS</w:t>
      </w:r>
      <w:r>
        <w:tab/>
        <w:t>Pharmaceutical Benefits Scheme</w:t>
      </w:r>
    </w:p>
    <w:p w14:paraId="4D586E2F" w14:textId="1C3FFA57" w:rsidR="003B4825" w:rsidRDefault="003B4825" w:rsidP="003B4825">
      <w:pPr>
        <w:tabs>
          <w:tab w:val="left" w:pos="1134"/>
        </w:tabs>
        <w:spacing w:after="120" w:line="240" w:lineRule="auto"/>
      </w:pPr>
      <w:r w:rsidRPr="005150A3">
        <w:t>PICO</w:t>
      </w:r>
      <w:r w:rsidRPr="005150A3">
        <w:tab/>
        <w:t>Research question defined as population, intervention, comparator/s, and outcomes</w:t>
      </w:r>
    </w:p>
    <w:p w14:paraId="27D94BD6" w14:textId="5F303834" w:rsidR="00821A74" w:rsidRPr="00B0485F" w:rsidRDefault="00821A74" w:rsidP="003B4825">
      <w:pPr>
        <w:tabs>
          <w:tab w:val="left" w:pos="1134"/>
        </w:tabs>
        <w:spacing w:after="120" w:line="240" w:lineRule="auto"/>
      </w:pPr>
      <w:r w:rsidRPr="00B0485F">
        <w:t>PL</w:t>
      </w:r>
      <w:r w:rsidRPr="00B0485F">
        <w:tab/>
        <w:t>Prostheses List</w:t>
      </w:r>
    </w:p>
    <w:p w14:paraId="707DBD12" w14:textId="4C31A6D0" w:rsidR="00BE7D17" w:rsidRDefault="00BE7D17" w:rsidP="003B4825">
      <w:pPr>
        <w:tabs>
          <w:tab w:val="left" w:pos="1134"/>
        </w:tabs>
        <w:spacing w:after="120" w:line="240" w:lineRule="auto"/>
      </w:pPr>
      <w:r w:rsidRPr="00B0485F">
        <w:t>PLAC</w:t>
      </w:r>
      <w:r w:rsidRPr="00B0485F">
        <w:tab/>
      </w:r>
      <w:r w:rsidR="00DD75C5" w:rsidRPr="00B0485F">
        <w:t>Prostheses List Advisory Committee</w:t>
      </w:r>
    </w:p>
    <w:p w14:paraId="03C1E053" w14:textId="682F869B" w:rsidR="007A58ED" w:rsidRDefault="007A58ED" w:rsidP="003B4825">
      <w:pPr>
        <w:tabs>
          <w:tab w:val="left" w:pos="1134"/>
        </w:tabs>
        <w:spacing w:after="120" w:line="240" w:lineRule="auto"/>
      </w:pPr>
      <w:r>
        <w:t>POP</w:t>
      </w:r>
      <w:r>
        <w:tab/>
        <w:t xml:space="preserve">pelvic organ </w:t>
      </w:r>
      <w:proofErr w:type="gramStart"/>
      <w:r>
        <w:t>prolapse</w:t>
      </w:r>
      <w:proofErr w:type="gramEnd"/>
    </w:p>
    <w:p w14:paraId="3455A3C7" w14:textId="1447061A" w:rsidR="005812E4" w:rsidRPr="00B0485F" w:rsidRDefault="005812E4" w:rsidP="003B4825">
      <w:pPr>
        <w:tabs>
          <w:tab w:val="left" w:pos="1134"/>
        </w:tabs>
        <w:spacing w:after="120" w:line="240" w:lineRule="auto"/>
      </w:pPr>
      <w:r w:rsidRPr="002618A1">
        <w:t>PVS</w:t>
      </w:r>
      <w:r w:rsidRPr="002618A1">
        <w:tab/>
        <w:t>autologous pubovaginal sling</w:t>
      </w:r>
    </w:p>
    <w:p w14:paraId="332F47A4" w14:textId="6D246EB6" w:rsidR="00582E96" w:rsidRPr="00B0485F" w:rsidRDefault="00582E96" w:rsidP="003B4825">
      <w:pPr>
        <w:tabs>
          <w:tab w:val="left" w:pos="1134"/>
        </w:tabs>
        <w:spacing w:after="120" w:line="240" w:lineRule="auto"/>
      </w:pPr>
      <w:r w:rsidRPr="00B0485F">
        <w:t>RACS</w:t>
      </w:r>
      <w:r w:rsidRPr="00B0485F">
        <w:tab/>
        <w:t>Royal Australasian College of Surgeons</w:t>
      </w:r>
    </w:p>
    <w:p w14:paraId="684DB60E" w14:textId="16D34138" w:rsidR="00582E96" w:rsidRPr="00B0485F" w:rsidRDefault="00582E96" w:rsidP="003B4825">
      <w:pPr>
        <w:tabs>
          <w:tab w:val="left" w:pos="1134"/>
        </w:tabs>
        <w:spacing w:after="120" w:line="240" w:lineRule="auto"/>
      </w:pPr>
      <w:r w:rsidRPr="00B0485F">
        <w:t>RANZCOG</w:t>
      </w:r>
      <w:r w:rsidRPr="00B0485F">
        <w:tab/>
        <w:t>Royal Australian and New Zealand College of Obstetricians and Gynaecologists</w:t>
      </w:r>
    </w:p>
    <w:p w14:paraId="46AC172D" w14:textId="7C419A2C" w:rsidR="00BC45A2" w:rsidRPr="00B0485F" w:rsidRDefault="00BC45A2" w:rsidP="003B4825">
      <w:pPr>
        <w:tabs>
          <w:tab w:val="left" w:pos="1134"/>
        </w:tabs>
        <w:spacing w:after="120" w:line="240" w:lineRule="auto"/>
      </w:pPr>
      <w:r w:rsidRPr="00B0485F">
        <w:t>RCT</w:t>
      </w:r>
      <w:r w:rsidRPr="00B0485F">
        <w:tab/>
        <w:t>randomised controlled trial</w:t>
      </w:r>
    </w:p>
    <w:p w14:paraId="3D9B308C" w14:textId="1CB0D36F" w:rsidR="00ED31AE" w:rsidRDefault="00ED31AE" w:rsidP="003B4825">
      <w:pPr>
        <w:tabs>
          <w:tab w:val="left" w:pos="1134"/>
        </w:tabs>
        <w:spacing w:after="120" w:line="240" w:lineRule="auto"/>
      </w:pPr>
      <w:r w:rsidRPr="00B0485F">
        <w:t>RP</w:t>
      </w:r>
      <w:r w:rsidRPr="00B0485F">
        <w:tab/>
        <w:t>retropubic</w:t>
      </w:r>
    </w:p>
    <w:p w14:paraId="2E64065A" w14:textId="40F61054" w:rsidR="006F55D8" w:rsidRDefault="006F55D8" w:rsidP="003B4825">
      <w:pPr>
        <w:tabs>
          <w:tab w:val="left" w:pos="1134"/>
        </w:tabs>
        <w:spacing w:after="120" w:line="240" w:lineRule="auto"/>
      </w:pPr>
      <w:r>
        <w:t>RR</w:t>
      </w:r>
      <w:r>
        <w:tab/>
        <w:t>relative risk</w:t>
      </w:r>
      <w:r w:rsidR="00ED000A">
        <w:t>/risk ratio</w:t>
      </w:r>
    </w:p>
    <w:p w14:paraId="1B3EB3A1" w14:textId="2D86FB50" w:rsidR="00987B29" w:rsidRDefault="00987B29" w:rsidP="003B4825">
      <w:pPr>
        <w:tabs>
          <w:tab w:val="left" w:pos="1134"/>
        </w:tabs>
        <w:spacing w:after="120" w:line="240" w:lineRule="auto"/>
      </w:pPr>
      <w:r w:rsidRPr="002618A1">
        <w:lastRenderedPageBreak/>
        <w:t>QALY</w:t>
      </w:r>
      <w:r w:rsidRPr="002618A1">
        <w:tab/>
        <w:t>quality-adjusted life year</w:t>
      </w:r>
    </w:p>
    <w:p w14:paraId="534E5FC9" w14:textId="002E9EEB" w:rsidR="00C861CB" w:rsidRDefault="00C861CB" w:rsidP="003B4825">
      <w:pPr>
        <w:tabs>
          <w:tab w:val="left" w:pos="1134"/>
        </w:tabs>
        <w:spacing w:after="120" w:line="240" w:lineRule="auto"/>
      </w:pPr>
      <w:r w:rsidRPr="002618A1">
        <w:t>QoL</w:t>
      </w:r>
      <w:r w:rsidRPr="002618A1">
        <w:tab/>
        <w:t>quality of life</w:t>
      </w:r>
    </w:p>
    <w:p w14:paraId="256420D6" w14:textId="730BB0A4" w:rsidR="00210579" w:rsidRDefault="00210579" w:rsidP="003B4825">
      <w:pPr>
        <w:tabs>
          <w:tab w:val="left" w:pos="1134"/>
        </w:tabs>
        <w:spacing w:after="120" w:line="240" w:lineRule="auto"/>
      </w:pPr>
      <w:r w:rsidRPr="00FF68F7">
        <w:t>SAE</w:t>
      </w:r>
      <w:r w:rsidRPr="00FF68F7">
        <w:tab/>
        <w:t>serious adverse events</w:t>
      </w:r>
    </w:p>
    <w:p w14:paraId="4A8670D4" w14:textId="1BC9BCFE" w:rsidR="00BB0E00" w:rsidRPr="00B0485F" w:rsidRDefault="00BB0E00" w:rsidP="003B4825">
      <w:pPr>
        <w:tabs>
          <w:tab w:val="left" w:pos="1134"/>
        </w:tabs>
        <w:spacing w:after="120" w:line="240" w:lineRule="auto"/>
      </w:pPr>
      <w:r w:rsidRPr="00B0485F">
        <w:t>SUI</w:t>
      </w:r>
      <w:r w:rsidRPr="00B0485F">
        <w:tab/>
        <w:t>stress urinary incontinence</w:t>
      </w:r>
    </w:p>
    <w:p w14:paraId="10C52CAC" w14:textId="4A917D73" w:rsidR="00303DCC" w:rsidRPr="00B0485F" w:rsidRDefault="00303DCC" w:rsidP="003B4825">
      <w:pPr>
        <w:tabs>
          <w:tab w:val="left" w:pos="1134"/>
        </w:tabs>
        <w:spacing w:after="120" w:line="240" w:lineRule="auto"/>
      </w:pPr>
      <w:r w:rsidRPr="00B0485F">
        <w:t>TGA</w:t>
      </w:r>
      <w:r w:rsidRPr="00B0485F">
        <w:tab/>
        <w:t>Therapeutic Goods Administration</w:t>
      </w:r>
    </w:p>
    <w:p w14:paraId="4CBCE120" w14:textId="61ED25BA" w:rsidR="008C3478" w:rsidRDefault="00ED31AE" w:rsidP="003B4825">
      <w:pPr>
        <w:tabs>
          <w:tab w:val="left" w:pos="1134"/>
        </w:tabs>
        <w:spacing w:after="120" w:line="240" w:lineRule="auto"/>
      </w:pPr>
      <w:r w:rsidRPr="00B0485F">
        <w:t>TO</w:t>
      </w:r>
      <w:r w:rsidRPr="00B0485F">
        <w:tab/>
      </w:r>
      <w:proofErr w:type="spellStart"/>
      <w:r w:rsidRPr="00B0485F">
        <w:t>transobturator</w:t>
      </w:r>
      <w:proofErr w:type="spellEnd"/>
    </w:p>
    <w:p w14:paraId="55359972" w14:textId="1C5664E7" w:rsidR="005812E4" w:rsidRPr="002618A1" w:rsidRDefault="005812E4" w:rsidP="003B4825">
      <w:pPr>
        <w:tabs>
          <w:tab w:val="left" w:pos="1134"/>
        </w:tabs>
        <w:spacing w:after="120" w:line="240" w:lineRule="auto"/>
      </w:pPr>
      <w:r w:rsidRPr="002618A1">
        <w:t>TOT</w:t>
      </w:r>
      <w:r w:rsidRPr="002618A1">
        <w:tab/>
      </w:r>
      <w:proofErr w:type="spellStart"/>
      <w:r w:rsidR="00C34BB0">
        <w:t>t</w:t>
      </w:r>
      <w:r w:rsidRPr="002618A1">
        <w:t>ransobturator</w:t>
      </w:r>
      <w:proofErr w:type="spellEnd"/>
      <w:r w:rsidRPr="002618A1">
        <w:t xml:space="preserve"> tape</w:t>
      </w:r>
    </w:p>
    <w:p w14:paraId="4B605502" w14:textId="6B96F03D" w:rsidR="005812E4" w:rsidRPr="00B0485F" w:rsidRDefault="005812E4" w:rsidP="003B4825">
      <w:pPr>
        <w:tabs>
          <w:tab w:val="left" w:pos="1134"/>
        </w:tabs>
        <w:spacing w:after="120" w:line="240" w:lineRule="auto"/>
      </w:pPr>
      <w:r w:rsidRPr="002618A1">
        <w:t>TVT</w:t>
      </w:r>
      <w:r w:rsidRPr="002618A1">
        <w:tab/>
        <w:t>tension-free vaginal tape</w:t>
      </w:r>
    </w:p>
    <w:p w14:paraId="1FC3A1CA" w14:textId="73630EDA" w:rsidR="008F20BF" w:rsidRDefault="008F20BF" w:rsidP="003B4825">
      <w:pPr>
        <w:tabs>
          <w:tab w:val="left" w:pos="1134"/>
        </w:tabs>
        <w:spacing w:after="120" w:line="240" w:lineRule="auto"/>
      </w:pPr>
      <w:r>
        <w:t>UK</w:t>
      </w:r>
      <w:r>
        <w:tab/>
        <w:t>United Kingdom</w:t>
      </w:r>
    </w:p>
    <w:p w14:paraId="1F1DA07C" w14:textId="2C2843F4" w:rsidR="001806F5" w:rsidRPr="00B0485F" w:rsidRDefault="001806F5" w:rsidP="003B4825">
      <w:pPr>
        <w:tabs>
          <w:tab w:val="left" w:pos="1134"/>
        </w:tabs>
        <w:spacing w:after="120" w:line="240" w:lineRule="auto"/>
      </w:pPr>
      <w:r>
        <w:t>US</w:t>
      </w:r>
      <w:r>
        <w:tab/>
        <w:t>United States</w:t>
      </w:r>
    </w:p>
    <w:p w14:paraId="503D5E94" w14:textId="1F3EEC1E" w:rsidR="00224DA9" w:rsidRPr="00B0485F" w:rsidRDefault="007105D3" w:rsidP="003B4825">
      <w:pPr>
        <w:tabs>
          <w:tab w:val="left" w:pos="1134"/>
        </w:tabs>
        <w:spacing w:after="120" w:line="240" w:lineRule="auto"/>
      </w:pPr>
      <w:r>
        <w:t>a</w:t>
      </w:r>
      <w:r w:rsidR="00582E96" w:rsidRPr="00B0485F">
        <w:tab/>
        <w:t>Urological Society of Australia and New Zealand</w:t>
      </w:r>
    </w:p>
    <w:p w14:paraId="47782D66" w14:textId="498304E4" w:rsidR="00301D88" w:rsidRDefault="00301D88" w:rsidP="003B4825">
      <w:pPr>
        <w:tabs>
          <w:tab w:val="left" w:pos="1134"/>
        </w:tabs>
        <w:spacing w:after="120" w:line="240" w:lineRule="auto"/>
      </w:pPr>
      <w:r>
        <w:t>UTI</w:t>
      </w:r>
      <w:r>
        <w:tab/>
        <w:t>urinary tract infection</w:t>
      </w:r>
    </w:p>
    <w:p w14:paraId="1FB753E7" w14:textId="69283B4F" w:rsidR="00862096" w:rsidRDefault="00FE75D6" w:rsidP="003B4825">
      <w:pPr>
        <w:tabs>
          <w:tab w:val="left" w:pos="1134"/>
        </w:tabs>
        <w:spacing w:after="120" w:line="240" w:lineRule="auto"/>
      </w:pPr>
      <w:r w:rsidRPr="00FE75D6">
        <w:t>WTP</w:t>
      </w:r>
      <w:r>
        <w:tab/>
      </w:r>
      <w:r w:rsidRPr="00FE75D6">
        <w:t>willingness to pay (cost-effectiveness threshold)</w:t>
      </w:r>
    </w:p>
    <w:p w14:paraId="79AAA498" w14:textId="77777777" w:rsidR="003177BD" w:rsidRDefault="003177BD" w:rsidP="003B4825">
      <w:pPr>
        <w:tabs>
          <w:tab w:val="left" w:pos="1134"/>
        </w:tabs>
        <w:spacing w:after="120" w:line="240" w:lineRule="auto"/>
      </w:pPr>
    </w:p>
    <w:p w14:paraId="5BC53447" w14:textId="1EEDB14B" w:rsidR="003177BD" w:rsidRDefault="003177BD" w:rsidP="003B4825">
      <w:pPr>
        <w:tabs>
          <w:tab w:val="left" w:pos="1134"/>
        </w:tabs>
        <w:spacing w:after="120" w:line="240" w:lineRule="auto"/>
        <w:sectPr w:rsidR="003177BD" w:rsidSect="003E0819">
          <w:pgSz w:w="11906" w:h="16838"/>
          <w:pgMar w:top="1134" w:right="1134" w:bottom="1134" w:left="1134" w:header="850" w:footer="709" w:gutter="0"/>
          <w:cols w:space="708"/>
          <w:docGrid w:linePitch="360"/>
        </w:sectPr>
      </w:pPr>
    </w:p>
    <w:p w14:paraId="6E128827" w14:textId="264C1752" w:rsidR="00FE75D6" w:rsidRPr="0046585D" w:rsidRDefault="00945B0E" w:rsidP="0046585D">
      <w:pPr>
        <w:pStyle w:val="ExecSumHeading1"/>
      </w:pPr>
      <w:bookmarkStart w:id="3" w:name="_Toc165627804"/>
      <w:r w:rsidRPr="0046585D">
        <w:lastRenderedPageBreak/>
        <w:t>Terminology</w:t>
      </w:r>
      <w:bookmarkEnd w:id="3"/>
    </w:p>
    <w:tbl>
      <w:tblPr>
        <w:tblStyle w:val="TableGrid"/>
        <w:tblW w:w="5000" w:type="pct"/>
        <w:tblLook w:val="04A0" w:firstRow="1" w:lastRow="0" w:firstColumn="1" w:lastColumn="0" w:noHBand="0" w:noVBand="1"/>
        <w:tblCaption w:val="Terminology table"/>
        <w:tblDescription w:val="This terminology table provides a description of the terms bulking agent, colposuspension, mid-urethral sling and pubovaginal sling (native tissue)."/>
      </w:tblPr>
      <w:tblGrid>
        <w:gridCol w:w="2410"/>
        <w:gridCol w:w="7228"/>
      </w:tblGrid>
      <w:tr w:rsidR="004C76CD" w14:paraId="75460065" w14:textId="5351C8BF" w:rsidTr="002A3360">
        <w:trPr>
          <w:cnfStyle w:val="100000000000" w:firstRow="1" w:lastRow="0" w:firstColumn="0" w:lastColumn="0" w:oddVBand="0" w:evenVBand="0" w:oddHBand="0" w:evenHBand="0" w:firstRowFirstColumn="0" w:firstRowLastColumn="0" w:lastRowFirstColumn="0" w:lastRowLastColumn="0"/>
        </w:trPr>
        <w:tc>
          <w:tcPr>
            <w:tcW w:w="2410" w:type="dxa"/>
          </w:tcPr>
          <w:p w14:paraId="47D585FD" w14:textId="39D548B1" w:rsidR="004C76CD" w:rsidRPr="00D31C02" w:rsidRDefault="004C76CD" w:rsidP="002A19D0">
            <w:pPr>
              <w:pStyle w:val="031Tablesubheading10pt"/>
            </w:pPr>
            <w:r w:rsidRPr="00D31C02">
              <w:t>Surgical procedure</w:t>
            </w:r>
          </w:p>
        </w:tc>
        <w:tc>
          <w:tcPr>
            <w:tcW w:w="7228" w:type="dxa"/>
          </w:tcPr>
          <w:p w14:paraId="65820683" w14:textId="3AC2EC56" w:rsidR="004C76CD" w:rsidRPr="00D31C02" w:rsidRDefault="004C76CD" w:rsidP="002A19D0">
            <w:pPr>
              <w:pStyle w:val="031Tablesubheading10pt"/>
            </w:pPr>
            <w:r w:rsidRPr="00D31C02">
              <w:t>Description</w:t>
            </w:r>
          </w:p>
        </w:tc>
      </w:tr>
      <w:tr w:rsidR="004C76CD" w14:paraId="42F0F90F" w14:textId="76578BAA" w:rsidTr="002A3360">
        <w:tc>
          <w:tcPr>
            <w:tcW w:w="2410" w:type="dxa"/>
          </w:tcPr>
          <w:p w14:paraId="28DAD995" w14:textId="77777777" w:rsidR="00577BEF" w:rsidRDefault="004C76CD" w:rsidP="002A19D0">
            <w:pPr>
              <w:pStyle w:val="031Tablesubheading10pt"/>
            </w:pPr>
            <w:r>
              <w:t>Bulking agent</w:t>
            </w:r>
          </w:p>
          <w:p w14:paraId="7FA69F34" w14:textId="2918D7C1" w:rsidR="004C76CD" w:rsidRPr="00537876" w:rsidRDefault="00537876" w:rsidP="002A19D0">
            <w:pPr>
              <w:pStyle w:val="031Tablesubheading10pt"/>
              <w:rPr>
                <w:b w:val="0"/>
                <w:i/>
              </w:rPr>
            </w:pPr>
            <w:r>
              <w:rPr>
                <w:b w:val="0"/>
                <w:bCs/>
                <w:i/>
                <w:iCs/>
              </w:rPr>
              <w:t>Synonym</w:t>
            </w:r>
            <w:r w:rsidR="00D65293">
              <w:rPr>
                <w:b w:val="0"/>
                <w:bCs/>
                <w:i/>
                <w:iCs/>
              </w:rPr>
              <w:t>s</w:t>
            </w:r>
            <w:r>
              <w:rPr>
                <w:b w:val="0"/>
                <w:bCs/>
                <w:i/>
                <w:iCs/>
              </w:rPr>
              <w:t xml:space="preserve">: </w:t>
            </w:r>
            <w:r w:rsidR="00716827">
              <w:rPr>
                <w:b w:val="0"/>
                <w:bCs/>
                <w:i/>
                <w:iCs/>
              </w:rPr>
              <w:t xml:space="preserve">injectable agents, </w:t>
            </w:r>
            <w:r w:rsidR="00F024C8">
              <w:rPr>
                <w:b w:val="0"/>
                <w:bCs/>
                <w:i/>
                <w:iCs/>
              </w:rPr>
              <w:t>urethral injections, urethral bulking</w:t>
            </w:r>
          </w:p>
        </w:tc>
        <w:tc>
          <w:tcPr>
            <w:tcW w:w="7228" w:type="dxa"/>
          </w:tcPr>
          <w:p w14:paraId="5FDB1B74" w14:textId="58A9C5FD" w:rsidR="00577BEF" w:rsidRPr="00683437" w:rsidRDefault="003C21AC" w:rsidP="002A19D0">
            <w:pPr>
              <w:pStyle w:val="051Tabletext2210pt"/>
              <w:rPr>
                <w:rStyle w:val="Hyperlink"/>
                <w:color w:val="auto"/>
              </w:rPr>
            </w:pPr>
            <w:r w:rsidRPr="00B0485F">
              <w:t>Urethral bulking refers to the injection of a substance into the urethral submucosa at the bladder neck</w:t>
            </w:r>
            <w:r w:rsidR="0014339A">
              <w:t xml:space="preserve"> </w:t>
            </w:r>
            <w:r w:rsidR="00245CE2">
              <w:rPr>
                <w:noProof/>
              </w:rPr>
              <w:t>(Valderrama 2020)</w:t>
            </w:r>
            <w:r>
              <w:t>.</w:t>
            </w:r>
            <w:r w:rsidR="00533DCA">
              <w:t xml:space="preserve"> </w:t>
            </w:r>
            <w:r w:rsidR="00307D72">
              <w:t xml:space="preserve">Urethral bulking agents may be </w:t>
            </w:r>
            <w:r w:rsidR="00612FA2">
              <w:t>particulate (</w:t>
            </w:r>
            <w:r w:rsidR="00BC621F">
              <w:t>particles suspended in biodegradable carrier gel) or non-particulate (</w:t>
            </w:r>
            <w:r w:rsidR="00AE64FA">
              <w:t>homogen</w:t>
            </w:r>
            <w:r w:rsidR="00427D18">
              <w:t>eous gels)</w:t>
            </w:r>
            <w:r w:rsidR="000146BA">
              <w:t xml:space="preserve"> </w:t>
            </w:r>
            <w:r w:rsidR="00245CE2">
              <w:rPr>
                <w:noProof/>
              </w:rPr>
              <w:t>(Valderrama 2020)</w:t>
            </w:r>
            <w:r w:rsidR="00427D18">
              <w:t>.</w:t>
            </w:r>
          </w:p>
          <w:p w14:paraId="363693F0" w14:textId="1F52481F" w:rsidR="004C76CD" w:rsidRPr="007F2682" w:rsidRDefault="007F2682" w:rsidP="002A19D0">
            <w:pPr>
              <w:pStyle w:val="051Tabletext2210pt"/>
              <w:rPr>
                <w:i/>
              </w:rPr>
            </w:pPr>
            <w:r>
              <w:rPr>
                <w:i/>
                <w:iCs/>
              </w:rPr>
              <w:t xml:space="preserve">Examples: </w:t>
            </w:r>
            <w:proofErr w:type="spellStart"/>
            <w:r w:rsidR="007C54DA">
              <w:rPr>
                <w:i/>
                <w:iCs/>
              </w:rPr>
              <w:t>M</w:t>
            </w:r>
            <w:r w:rsidR="000157ED">
              <w:rPr>
                <w:i/>
                <w:iCs/>
              </w:rPr>
              <w:t>acroplastiqu</w:t>
            </w:r>
            <w:r w:rsidR="00862A5A">
              <w:rPr>
                <w:i/>
                <w:iCs/>
              </w:rPr>
              <w:t>e</w:t>
            </w:r>
            <w:proofErr w:type="spellEnd"/>
            <w:r w:rsidR="00862A5A">
              <w:rPr>
                <w:i/>
                <w:iCs/>
              </w:rPr>
              <w:t xml:space="preserve">, </w:t>
            </w:r>
            <w:proofErr w:type="spellStart"/>
            <w:r w:rsidR="007C54DA">
              <w:rPr>
                <w:i/>
                <w:iCs/>
              </w:rPr>
              <w:t>Bulkamid</w:t>
            </w:r>
            <w:proofErr w:type="spellEnd"/>
            <w:r w:rsidR="007C54DA">
              <w:rPr>
                <w:i/>
                <w:iCs/>
              </w:rPr>
              <w:t xml:space="preserve">. </w:t>
            </w:r>
          </w:p>
        </w:tc>
      </w:tr>
      <w:tr w:rsidR="004C76CD" w14:paraId="0E9F08AC" w14:textId="14EEE68C" w:rsidTr="002A3360">
        <w:tc>
          <w:tcPr>
            <w:tcW w:w="2410" w:type="dxa"/>
          </w:tcPr>
          <w:p w14:paraId="57D36B3C" w14:textId="676C41ED" w:rsidR="004C76CD" w:rsidRDefault="004C76CD" w:rsidP="002A19D0">
            <w:pPr>
              <w:pStyle w:val="031Tablesubheading10pt"/>
            </w:pPr>
            <w:proofErr w:type="spellStart"/>
            <w:r>
              <w:t>Colposuspension</w:t>
            </w:r>
            <w:proofErr w:type="spellEnd"/>
          </w:p>
        </w:tc>
        <w:tc>
          <w:tcPr>
            <w:tcW w:w="7228" w:type="dxa"/>
          </w:tcPr>
          <w:p w14:paraId="64C5BCEE" w14:textId="75865729" w:rsidR="004C76CD" w:rsidRPr="00231717" w:rsidRDefault="00AF20AA" w:rsidP="002A19D0">
            <w:pPr>
              <w:pStyle w:val="051Tabletext2210pt"/>
            </w:pPr>
            <w:r>
              <w:t>A</w:t>
            </w:r>
            <w:r w:rsidRPr="00AF20AA">
              <w:t xml:space="preserve"> surgical procedure whereby the neck of the bladder is lifted and suspended in position using synthetic stitches </w:t>
            </w:r>
            <w:r w:rsidR="00245CE2">
              <w:rPr>
                <w:noProof/>
              </w:rPr>
              <w:t>(NICE 2019a; NICE 2019c)</w:t>
            </w:r>
            <w:r w:rsidRPr="00AF20AA">
              <w:t xml:space="preserve">. </w:t>
            </w:r>
            <w:proofErr w:type="spellStart"/>
            <w:r w:rsidRPr="00AF20AA">
              <w:t>Colposuspension</w:t>
            </w:r>
            <w:proofErr w:type="spellEnd"/>
            <w:r w:rsidRPr="00AF20AA">
              <w:t xml:space="preserve"> can be performed via an open or laparoscopic approach </w:t>
            </w:r>
            <w:r w:rsidR="00245CE2">
              <w:rPr>
                <w:noProof/>
              </w:rPr>
              <w:t>(Brazzelli 2019)</w:t>
            </w:r>
            <w:r w:rsidRPr="00AF20AA">
              <w:t xml:space="preserve">.  </w:t>
            </w:r>
          </w:p>
        </w:tc>
      </w:tr>
      <w:tr w:rsidR="004C76CD" w14:paraId="1149456F" w14:textId="3A8CCE05" w:rsidTr="002A3360">
        <w:tc>
          <w:tcPr>
            <w:tcW w:w="2410" w:type="dxa"/>
          </w:tcPr>
          <w:p w14:paraId="198A1CD4" w14:textId="30CFE65D" w:rsidR="004C76CD" w:rsidRPr="00D31C02" w:rsidRDefault="004C76CD" w:rsidP="002A19D0">
            <w:pPr>
              <w:pStyle w:val="031Tablesubheading10pt"/>
            </w:pPr>
            <w:r>
              <w:t>Mid-urethral sling</w:t>
            </w:r>
            <w:r w:rsidR="00B46DCD">
              <w:t xml:space="preserve"> (MUS)</w:t>
            </w:r>
          </w:p>
        </w:tc>
        <w:tc>
          <w:tcPr>
            <w:tcW w:w="7228" w:type="dxa"/>
          </w:tcPr>
          <w:p w14:paraId="49F3BD9C" w14:textId="449D869D" w:rsidR="00577BEF" w:rsidRDefault="00B46DCD" w:rsidP="00577BEF">
            <w:pPr>
              <w:pStyle w:val="051Tabletext2210pt"/>
              <w:rPr>
                <w:b/>
                <w:bCs/>
              </w:rPr>
            </w:pPr>
            <w:r>
              <w:t>A</w:t>
            </w:r>
            <w:r w:rsidR="00650C0B" w:rsidRPr="00B0485F">
              <w:t xml:space="preserve"> type of </w:t>
            </w:r>
            <w:proofErr w:type="spellStart"/>
            <w:r w:rsidR="00650C0B" w:rsidRPr="00B0485F">
              <w:t>urogynaecological</w:t>
            </w:r>
            <w:proofErr w:type="spellEnd"/>
            <w:r w:rsidR="00650C0B" w:rsidRPr="00B0485F">
              <w:t xml:space="preserve"> mesh </w:t>
            </w:r>
            <w:r w:rsidR="00650C0B">
              <w:t xml:space="preserve">used in the treatment of </w:t>
            </w:r>
            <w:r>
              <w:t>stress urinary incontinence</w:t>
            </w:r>
            <w:r w:rsidR="00650C0B">
              <w:t>. The sling is</w:t>
            </w:r>
            <w:r w:rsidR="00650C0B" w:rsidRPr="00B0485F">
              <w:t xml:space="preserve"> placed beneath the middle part of the urethra, providing support during exertion to prevent urine leakage</w:t>
            </w:r>
            <w:r w:rsidR="00F50906">
              <w:t xml:space="preserve"> </w:t>
            </w:r>
            <w:r w:rsidR="00245CE2">
              <w:rPr>
                <w:noProof/>
              </w:rPr>
              <w:t>(RANZCOG 2020, amended 2022)</w:t>
            </w:r>
            <w:r w:rsidR="00650C0B" w:rsidRPr="00B0485F">
              <w:t>. The sling is a narrow, synthetic polypropylene mesh tape</w:t>
            </w:r>
            <w:r w:rsidR="00255C40">
              <w:t xml:space="preserve"> </w:t>
            </w:r>
            <w:r w:rsidR="00245CE2">
              <w:rPr>
                <w:noProof/>
              </w:rPr>
              <w:t>(RANZCOG 2020, amended 2022)</w:t>
            </w:r>
            <w:r>
              <w:rPr>
                <w:vertAlign w:val="superscript"/>
              </w:rPr>
              <w:t xml:space="preserve"> </w:t>
            </w:r>
            <w:r w:rsidR="00650C0B" w:rsidRPr="00B0485F">
              <w:t xml:space="preserve">inserted via a minimally invasive retropubic (RP) or </w:t>
            </w:r>
            <w:proofErr w:type="spellStart"/>
            <w:r w:rsidR="00650C0B" w:rsidRPr="00B0485F">
              <w:t>transobturator</w:t>
            </w:r>
            <w:proofErr w:type="spellEnd"/>
            <w:r w:rsidR="00650C0B" w:rsidRPr="00B0485F">
              <w:t xml:space="preserve"> (TO) approach</w:t>
            </w:r>
            <w:r>
              <w:t>.</w:t>
            </w:r>
            <w:r w:rsidR="00577BEF" w:rsidRPr="004C76CD">
              <w:rPr>
                <w:b/>
                <w:bCs/>
              </w:rPr>
              <w:t xml:space="preserve"> </w:t>
            </w:r>
          </w:p>
          <w:p w14:paraId="564D7298" w14:textId="5CEC0FAC" w:rsidR="00577BEF" w:rsidRPr="006A79D0" w:rsidRDefault="00577BEF" w:rsidP="00577BEF">
            <w:pPr>
              <w:pStyle w:val="051Tabletext2210pt"/>
            </w:pPr>
            <w:r w:rsidRPr="004C76CD">
              <w:rPr>
                <w:b/>
                <w:bCs/>
              </w:rPr>
              <w:t>Retropubic mid-urethral sling</w:t>
            </w:r>
            <w:r>
              <w:rPr>
                <w:b/>
                <w:bCs/>
              </w:rPr>
              <w:t xml:space="preserve"> (RP-MUS): </w:t>
            </w:r>
            <w:r w:rsidRPr="00B0485F">
              <w:t>the sling is inserted via an incision in the vagina. It is positioned in a U shape under the mid-urethra, with the ends of the sling exiting the retropubic space via incisions in the skin of the abdomen above the pubic bone</w:t>
            </w:r>
            <w:r w:rsidR="002C2AB5">
              <w:t xml:space="preserve"> </w:t>
            </w:r>
            <w:r w:rsidR="00245CE2">
              <w:rPr>
                <w:noProof/>
              </w:rPr>
              <w:t>(ACSQHC 2018b)</w:t>
            </w:r>
            <w:r w:rsidRPr="00B0485F">
              <w:t>.</w:t>
            </w:r>
          </w:p>
          <w:p w14:paraId="18F4D432" w14:textId="1F84BBA4" w:rsidR="00431A8C" w:rsidRPr="00431A8C" w:rsidRDefault="00421FF7" w:rsidP="00577BEF">
            <w:pPr>
              <w:pStyle w:val="051Tabletext2210pt"/>
              <w:rPr>
                <w:i/>
                <w:iCs/>
              </w:rPr>
            </w:pPr>
            <w:r w:rsidRPr="007D6A86">
              <w:rPr>
                <w:i/>
              </w:rPr>
              <w:t>Examples: TVT,</w:t>
            </w:r>
            <w:r w:rsidR="00431A8C" w:rsidRPr="007D6A86">
              <w:rPr>
                <w:i/>
              </w:rPr>
              <w:t xml:space="preserve"> </w:t>
            </w:r>
            <w:r w:rsidR="00B41CE8" w:rsidRPr="007D6A86">
              <w:rPr>
                <w:i/>
              </w:rPr>
              <w:t>SPARC</w:t>
            </w:r>
            <w:r w:rsidR="00365828" w:rsidRPr="007D6A86">
              <w:rPr>
                <w:i/>
              </w:rPr>
              <w:t xml:space="preserve">, </w:t>
            </w:r>
            <w:r w:rsidR="0020774D">
              <w:rPr>
                <w:i/>
                <w:iCs/>
              </w:rPr>
              <w:t>Advantage</w:t>
            </w:r>
            <w:r w:rsidR="00403110">
              <w:rPr>
                <w:i/>
                <w:iCs/>
              </w:rPr>
              <w:t>, TVT-EXACT</w:t>
            </w:r>
          </w:p>
          <w:p w14:paraId="6C716107" w14:textId="77BA667C" w:rsidR="00577BEF" w:rsidRDefault="00577BEF" w:rsidP="00577BEF">
            <w:pPr>
              <w:pStyle w:val="051Tabletext2210pt"/>
            </w:pPr>
            <w:proofErr w:type="spellStart"/>
            <w:r w:rsidRPr="004C76CD">
              <w:rPr>
                <w:b/>
                <w:bCs/>
              </w:rPr>
              <w:t>Transobturator</w:t>
            </w:r>
            <w:proofErr w:type="spellEnd"/>
            <w:r w:rsidRPr="004C76CD">
              <w:rPr>
                <w:b/>
                <w:bCs/>
              </w:rPr>
              <w:t xml:space="preserve"> mid-urethral sling</w:t>
            </w:r>
            <w:r>
              <w:rPr>
                <w:b/>
                <w:bCs/>
              </w:rPr>
              <w:t xml:space="preserve"> (TO-MUS): </w:t>
            </w:r>
            <w:r w:rsidRPr="00B0485F">
              <w:t>the sling is inserted via an incision in the vagina and placed under the mid-urethra. The ends of the sling exit through incisions in the skin on both sides of the groin</w:t>
            </w:r>
            <w:r w:rsidR="002C2AB5">
              <w:t xml:space="preserve"> </w:t>
            </w:r>
            <w:r w:rsidR="00245CE2">
              <w:rPr>
                <w:noProof/>
              </w:rPr>
              <w:t>(ACSQHC 2018b)</w:t>
            </w:r>
            <w:r w:rsidRPr="002C2AB5">
              <w:t>.</w:t>
            </w:r>
          </w:p>
          <w:p w14:paraId="6280A77D" w14:textId="33248099" w:rsidR="004C76CD" w:rsidRPr="002F74B6" w:rsidRDefault="002F74B6" w:rsidP="002A19D0">
            <w:pPr>
              <w:pStyle w:val="051Tabletext2210pt"/>
              <w:rPr>
                <w:i/>
              </w:rPr>
            </w:pPr>
            <w:r w:rsidRPr="007D6A86">
              <w:rPr>
                <w:i/>
              </w:rPr>
              <w:t xml:space="preserve">Examples: </w:t>
            </w:r>
            <w:r w:rsidR="00CB1E54" w:rsidRPr="007D6A86">
              <w:rPr>
                <w:i/>
              </w:rPr>
              <w:t xml:space="preserve">TVT-O, </w:t>
            </w:r>
            <w:r w:rsidR="008D069E" w:rsidRPr="007D6A86">
              <w:rPr>
                <w:i/>
              </w:rPr>
              <w:t>TOT</w:t>
            </w:r>
            <w:r w:rsidR="0012451B">
              <w:rPr>
                <w:i/>
                <w:iCs/>
              </w:rPr>
              <w:t xml:space="preserve">, </w:t>
            </w:r>
            <w:proofErr w:type="spellStart"/>
            <w:r w:rsidR="0012451B">
              <w:rPr>
                <w:i/>
                <w:iCs/>
              </w:rPr>
              <w:t>Obtryx</w:t>
            </w:r>
            <w:proofErr w:type="spellEnd"/>
            <w:r w:rsidR="0035710E">
              <w:rPr>
                <w:i/>
                <w:iCs/>
              </w:rPr>
              <w:t xml:space="preserve">, </w:t>
            </w:r>
            <w:r w:rsidR="0098745D">
              <w:rPr>
                <w:i/>
                <w:iCs/>
              </w:rPr>
              <w:t>TVT-</w:t>
            </w:r>
            <w:r w:rsidR="0035710E">
              <w:rPr>
                <w:i/>
                <w:iCs/>
              </w:rPr>
              <w:t>A</w:t>
            </w:r>
            <w:r w:rsidR="006F58A2">
              <w:rPr>
                <w:i/>
                <w:iCs/>
              </w:rPr>
              <w:t>BBREVO</w:t>
            </w:r>
          </w:p>
        </w:tc>
      </w:tr>
      <w:tr w:rsidR="004C76CD" w14:paraId="6C09CF01" w14:textId="0190A766" w:rsidTr="002A3360">
        <w:tc>
          <w:tcPr>
            <w:tcW w:w="2410" w:type="dxa"/>
          </w:tcPr>
          <w:p w14:paraId="2A550C1C" w14:textId="254A2EF7" w:rsidR="004C76CD" w:rsidRPr="00A56B39" w:rsidRDefault="004C76CD" w:rsidP="002A19D0">
            <w:pPr>
              <w:pStyle w:val="031Tablesubheading10pt"/>
              <w:rPr>
                <w:vertAlign w:val="superscript"/>
              </w:rPr>
            </w:pPr>
            <w:r>
              <w:t>Pubovaginal sling (native tissue)</w:t>
            </w:r>
          </w:p>
          <w:p w14:paraId="42F96A3F" w14:textId="7672DF0F" w:rsidR="004C76CD" w:rsidRPr="002A19D0" w:rsidRDefault="004C76CD" w:rsidP="002A19D0">
            <w:pPr>
              <w:pStyle w:val="031Tablesubheading10pt"/>
              <w:rPr>
                <w:b w:val="0"/>
                <w:i/>
                <w:iCs/>
              </w:rPr>
            </w:pPr>
            <w:r w:rsidRPr="002A19D0">
              <w:rPr>
                <w:b w:val="0"/>
                <w:i/>
                <w:iCs/>
              </w:rPr>
              <w:t>Synonym: autologous fascial sling</w:t>
            </w:r>
          </w:p>
        </w:tc>
        <w:tc>
          <w:tcPr>
            <w:tcW w:w="7228" w:type="dxa"/>
          </w:tcPr>
          <w:p w14:paraId="756DD231" w14:textId="1D9C85F8" w:rsidR="004C76CD" w:rsidRPr="00D31C02" w:rsidRDefault="003B3847" w:rsidP="002A19D0">
            <w:pPr>
              <w:pStyle w:val="051Tabletext2210pt"/>
            </w:pPr>
            <w:r>
              <w:t xml:space="preserve">An </w:t>
            </w:r>
            <w:proofErr w:type="spellStart"/>
            <w:r>
              <w:t>abdomino</w:t>
            </w:r>
            <w:proofErr w:type="spellEnd"/>
            <w:r>
              <w:t xml:space="preserve">-vaginal surgery </w:t>
            </w:r>
            <w:r w:rsidR="00ED271F">
              <w:t xml:space="preserve">using </w:t>
            </w:r>
            <w:r w:rsidR="00931B68">
              <w:t xml:space="preserve">the </w:t>
            </w:r>
            <w:r w:rsidR="00576BCC">
              <w:t>patient’s</w:t>
            </w:r>
            <w:r w:rsidR="00931B68">
              <w:t xml:space="preserve"> own</w:t>
            </w:r>
            <w:r w:rsidR="00F862CB">
              <w:t xml:space="preserve"> tissue </w:t>
            </w:r>
            <w:r w:rsidR="00463E4C">
              <w:t>to support the urethra</w:t>
            </w:r>
            <w:r w:rsidR="00576BCC">
              <w:t>,</w:t>
            </w:r>
            <w:r w:rsidR="006F512B">
              <w:t xml:space="preserve"> with an abdominal wall fixation site</w:t>
            </w:r>
            <w:r w:rsidR="00576BCC">
              <w:t xml:space="preserve"> </w:t>
            </w:r>
            <w:r w:rsidR="00245CE2">
              <w:rPr>
                <w:noProof/>
              </w:rPr>
              <w:t>(Valderrama 2020)</w:t>
            </w:r>
            <w:r w:rsidR="00463E4C">
              <w:t xml:space="preserve">. </w:t>
            </w:r>
            <w:r w:rsidR="004C76CD" w:rsidRPr="00B0485F">
              <w:t xml:space="preserve">The tissue is </w:t>
            </w:r>
            <w:r w:rsidR="004C76CD">
              <w:t>usually taken</w:t>
            </w:r>
            <w:r w:rsidR="004C76CD" w:rsidRPr="00B0485F">
              <w:t xml:space="preserve"> from t</w:t>
            </w:r>
            <w:r w:rsidR="00025BCA">
              <w:t xml:space="preserve">he </w:t>
            </w:r>
            <w:r w:rsidR="004C76CD" w:rsidRPr="00B0485F">
              <w:t>rectus fascia</w:t>
            </w:r>
            <w:r w:rsidR="00025BCA">
              <w:t xml:space="preserve"> in the abdomen (rectus fascial sling)</w:t>
            </w:r>
            <w:r w:rsidR="004C76CD" w:rsidRPr="00B0485F">
              <w:t xml:space="preserve"> but may be taken from the thigh (fascia </w:t>
            </w:r>
            <w:proofErr w:type="spellStart"/>
            <w:r w:rsidR="004C76CD" w:rsidRPr="00B0485F">
              <w:t>lata</w:t>
            </w:r>
            <w:proofErr w:type="spellEnd"/>
            <w:r w:rsidR="004C76CD" w:rsidRPr="00B0485F">
              <w:t>)</w:t>
            </w:r>
            <w:r w:rsidR="007F13C8">
              <w:t xml:space="preserve"> </w:t>
            </w:r>
            <w:r w:rsidR="00245CE2">
              <w:rPr>
                <w:noProof/>
              </w:rPr>
              <w:t>(Valderrama 2020)</w:t>
            </w:r>
            <w:r w:rsidR="00A312C2">
              <w:t>.</w:t>
            </w:r>
          </w:p>
        </w:tc>
      </w:tr>
    </w:tbl>
    <w:p w14:paraId="28678FC3" w14:textId="77777777" w:rsidR="009C7CCF" w:rsidRPr="00862096" w:rsidRDefault="009C7CCF" w:rsidP="00F23BBF">
      <w:pPr>
        <w:pStyle w:val="111Tablefootnoteslast-nostick8pt"/>
      </w:pPr>
    </w:p>
    <w:p w14:paraId="0515567B" w14:textId="4CB6EEA9" w:rsidR="008C3478" w:rsidRPr="00B0485F" w:rsidRDefault="008C3478" w:rsidP="008C3478">
      <w:pPr>
        <w:pStyle w:val="ExecSumHeading1"/>
      </w:pPr>
      <w:bookmarkStart w:id="4" w:name="_Toc165627805"/>
      <w:r w:rsidRPr="00F5652C">
        <w:lastRenderedPageBreak/>
        <w:t>Exec</w:t>
      </w:r>
      <w:r w:rsidR="00681387" w:rsidRPr="00F5652C">
        <w:t>utive</w:t>
      </w:r>
      <w:r w:rsidRPr="00F5652C">
        <w:t xml:space="preserve"> Sum</w:t>
      </w:r>
      <w:r w:rsidR="00681387" w:rsidRPr="00F5652C">
        <w:t>mary</w:t>
      </w:r>
      <w:bookmarkEnd w:id="4"/>
    </w:p>
    <w:p w14:paraId="2A85129E" w14:textId="0AF29302" w:rsidR="00A42CBA" w:rsidRPr="00FB7A1E" w:rsidRDefault="00BD2501" w:rsidP="00A42CBA">
      <w:pPr>
        <w:pStyle w:val="ExecSumHeading2"/>
      </w:pPr>
      <w:bookmarkStart w:id="5" w:name="_Toc165627806"/>
      <w:r w:rsidRPr="00FB7A1E">
        <w:t>Introduction</w:t>
      </w:r>
      <w:bookmarkEnd w:id="5"/>
    </w:p>
    <w:p w14:paraId="38DC05F8" w14:textId="26E8C511" w:rsidR="00EF2F0A" w:rsidRPr="00131DED" w:rsidRDefault="00EF2F0A" w:rsidP="00EF2F0A">
      <w:pPr>
        <w:pStyle w:val="BodyText"/>
        <w:rPr>
          <w:highlight w:val="yellow"/>
        </w:rPr>
      </w:pPr>
      <w:proofErr w:type="spellStart"/>
      <w:r w:rsidRPr="00FB7A1E">
        <w:t>Urogynaecological</w:t>
      </w:r>
      <w:proofErr w:type="spellEnd"/>
      <w:r w:rsidRPr="00FB7A1E">
        <w:t xml:space="preserve"> mesh devices have been the subject of ongoing regulatory review and safety monitoring in Australia due to concerns about adverse events related to their use. In November 2017, the Therapeutic Goods Administration (TGA) removed two types of </w:t>
      </w:r>
      <w:proofErr w:type="spellStart"/>
      <w:r w:rsidRPr="00FB7A1E">
        <w:t>urogynaecological</w:t>
      </w:r>
      <w:proofErr w:type="spellEnd"/>
      <w:r w:rsidRPr="00FB7A1E">
        <w:t xml:space="preserve"> mesh from the Australian Register of Therapeutic Goods (ARTG)</w:t>
      </w:r>
      <w:bookmarkStart w:id="6" w:name="_Ref134175009"/>
      <w:r w:rsidR="00263B20">
        <w:rPr>
          <w:rStyle w:val="FootnoteReference"/>
        </w:rPr>
        <w:footnoteReference w:id="2"/>
      </w:r>
      <w:bookmarkEnd w:id="6"/>
      <w:r w:rsidRPr="00871545">
        <w:t>:</w:t>
      </w:r>
    </w:p>
    <w:p w14:paraId="0203A01C" w14:textId="7A165820" w:rsidR="00EF2F0A" w:rsidRPr="00BA5BF5" w:rsidRDefault="00EF2F0A" w:rsidP="00713A63">
      <w:pPr>
        <w:pStyle w:val="BodyText"/>
        <w:numPr>
          <w:ilvl w:val="0"/>
          <w:numId w:val="31"/>
        </w:numPr>
      </w:pPr>
      <w:proofErr w:type="spellStart"/>
      <w:r w:rsidRPr="00BA5BF5">
        <w:t>Urogynaecological</w:t>
      </w:r>
      <w:proofErr w:type="spellEnd"/>
      <w:r w:rsidRPr="00BA5BF5">
        <w:t xml:space="preserve"> mesh inserted through the vagina for </w:t>
      </w:r>
      <w:r w:rsidR="00A77AE7" w:rsidRPr="00BA5BF5">
        <w:t>pelvic organ prolapse (</w:t>
      </w:r>
      <w:r w:rsidRPr="00BA5BF5">
        <w:t>POP</w:t>
      </w:r>
      <w:r w:rsidR="00A77AE7" w:rsidRPr="00BA5BF5">
        <w:t>)</w:t>
      </w:r>
      <w:r w:rsidRPr="00BA5BF5">
        <w:t xml:space="preserve"> </w:t>
      </w:r>
    </w:p>
    <w:p w14:paraId="23D4B076" w14:textId="1FFA485A" w:rsidR="00EF2F0A" w:rsidRPr="00BA5BF5" w:rsidRDefault="00EF2F0A" w:rsidP="00713A63">
      <w:pPr>
        <w:pStyle w:val="BodyText"/>
        <w:numPr>
          <w:ilvl w:val="0"/>
          <w:numId w:val="31"/>
        </w:numPr>
      </w:pPr>
      <w:r w:rsidRPr="00BA5BF5">
        <w:t xml:space="preserve">Single incision </w:t>
      </w:r>
      <w:proofErr w:type="gramStart"/>
      <w:r w:rsidRPr="00BA5BF5">
        <w:t>mini-slings</w:t>
      </w:r>
      <w:proofErr w:type="gramEnd"/>
      <w:r w:rsidRPr="00BA5BF5">
        <w:t xml:space="preserve"> for </w:t>
      </w:r>
      <w:r w:rsidR="00742803" w:rsidRPr="00BA5BF5">
        <w:t>stress urinary incontinence (</w:t>
      </w:r>
      <w:r w:rsidRPr="00BA5BF5">
        <w:t>SUI</w:t>
      </w:r>
      <w:r w:rsidR="00742803" w:rsidRPr="00BA5BF5">
        <w:t>)</w:t>
      </w:r>
      <w:r w:rsidR="00AA632A" w:rsidRPr="00BA5BF5">
        <w:t>.</w:t>
      </w:r>
    </w:p>
    <w:p w14:paraId="4F3D03D5" w14:textId="4C69FA40" w:rsidR="00444DBA" w:rsidRPr="00836F88" w:rsidRDefault="001F182A" w:rsidP="00EF2F0A">
      <w:pPr>
        <w:pStyle w:val="BodyText"/>
      </w:pPr>
      <w:r w:rsidRPr="00836F88">
        <w:t>Mid-urethral slings (</w:t>
      </w:r>
      <w:r w:rsidR="005D71A4" w:rsidRPr="00836F88">
        <w:t>MUS</w:t>
      </w:r>
      <w:r w:rsidRPr="00836F88">
        <w:t xml:space="preserve">) for the treatment of SUI </w:t>
      </w:r>
      <w:r w:rsidR="004D4F63" w:rsidRPr="00836F88">
        <w:t xml:space="preserve">continue to be approved for supply in Australia and </w:t>
      </w:r>
      <w:r w:rsidRPr="00836F88">
        <w:t>are included in the Prostheses List</w:t>
      </w:r>
      <w:r w:rsidR="00742803" w:rsidRPr="00836F88">
        <w:t xml:space="preserve"> (PL)</w:t>
      </w:r>
      <w:r w:rsidR="00EF2F0A" w:rsidRPr="00836F88">
        <w:t>.</w:t>
      </w:r>
    </w:p>
    <w:p w14:paraId="73D41184" w14:textId="0AE9CC1C" w:rsidR="00C71C3D" w:rsidRPr="00CB347D" w:rsidRDefault="00673E24" w:rsidP="00EF2F0A">
      <w:pPr>
        <w:pStyle w:val="BodyText"/>
      </w:pPr>
      <w:r w:rsidRPr="00CB347D">
        <w:t>As these devices have not been assessed by the Medical Services Advisory Committee (MSAC) or the Prostheses List Advisory Committee (PLAC), t</w:t>
      </w:r>
      <w:r w:rsidR="00C71C3D" w:rsidRPr="00CB347D">
        <w:t xml:space="preserve">he purpose of this post-listing review is to review the comparative clinical effectiveness and cost-effectiveness of </w:t>
      </w:r>
      <w:r w:rsidR="005D71A4" w:rsidRPr="00CB347D">
        <w:t>MUS</w:t>
      </w:r>
      <w:r w:rsidR="00C71C3D" w:rsidRPr="00CB347D">
        <w:t xml:space="preserve"> for the treatment of SUI, and to inform decisions regarding the associated listings on the PL.</w:t>
      </w:r>
      <w:r w:rsidR="00785BE7" w:rsidRPr="00CB347D">
        <w:t xml:space="preserve"> The relevant comparisons are based on the</w:t>
      </w:r>
      <w:r w:rsidR="00181F3C" w:rsidRPr="00CB347D">
        <w:t xml:space="preserve"> Australian Commission on Safety and Quality in Health Care (ACSQHC) care pathway</w:t>
      </w:r>
      <w:r w:rsidR="00FF1295">
        <w:t xml:space="preserve"> </w:t>
      </w:r>
      <w:r w:rsidR="00DE6B31">
        <w:t xml:space="preserve">for the management of SUI </w:t>
      </w:r>
      <w:r w:rsidR="00245CE2">
        <w:rPr>
          <w:noProof/>
        </w:rPr>
        <w:t>(ACSQHC 2018a)</w:t>
      </w:r>
      <w:r w:rsidR="001B4C8D" w:rsidRPr="00CB347D">
        <w:t xml:space="preserve"> and are:</w:t>
      </w:r>
    </w:p>
    <w:p w14:paraId="6707E0DD" w14:textId="37573FE8" w:rsidR="001B4C8D" w:rsidRPr="00CB347D" w:rsidRDefault="001B4C8D" w:rsidP="00713A63">
      <w:pPr>
        <w:pStyle w:val="BodyText"/>
        <w:numPr>
          <w:ilvl w:val="0"/>
          <w:numId w:val="34"/>
        </w:numPr>
      </w:pPr>
      <w:r w:rsidRPr="00CB347D">
        <w:t xml:space="preserve">MUS compared to </w:t>
      </w:r>
      <w:proofErr w:type="spellStart"/>
      <w:r w:rsidRPr="00CB347D">
        <w:t>colposuspension</w:t>
      </w:r>
      <w:proofErr w:type="spellEnd"/>
      <w:r w:rsidR="00DE6B31">
        <w:t xml:space="preserve"> (native tissue)</w:t>
      </w:r>
      <w:r w:rsidRPr="00CB347D">
        <w:t>, pubovaginal sling (native tissue) or bulking agents</w:t>
      </w:r>
    </w:p>
    <w:p w14:paraId="1D18030A" w14:textId="46F005B0" w:rsidR="001B4C8D" w:rsidRPr="00CB347D" w:rsidRDefault="00732C06" w:rsidP="00713A63">
      <w:pPr>
        <w:pStyle w:val="BodyText"/>
        <w:numPr>
          <w:ilvl w:val="0"/>
          <w:numId w:val="34"/>
        </w:numPr>
      </w:pPr>
      <w:r w:rsidRPr="00CB347D">
        <w:t xml:space="preserve">Retropubic MUS </w:t>
      </w:r>
      <w:r w:rsidR="00C069BE">
        <w:t xml:space="preserve">(RP-MUS) </w:t>
      </w:r>
      <w:r w:rsidRPr="00CB347D">
        <w:t xml:space="preserve">compared to </w:t>
      </w:r>
      <w:proofErr w:type="spellStart"/>
      <w:r w:rsidRPr="00CB347D">
        <w:t>transobturator</w:t>
      </w:r>
      <w:proofErr w:type="spellEnd"/>
      <w:r w:rsidRPr="00CB347D">
        <w:t xml:space="preserve"> MUS</w:t>
      </w:r>
      <w:r w:rsidR="00C069BE">
        <w:t xml:space="preserve"> (TO-MUS)</w:t>
      </w:r>
      <w:r w:rsidR="004D51DE" w:rsidRPr="00CB347D">
        <w:t>.</w:t>
      </w:r>
    </w:p>
    <w:p w14:paraId="712107B9" w14:textId="6013BE42" w:rsidR="00256303" w:rsidRPr="00444DBA" w:rsidRDefault="000913B0" w:rsidP="00EF2F0A">
      <w:pPr>
        <w:pStyle w:val="BodyText"/>
      </w:pPr>
      <w:r w:rsidRPr="00C069BE">
        <w:t xml:space="preserve">The findings are based on </w:t>
      </w:r>
      <w:r w:rsidR="00555D6A" w:rsidRPr="00C069BE">
        <w:t>consideration of key documents supplied by the Department of Health and Aged Care (</w:t>
      </w:r>
      <w:proofErr w:type="spellStart"/>
      <w:r w:rsidR="00555D6A" w:rsidRPr="00C069BE">
        <w:t>DoHAC</w:t>
      </w:r>
      <w:proofErr w:type="spellEnd"/>
      <w:r w:rsidR="00555D6A" w:rsidRPr="00C069BE">
        <w:t xml:space="preserve">), </w:t>
      </w:r>
      <w:r w:rsidR="00FD1484" w:rsidRPr="00C069BE">
        <w:t>a pragmatic review of the published literature and targeted stakeholder consultation.</w:t>
      </w:r>
      <w:r w:rsidR="00FD1484">
        <w:t xml:space="preserve"> </w:t>
      </w:r>
    </w:p>
    <w:p w14:paraId="37E411E9" w14:textId="5E43C3F1" w:rsidR="00BD2501" w:rsidRDefault="00BD2501" w:rsidP="00BD2501">
      <w:pPr>
        <w:pStyle w:val="ExecSumHeading2"/>
      </w:pPr>
      <w:bookmarkStart w:id="7" w:name="_Toc165627807"/>
      <w:r>
        <w:t>Summary of findings</w:t>
      </w:r>
      <w:bookmarkEnd w:id="7"/>
    </w:p>
    <w:p w14:paraId="619DF570" w14:textId="7694BA46" w:rsidR="00592999" w:rsidRPr="00592999" w:rsidRDefault="00592999" w:rsidP="00592999">
      <w:pPr>
        <w:pStyle w:val="BodyText"/>
      </w:pPr>
      <w:r>
        <w:t xml:space="preserve">The findings relating to the comparative clinical effectiveness of MUS are based predominately on the 2019 NICE Guideline </w:t>
      </w:r>
      <w:r>
        <w:rPr>
          <w:i/>
          <w:iCs/>
        </w:rPr>
        <w:t xml:space="preserve">Urinary incontinence and pelvic organ prolapse in women: management </w:t>
      </w:r>
      <w:r w:rsidR="00245CE2" w:rsidRPr="00F23BBF">
        <w:rPr>
          <w:noProof/>
        </w:rPr>
        <w:t>(NICE 2019c)</w:t>
      </w:r>
      <w:r>
        <w:rPr>
          <w:i/>
          <w:iCs/>
        </w:rPr>
        <w:t xml:space="preserve">. </w:t>
      </w:r>
      <w:r>
        <w:t>The NICE evidence review identified no eligible studies comparing bulking agents to MUS.</w:t>
      </w:r>
    </w:p>
    <w:p w14:paraId="2175203D" w14:textId="6C1635C5" w:rsidR="00BD2501" w:rsidRDefault="00BD2501" w:rsidP="00BD2501">
      <w:pPr>
        <w:pStyle w:val="ExecSumHeading3"/>
      </w:pPr>
      <w:r>
        <w:t>Clinical effectiveness</w:t>
      </w:r>
      <w:r w:rsidR="00211E98">
        <w:t xml:space="preserve"> – </w:t>
      </w:r>
      <w:proofErr w:type="spellStart"/>
      <w:r w:rsidR="00211E98">
        <w:t>colposuspension</w:t>
      </w:r>
      <w:proofErr w:type="spellEnd"/>
      <w:r w:rsidR="00211E98">
        <w:t xml:space="preserve"> versus MUS</w:t>
      </w:r>
    </w:p>
    <w:p w14:paraId="70D25B55" w14:textId="01958437" w:rsidR="00BE6CCB" w:rsidRPr="00BE6CCB" w:rsidRDefault="00BE6CCB" w:rsidP="00BE6CCB">
      <w:pPr>
        <w:pStyle w:val="BodyText"/>
      </w:pPr>
      <w:r>
        <w:t xml:space="preserve">The findings by outcome and follow-up time for MUS compared to </w:t>
      </w:r>
      <w:proofErr w:type="spellStart"/>
      <w:r>
        <w:t>colposuspension</w:t>
      </w:r>
      <w:proofErr w:type="spellEnd"/>
      <w:r>
        <w:t xml:space="preserve"> are summarised in </w:t>
      </w:r>
      <w:r>
        <w:fldChar w:fldCharType="begin"/>
      </w:r>
      <w:r>
        <w:instrText xml:space="preserve"> REF _Ref134180065 \h </w:instrText>
      </w:r>
      <w:r>
        <w:fldChar w:fldCharType="separate"/>
      </w:r>
      <w:r w:rsidR="007105D3">
        <w:t xml:space="preserve">Table ES </w:t>
      </w:r>
      <w:r w:rsidR="007105D3">
        <w:rPr>
          <w:noProof/>
        </w:rPr>
        <w:t>1</w:t>
      </w:r>
      <w:r>
        <w:fldChar w:fldCharType="end"/>
      </w:r>
      <w:r>
        <w:t>.</w:t>
      </w:r>
    </w:p>
    <w:p w14:paraId="1719433F" w14:textId="0CB7D738" w:rsidR="00211E98" w:rsidRDefault="009D584D" w:rsidP="00606904">
      <w:pPr>
        <w:pStyle w:val="Caption"/>
      </w:pPr>
      <w:bookmarkStart w:id="8" w:name="_Ref134180065"/>
      <w:r>
        <w:t xml:space="preserve">Table ES </w:t>
      </w:r>
      <w:fldSimple w:instr=" SEQ Table_ES \* ARABIC ">
        <w:r w:rsidR="007105D3">
          <w:rPr>
            <w:noProof/>
          </w:rPr>
          <w:t>1</w:t>
        </w:r>
      </w:fldSimple>
      <w:bookmarkEnd w:id="8"/>
      <w:r w:rsidR="00D42EB7">
        <w:tab/>
        <w:t xml:space="preserve">Summary of findings for clinical effectiveness </w:t>
      </w:r>
      <w:proofErr w:type="spellStart"/>
      <w:r w:rsidR="00D42EB7">
        <w:t>colposuspension</w:t>
      </w:r>
      <w:proofErr w:type="spellEnd"/>
      <w:r w:rsidR="00D42EB7">
        <w:t xml:space="preserve"> vs. MUS</w:t>
      </w:r>
    </w:p>
    <w:tbl>
      <w:tblPr>
        <w:tblStyle w:val="TableGrid"/>
        <w:tblW w:w="9640" w:type="dxa"/>
        <w:tblLook w:val="04A0" w:firstRow="1" w:lastRow="0" w:firstColumn="1" w:lastColumn="0" w:noHBand="0" w:noVBand="1"/>
        <w:tblCaption w:val="Summary of findings for clinical effectiveness of colposuspension versus mid-urethral sling"/>
        <w:tblDescription w:val="This table shows the number of randomised controlled trials, number of participants, quality of evidence, and statistical significance and clinical importance of the findings for colposuspension versus mid-urethral sling, by outcome."/>
      </w:tblPr>
      <w:tblGrid>
        <w:gridCol w:w="1928"/>
        <w:gridCol w:w="2212"/>
        <w:gridCol w:w="1644"/>
        <w:gridCol w:w="1928"/>
        <w:gridCol w:w="1928"/>
      </w:tblGrid>
      <w:tr w:rsidR="009625B9" w14:paraId="7CFF921A" w14:textId="77777777" w:rsidTr="00770C93">
        <w:trPr>
          <w:cnfStyle w:val="100000000000" w:firstRow="1" w:lastRow="0" w:firstColumn="0" w:lastColumn="0" w:oddVBand="0" w:evenVBand="0" w:oddHBand="0" w:evenHBand="0" w:firstRowFirstColumn="0" w:firstRowLastColumn="0" w:lastRowFirstColumn="0" w:lastRowLastColumn="0"/>
        </w:trPr>
        <w:tc>
          <w:tcPr>
            <w:tcW w:w="1928" w:type="dxa"/>
            <w:tcBorders>
              <w:bottom w:val="single" w:sz="4" w:space="0" w:color="auto"/>
            </w:tcBorders>
          </w:tcPr>
          <w:p w14:paraId="23E77DA4" w14:textId="77777777" w:rsidR="009625B9" w:rsidRPr="005D71A4" w:rsidRDefault="009625B9" w:rsidP="00606904">
            <w:pPr>
              <w:pStyle w:val="011TableHeading8pt"/>
              <w:keepNext/>
              <w:rPr>
                <w:sz w:val="18"/>
                <w:szCs w:val="18"/>
              </w:rPr>
            </w:pPr>
            <w:r w:rsidRPr="005D71A4">
              <w:rPr>
                <w:sz w:val="18"/>
                <w:szCs w:val="18"/>
              </w:rPr>
              <w:t>Outcome</w:t>
            </w:r>
          </w:p>
        </w:tc>
        <w:tc>
          <w:tcPr>
            <w:tcW w:w="2212" w:type="dxa"/>
            <w:tcBorders>
              <w:bottom w:val="single" w:sz="4" w:space="0" w:color="auto"/>
            </w:tcBorders>
          </w:tcPr>
          <w:p w14:paraId="02CBAF62" w14:textId="77777777" w:rsidR="009625B9" w:rsidRPr="005D71A4" w:rsidRDefault="009625B9" w:rsidP="00606904">
            <w:pPr>
              <w:pStyle w:val="011TableHeading8pt"/>
              <w:keepNext/>
              <w:rPr>
                <w:sz w:val="18"/>
                <w:szCs w:val="18"/>
              </w:rPr>
            </w:pPr>
            <w:r w:rsidRPr="005D71A4">
              <w:rPr>
                <w:sz w:val="18"/>
                <w:szCs w:val="18"/>
              </w:rPr>
              <w:t>No. of RCTs, No. participants</w:t>
            </w:r>
          </w:p>
        </w:tc>
        <w:tc>
          <w:tcPr>
            <w:tcW w:w="1644" w:type="dxa"/>
            <w:tcBorders>
              <w:bottom w:val="single" w:sz="4" w:space="0" w:color="auto"/>
            </w:tcBorders>
          </w:tcPr>
          <w:p w14:paraId="5B13FBEC" w14:textId="77777777" w:rsidR="009625B9" w:rsidRPr="005D71A4" w:rsidRDefault="009625B9" w:rsidP="00606904">
            <w:pPr>
              <w:pStyle w:val="011TableHeading8pt"/>
              <w:keepNext/>
              <w:rPr>
                <w:sz w:val="18"/>
                <w:szCs w:val="18"/>
              </w:rPr>
            </w:pPr>
            <w:r w:rsidRPr="005D71A4">
              <w:rPr>
                <w:sz w:val="18"/>
                <w:szCs w:val="18"/>
              </w:rPr>
              <w:t>Quality of evidence</w:t>
            </w:r>
          </w:p>
        </w:tc>
        <w:tc>
          <w:tcPr>
            <w:tcW w:w="1928" w:type="dxa"/>
            <w:tcBorders>
              <w:bottom w:val="single" w:sz="4" w:space="0" w:color="auto"/>
            </w:tcBorders>
          </w:tcPr>
          <w:p w14:paraId="28B464DB" w14:textId="77777777" w:rsidR="009625B9" w:rsidRPr="005D71A4" w:rsidRDefault="009625B9" w:rsidP="00606904">
            <w:pPr>
              <w:pStyle w:val="011TableHeading8pt"/>
              <w:keepNext/>
              <w:rPr>
                <w:sz w:val="18"/>
                <w:szCs w:val="18"/>
              </w:rPr>
            </w:pPr>
            <w:r w:rsidRPr="005D71A4">
              <w:rPr>
                <w:sz w:val="18"/>
                <w:szCs w:val="18"/>
              </w:rPr>
              <w:t>Statistical significance</w:t>
            </w:r>
          </w:p>
        </w:tc>
        <w:tc>
          <w:tcPr>
            <w:tcW w:w="1928" w:type="dxa"/>
            <w:tcBorders>
              <w:bottom w:val="single" w:sz="4" w:space="0" w:color="auto"/>
            </w:tcBorders>
          </w:tcPr>
          <w:p w14:paraId="2B8DE10E" w14:textId="6F635016" w:rsidR="009625B9" w:rsidRPr="008F5719" w:rsidRDefault="009625B9" w:rsidP="00606904">
            <w:pPr>
              <w:pStyle w:val="011TableHeading8pt"/>
              <w:keepNext/>
              <w:rPr>
                <w:sz w:val="18"/>
                <w:szCs w:val="18"/>
                <w:vertAlign w:val="superscript"/>
              </w:rPr>
            </w:pPr>
            <w:r w:rsidRPr="005D71A4">
              <w:rPr>
                <w:sz w:val="18"/>
                <w:szCs w:val="18"/>
              </w:rPr>
              <w:t>Clinical importance</w:t>
            </w:r>
            <w:r w:rsidR="00803DFE" w:rsidRPr="00803DFE">
              <w:rPr>
                <w:sz w:val="18"/>
                <w:szCs w:val="18"/>
                <w:vertAlign w:val="superscript"/>
              </w:rPr>
              <w:t>1</w:t>
            </w:r>
          </w:p>
        </w:tc>
      </w:tr>
      <w:tr w:rsidR="009625B9" w14:paraId="0AE65933" w14:textId="77777777" w:rsidTr="00770C93">
        <w:tc>
          <w:tcPr>
            <w:tcW w:w="1928" w:type="dxa"/>
            <w:tcBorders>
              <w:bottom w:val="nil"/>
            </w:tcBorders>
            <w:shd w:val="clear" w:color="auto" w:fill="E7E6E6" w:themeFill="background2"/>
          </w:tcPr>
          <w:p w14:paraId="7394DC3D" w14:textId="77777777" w:rsidR="009625B9" w:rsidRPr="005D71A4" w:rsidRDefault="009625B9" w:rsidP="00606904">
            <w:pPr>
              <w:pStyle w:val="051Tabletext228pt"/>
              <w:keepNext/>
              <w:rPr>
                <w:b/>
                <w:bCs/>
                <w:sz w:val="18"/>
                <w:szCs w:val="18"/>
                <w:highlight w:val="yellow"/>
              </w:rPr>
            </w:pPr>
            <w:r w:rsidRPr="005D71A4">
              <w:rPr>
                <w:b/>
                <w:bCs/>
                <w:sz w:val="18"/>
                <w:szCs w:val="18"/>
              </w:rPr>
              <w:t>Change in continence status</w:t>
            </w:r>
          </w:p>
        </w:tc>
        <w:tc>
          <w:tcPr>
            <w:tcW w:w="2212" w:type="dxa"/>
            <w:tcBorders>
              <w:bottom w:val="nil"/>
            </w:tcBorders>
            <w:shd w:val="clear" w:color="auto" w:fill="E7E6E6" w:themeFill="background2"/>
          </w:tcPr>
          <w:p w14:paraId="30D20679" w14:textId="77777777" w:rsidR="009625B9" w:rsidRPr="005D71A4" w:rsidRDefault="009625B9" w:rsidP="00606904">
            <w:pPr>
              <w:pStyle w:val="051Tabletext228pt"/>
              <w:keepNext/>
              <w:rPr>
                <w:sz w:val="18"/>
                <w:szCs w:val="18"/>
              </w:rPr>
            </w:pPr>
          </w:p>
        </w:tc>
        <w:tc>
          <w:tcPr>
            <w:tcW w:w="1644" w:type="dxa"/>
            <w:tcBorders>
              <w:bottom w:val="nil"/>
            </w:tcBorders>
            <w:shd w:val="clear" w:color="auto" w:fill="E7E6E6" w:themeFill="background2"/>
          </w:tcPr>
          <w:p w14:paraId="044F229B" w14:textId="77777777" w:rsidR="009625B9" w:rsidRPr="005D71A4" w:rsidRDefault="009625B9" w:rsidP="00606904">
            <w:pPr>
              <w:pStyle w:val="051Tabletext228pt"/>
              <w:keepNext/>
              <w:rPr>
                <w:sz w:val="18"/>
                <w:szCs w:val="18"/>
              </w:rPr>
            </w:pPr>
          </w:p>
        </w:tc>
        <w:tc>
          <w:tcPr>
            <w:tcW w:w="1928" w:type="dxa"/>
            <w:tcBorders>
              <w:bottom w:val="nil"/>
            </w:tcBorders>
            <w:shd w:val="clear" w:color="auto" w:fill="E7E6E6" w:themeFill="background2"/>
          </w:tcPr>
          <w:p w14:paraId="6AEF5532" w14:textId="77777777" w:rsidR="009625B9" w:rsidRPr="005D71A4" w:rsidRDefault="009625B9" w:rsidP="00606904">
            <w:pPr>
              <w:pStyle w:val="051Tabletext228pt"/>
              <w:keepNext/>
              <w:rPr>
                <w:sz w:val="18"/>
                <w:szCs w:val="18"/>
              </w:rPr>
            </w:pPr>
          </w:p>
        </w:tc>
        <w:tc>
          <w:tcPr>
            <w:tcW w:w="1928" w:type="dxa"/>
            <w:tcBorders>
              <w:bottom w:val="nil"/>
            </w:tcBorders>
            <w:shd w:val="clear" w:color="auto" w:fill="E7E6E6" w:themeFill="background2"/>
          </w:tcPr>
          <w:p w14:paraId="7AA4448A" w14:textId="77777777" w:rsidR="009625B9" w:rsidRPr="005D71A4" w:rsidRDefault="009625B9" w:rsidP="00606904">
            <w:pPr>
              <w:pStyle w:val="051Tabletext228pt"/>
              <w:keepNext/>
              <w:rPr>
                <w:sz w:val="18"/>
                <w:szCs w:val="18"/>
              </w:rPr>
            </w:pPr>
          </w:p>
        </w:tc>
      </w:tr>
      <w:tr w:rsidR="009625B9" w14:paraId="19B27C78" w14:textId="77777777" w:rsidTr="00770C93">
        <w:tc>
          <w:tcPr>
            <w:tcW w:w="1928" w:type="dxa"/>
            <w:tcBorders>
              <w:top w:val="nil"/>
              <w:bottom w:val="nil"/>
            </w:tcBorders>
          </w:tcPr>
          <w:p w14:paraId="41F89EC4" w14:textId="77777777" w:rsidR="009625B9" w:rsidRPr="005D71A4" w:rsidRDefault="009625B9" w:rsidP="00606904">
            <w:pPr>
              <w:pStyle w:val="051Tabletext228pt"/>
              <w:keepNext/>
              <w:rPr>
                <w:sz w:val="18"/>
                <w:szCs w:val="18"/>
              </w:rPr>
            </w:pPr>
            <w:r w:rsidRPr="005D71A4">
              <w:rPr>
                <w:sz w:val="18"/>
                <w:szCs w:val="18"/>
              </w:rPr>
              <w:t>subjective cure</w:t>
            </w:r>
          </w:p>
        </w:tc>
        <w:tc>
          <w:tcPr>
            <w:tcW w:w="2212" w:type="dxa"/>
            <w:tcBorders>
              <w:top w:val="nil"/>
              <w:bottom w:val="nil"/>
            </w:tcBorders>
            <w:shd w:val="clear" w:color="auto" w:fill="auto"/>
          </w:tcPr>
          <w:p w14:paraId="79EFA99B" w14:textId="77777777" w:rsidR="009625B9" w:rsidRPr="005D71A4" w:rsidRDefault="009625B9" w:rsidP="00606904">
            <w:pPr>
              <w:pStyle w:val="051Tabletext228pt"/>
              <w:keepNext/>
              <w:rPr>
                <w:sz w:val="18"/>
                <w:szCs w:val="18"/>
              </w:rPr>
            </w:pPr>
            <w:r w:rsidRPr="005D71A4">
              <w:rPr>
                <w:sz w:val="18"/>
                <w:szCs w:val="18"/>
              </w:rPr>
              <w:t>4, N=625 (S)</w:t>
            </w:r>
          </w:p>
        </w:tc>
        <w:tc>
          <w:tcPr>
            <w:tcW w:w="1644" w:type="dxa"/>
            <w:tcBorders>
              <w:top w:val="nil"/>
              <w:bottom w:val="nil"/>
            </w:tcBorders>
            <w:shd w:val="clear" w:color="auto" w:fill="FFE599" w:themeFill="accent4" w:themeFillTint="66"/>
          </w:tcPr>
          <w:p w14:paraId="7A4A886E" w14:textId="77777777" w:rsidR="009625B9" w:rsidRPr="005D71A4" w:rsidRDefault="009625B9" w:rsidP="00606904">
            <w:pPr>
              <w:pStyle w:val="051Tabletext228pt"/>
              <w:keepNext/>
              <w:rPr>
                <w:sz w:val="18"/>
                <w:szCs w:val="18"/>
              </w:rPr>
            </w:pPr>
            <w:r w:rsidRPr="005D71A4">
              <w:rPr>
                <w:sz w:val="18"/>
                <w:szCs w:val="18"/>
              </w:rPr>
              <w:t>Low</w:t>
            </w:r>
          </w:p>
        </w:tc>
        <w:tc>
          <w:tcPr>
            <w:tcW w:w="1928" w:type="dxa"/>
            <w:tcBorders>
              <w:top w:val="nil"/>
              <w:bottom w:val="nil"/>
            </w:tcBorders>
          </w:tcPr>
          <w:p w14:paraId="1860DE2C" w14:textId="77777777" w:rsidR="009625B9" w:rsidRPr="005D71A4" w:rsidRDefault="009625B9" w:rsidP="00606904">
            <w:pPr>
              <w:pStyle w:val="051Tabletext228pt"/>
              <w:keepNext/>
              <w:rPr>
                <w:sz w:val="18"/>
                <w:szCs w:val="18"/>
              </w:rPr>
            </w:pPr>
            <w:r w:rsidRPr="005D71A4">
              <w:rPr>
                <w:sz w:val="18"/>
                <w:szCs w:val="18"/>
              </w:rPr>
              <w:t>No difference (S)</w:t>
            </w:r>
          </w:p>
        </w:tc>
        <w:tc>
          <w:tcPr>
            <w:tcW w:w="1928" w:type="dxa"/>
            <w:tcBorders>
              <w:top w:val="nil"/>
              <w:bottom w:val="nil"/>
            </w:tcBorders>
          </w:tcPr>
          <w:p w14:paraId="5737FB59" w14:textId="77777777" w:rsidR="009625B9" w:rsidRPr="005D71A4" w:rsidRDefault="009625B9" w:rsidP="00606904">
            <w:pPr>
              <w:pStyle w:val="051Tabletext228pt"/>
              <w:keepNext/>
              <w:rPr>
                <w:sz w:val="18"/>
                <w:szCs w:val="18"/>
              </w:rPr>
            </w:pPr>
            <w:r w:rsidRPr="005D71A4">
              <w:rPr>
                <w:sz w:val="18"/>
                <w:szCs w:val="18"/>
              </w:rPr>
              <w:t>No difference (S)</w:t>
            </w:r>
          </w:p>
        </w:tc>
      </w:tr>
      <w:tr w:rsidR="009625B9" w14:paraId="0865F9D4" w14:textId="77777777" w:rsidTr="00770C93">
        <w:tc>
          <w:tcPr>
            <w:tcW w:w="1928" w:type="dxa"/>
            <w:tcBorders>
              <w:top w:val="nil"/>
              <w:bottom w:val="nil"/>
            </w:tcBorders>
          </w:tcPr>
          <w:p w14:paraId="6F5DDA16" w14:textId="77777777" w:rsidR="009625B9" w:rsidRPr="005D71A4" w:rsidRDefault="009625B9" w:rsidP="00606904">
            <w:pPr>
              <w:pStyle w:val="051Tabletext228pt"/>
              <w:keepNext/>
              <w:rPr>
                <w:sz w:val="18"/>
                <w:szCs w:val="18"/>
              </w:rPr>
            </w:pPr>
          </w:p>
        </w:tc>
        <w:tc>
          <w:tcPr>
            <w:tcW w:w="2212" w:type="dxa"/>
            <w:tcBorders>
              <w:top w:val="nil"/>
              <w:bottom w:val="nil"/>
            </w:tcBorders>
            <w:shd w:val="clear" w:color="auto" w:fill="auto"/>
          </w:tcPr>
          <w:p w14:paraId="7E847DAB" w14:textId="77777777" w:rsidR="009625B9" w:rsidRPr="005D71A4" w:rsidRDefault="009625B9" w:rsidP="00606904">
            <w:pPr>
              <w:pStyle w:val="051Tabletext228pt"/>
              <w:keepNext/>
              <w:rPr>
                <w:sz w:val="18"/>
                <w:szCs w:val="18"/>
              </w:rPr>
            </w:pPr>
            <w:r w:rsidRPr="005D71A4">
              <w:rPr>
                <w:sz w:val="18"/>
                <w:szCs w:val="18"/>
              </w:rPr>
              <w:t>4, N=619 (M)</w:t>
            </w:r>
          </w:p>
        </w:tc>
        <w:tc>
          <w:tcPr>
            <w:tcW w:w="1644" w:type="dxa"/>
            <w:tcBorders>
              <w:top w:val="nil"/>
              <w:bottom w:val="nil"/>
            </w:tcBorders>
            <w:shd w:val="clear" w:color="auto" w:fill="F4B083" w:themeFill="accent2" w:themeFillTint="99"/>
          </w:tcPr>
          <w:p w14:paraId="3BD5F6BE" w14:textId="77777777" w:rsidR="009625B9" w:rsidRPr="005D71A4" w:rsidRDefault="009625B9" w:rsidP="00606904">
            <w:pPr>
              <w:pStyle w:val="051Tabletext228pt"/>
              <w:keepNext/>
              <w:rPr>
                <w:sz w:val="18"/>
                <w:szCs w:val="18"/>
              </w:rPr>
            </w:pPr>
            <w:r w:rsidRPr="005D71A4">
              <w:rPr>
                <w:sz w:val="18"/>
                <w:szCs w:val="18"/>
              </w:rPr>
              <w:t>Very low</w:t>
            </w:r>
          </w:p>
        </w:tc>
        <w:tc>
          <w:tcPr>
            <w:tcW w:w="1928" w:type="dxa"/>
            <w:tcBorders>
              <w:top w:val="nil"/>
              <w:bottom w:val="nil"/>
            </w:tcBorders>
          </w:tcPr>
          <w:p w14:paraId="1A67A6F9" w14:textId="77777777" w:rsidR="009625B9" w:rsidRPr="005D71A4" w:rsidRDefault="009625B9" w:rsidP="00606904">
            <w:pPr>
              <w:pStyle w:val="051Tabletext228pt"/>
              <w:keepNext/>
              <w:rPr>
                <w:sz w:val="18"/>
                <w:szCs w:val="18"/>
              </w:rPr>
            </w:pPr>
            <w:r w:rsidRPr="005D71A4">
              <w:rPr>
                <w:sz w:val="18"/>
                <w:szCs w:val="18"/>
              </w:rPr>
              <w:t>No difference (M)</w:t>
            </w:r>
          </w:p>
        </w:tc>
        <w:tc>
          <w:tcPr>
            <w:tcW w:w="1928" w:type="dxa"/>
            <w:tcBorders>
              <w:top w:val="nil"/>
              <w:bottom w:val="nil"/>
            </w:tcBorders>
          </w:tcPr>
          <w:p w14:paraId="157D7108" w14:textId="77777777" w:rsidR="009625B9" w:rsidRPr="005D71A4" w:rsidRDefault="009625B9" w:rsidP="00606904">
            <w:pPr>
              <w:pStyle w:val="051Tabletext228pt"/>
              <w:keepNext/>
              <w:rPr>
                <w:sz w:val="18"/>
                <w:szCs w:val="18"/>
              </w:rPr>
            </w:pPr>
            <w:r w:rsidRPr="005D71A4">
              <w:rPr>
                <w:sz w:val="18"/>
                <w:szCs w:val="18"/>
              </w:rPr>
              <w:t>No difference (M)</w:t>
            </w:r>
          </w:p>
        </w:tc>
      </w:tr>
      <w:tr w:rsidR="009625B9" w14:paraId="366CD9F9" w14:textId="77777777" w:rsidTr="00770C93">
        <w:tc>
          <w:tcPr>
            <w:tcW w:w="1928" w:type="dxa"/>
            <w:tcBorders>
              <w:top w:val="nil"/>
              <w:bottom w:val="nil"/>
            </w:tcBorders>
          </w:tcPr>
          <w:p w14:paraId="4B2DFD27" w14:textId="77777777" w:rsidR="009625B9" w:rsidRPr="005D71A4" w:rsidRDefault="009625B9" w:rsidP="00606904">
            <w:pPr>
              <w:pStyle w:val="051Tabletext228pt"/>
              <w:keepNext/>
              <w:rPr>
                <w:sz w:val="18"/>
                <w:szCs w:val="18"/>
              </w:rPr>
            </w:pPr>
          </w:p>
        </w:tc>
        <w:tc>
          <w:tcPr>
            <w:tcW w:w="2212" w:type="dxa"/>
            <w:tcBorders>
              <w:top w:val="nil"/>
              <w:bottom w:val="nil"/>
            </w:tcBorders>
            <w:shd w:val="clear" w:color="auto" w:fill="auto"/>
          </w:tcPr>
          <w:p w14:paraId="3E55916B" w14:textId="77777777" w:rsidR="009625B9" w:rsidRPr="005D71A4" w:rsidRDefault="009625B9" w:rsidP="00606904">
            <w:pPr>
              <w:pStyle w:val="051Tabletext228pt"/>
              <w:keepNext/>
              <w:rPr>
                <w:sz w:val="18"/>
                <w:szCs w:val="18"/>
              </w:rPr>
            </w:pPr>
            <w:r w:rsidRPr="005D71A4">
              <w:rPr>
                <w:sz w:val="18"/>
                <w:szCs w:val="18"/>
              </w:rPr>
              <w:t>1, N=72</w:t>
            </w:r>
          </w:p>
        </w:tc>
        <w:tc>
          <w:tcPr>
            <w:tcW w:w="1644" w:type="dxa"/>
            <w:tcBorders>
              <w:top w:val="nil"/>
              <w:bottom w:val="nil"/>
            </w:tcBorders>
            <w:shd w:val="clear" w:color="auto" w:fill="F4B083" w:themeFill="accent2" w:themeFillTint="99"/>
          </w:tcPr>
          <w:p w14:paraId="73B87DF3" w14:textId="77777777" w:rsidR="009625B9" w:rsidRPr="005D71A4" w:rsidRDefault="009625B9" w:rsidP="00606904">
            <w:pPr>
              <w:pStyle w:val="051Tabletext228pt"/>
              <w:keepNext/>
              <w:rPr>
                <w:sz w:val="18"/>
                <w:szCs w:val="18"/>
              </w:rPr>
            </w:pPr>
            <w:r w:rsidRPr="005D71A4">
              <w:rPr>
                <w:sz w:val="18"/>
                <w:szCs w:val="18"/>
              </w:rPr>
              <w:t>Very low</w:t>
            </w:r>
          </w:p>
        </w:tc>
        <w:tc>
          <w:tcPr>
            <w:tcW w:w="1928" w:type="dxa"/>
            <w:tcBorders>
              <w:top w:val="nil"/>
              <w:bottom w:val="nil"/>
            </w:tcBorders>
          </w:tcPr>
          <w:p w14:paraId="07C4C971" w14:textId="77777777" w:rsidR="009625B9" w:rsidRPr="005D71A4" w:rsidRDefault="009625B9" w:rsidP="00606904">
            <w:pPr>
              <w:pStyle w:val="051Tabletext228pt"/>
              <w:keepNext/>
              <w:rPr>
                <w:sz w:val="18"/>
                <w:szCs w:val="18"/>
              </w:rPr>
            </w:pPr>
            <w:r w:rsidRPr="005D71A4">
              <w:rPr>
                <w:sz w:val="18"/>
                <w:szCs w:val="18"/>
              </w:rPr>
              <w:t>No difference (L)</w:t>
            </w:r>
          </w:p>
        </w:tc>
        <w:tc>
          <w:tcPr>
            <w:tcW w:w="1928" w:type="dxa"/>
            <w:tcBorders>
              <w:top w:val="nil"/>
              <w:bottom w:val="nil"/>
            </w:tcBorders>
          </w:tcPr>
          <w:p w14:paraId="2370B8C3" w14:textId="77777777" w:rsidR="009625B9" w:rsidRPr="005D71A4" w:rsidRDefault="009625B9" w:rsidP="00606904">
            <w:pPr>
              <w:pStyle w:val="051Tabletext228pt"/>
              <w:keepNext/>
              <w:rPr>
                <w:sz w:val="18"/>
                <w:szCs w:val="18"/>
              </w:rPr>
            </w:pPr>
            <w:r w:rsidRPr="005D71A4">
              <w:rPr>
                <w:sz w:val="18"/>
                <w:szCs w:val="18"/>
              </w:rPr>
              <w:t>No difference (L)</w:t>
            </w:r>
          </w:p>
        </w:tc>
      </w:tr>
      <w:tr w:rsidR="009625B9" w14:paraId="5875F0CB" w14:textId="77777777" w:rsidTr="00770C93">
        <w:tc>
          <w:tcPr>
            <w:tcW w:w="1928" w:type="dxa"/>
            <w:tcBorders>
              <w:top w:val="nil"/>
              <w:bottom w:val="nil"/>
            </w:tcBorders>
          </w:tcPr>
          <w:p w14:paraId="08F2E3BA" w14:textId="77777777" w:rsidR="009625B9" w:rsidRPr="005D71A4" w:rsidRDefault="009625B9" w:rsidP="00770C93">
            <w:pPr>
              <w:pStyle w:val="051Tabletext228pt"/>
              <w:rPr>
                <w:sz w:val="18"/>
                <w:szCs w:val="18"/>
              </w:rPr>
            </w:pPr>
            <w:r w:rsidRPr="005D71A4">
              <w:rPr>
                <w:sz w:val="18"/>
                <w:szCs w:val="18"/>
              </w:rPr>
              <w:t>objective cure</w:t>
            </w:r>
          </w:p>
        </w:tc>
        <w:tc>
          <w:tcPr>
            <w:tcW w:w="2212" w:type="dxa"/>
            <w:tcBorders>
              <w:top w:val="nil"/>
              <w:bottom w:val="nil"/>
            </w:tcBorders>
            <w:shd w:val="clear" w:color="auto" w:fill="auto"/>
          </w:tcPr>
          <w:p w14:paraId="691707DF" w14:textId="77777777" w:rsidR="009625B9" w:rsidRPr="005D71A4" w:rsidRDefault="009625B9" w:rsidP="00770C93">
            <w:pPr>
              <w:pStyle w:val="051Tabletext228pt"/>
              <w:rPr>
                <w:sz w:val="18"/>
                <w:szCs w:val="18"/>
              </w:rPr>
            </w:pPr>
            <w:r w:rsidRPr="005D71A4">
              <w:rPr>
                <w:sz w:val="18"/>
                <w:szCs w:val="18"/>
              </w:rPr>
              <w:t>5, N=689 (S)</w:t>
            </w:r>
          </w:p>
        </w:tc>
        <w:tc>
          <w:tcPr>
            <w:tcW w:w="1644" w:type="dxa"/>
            <w:tcBorders>
              <w:top w:val="nil"/>
              <w:bottom w:val="nil"/>
            </w:tcBorders>
            <w:shd w:val="clear" w:color="auto" w:fill="F4B083" w:themeFill="accent2" w:themeFillTint="99"/>
          </w:tcPr>
          <w:p w14:paraId="3395E3C8"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shd w:val="clear" w:color="auto" w:fill="C5E0B3" w:themeFill="accent6" w:themeFillTint="66"/>
          </w:tcPr>
          <w:p w14:paraId="18504D78" w14:textId="77777777" w:rsidR="009625B9" w:rsidRPr="005D71A4" w:rsidRDefault="009625B9" w:rsidP="00770C93">
            <w:pPr>
              <w:pStyle w:val="051Tabletext228pt"/>
              <w:rPr>
                <w:sz w:val="18"/>
                <w:szCs w:val="18"/>
              </w:rPr>
            </w:pPr>
            <w:r w:rsidRPr="005D71A4">
              <w:rPr>
                <w:sz w:val="18"/>
                <w:szCs w:val="18"/>
              </w:rPr>
              <w:t>Favours MUS (S)</w:t>
            </w:r>
          </w:p>
        </w:tc>
        <w:tc>
          <w:tcPr>
            <w:tcW w:w="1928" w:type="dxa"/>
            <w:tcBorders>
              <w:top w:val="nil"/>
              <w:bottom w:val="nil"/>
            </w:tcBorders>
          </w:tcPr>
          <w:p w14:paraId="5BB8B7F4" w14:textId="77777777" w:rsidR="009625B9" w:rsidRPr="005D71A4" w:rsidRDefault="009625B9" w:rsidP="00770C93">
            <w:pPr>
              <w:pStyle w:val="051Tabletext228pt"/>
              <w:rPr>
                <w:sz w:val="18"/>
                <w:szCs w:val="18"/>
              </w:rPr>
            </w:pPr>
            <w:r w:rsidRPr="005D71A4">
              <w:rPr>
                <w:sz w:val="18"/>
                <w:szCs w:val="18"/>
              </w:rPr>
              <w:t>No difference (S)</w:t>
            </w:r>
          </w:p>
        </w:tc>
      </w:tr>
      <w:tr w:rsidR="009625B9" w14:paraId="5E352278" w14:textId="77777777" w:rsidTr="00770C93">
        <w:tc>
          <w:tcPr>
            <w:tcW w:w="1928" w:type="dxa"/>
            <w:tcBorders>
              <w:top w:val="nil"/>
              <w:bottom w:val="nil"/>
            </w:tcBorders>
          </w:tcPr>
          <w:p w14:paraId="3FA37DD4" w14:textId="77777777" w:rsidR="009625B9" w:rsidRPr="005D71A4" w:rsidRDefault="009625B9" w:rsidP="00770C93">
            <w:pPr>
              <w:pStyle w:val="051Tabletext228pt"/>
              <w:rPr>
                <w:sz w:val="18"/>
                <w:szCs w:val="18"/>
              </w:rPr>
            </w:pPr>
          </w:p>
        </w:tc>
        <w:tc>
          <w:tcPr>
            <w:tcW w:w="2212" w:type="dxa"/>
            <w:tcBorders>
              <w:top w:val="nil"/>
              <w:bottom w:val="nil"/>
            </w:tcBorders>
            <w:shd w:val="clear" w:color="auto" w:fill="auto"/>
          </w:tcPr>
          <w:p w14:paraId="7E1EFEEF" w14:textId="77777777" w:rsidR="009625B9" w:rsidRPr="005D71A4" w:rsidRDefault="009625B9" w:rsidP="00770C93">
            <w:pPr>
              <w:pStyle w:val="051Tabletext228pt"/>
              <w:rPr>
                <w:sz w:val="18"/>
                <w:szCs w:val="18"/>
              </w:rPr>
            </w:pPr>
            <w:r w:rsidRPr="005D71A4">
              <w:rPr>
                <w:sz w:val="18"/>
                <w:szCs w:val="18"/>
              </w:rPr>
              <w:t>7, N=844 (M)</w:t>
            </w:r>
          </w:p>
        </w:tc>
        <w:tc>
          <w:tcPr>
            <w:tcW w:w="1644" w:type="dxa"/>
            <w:tcBorders>
              <w:top w:val="nil"/>
              <w:bottom w:val="nil"/>
            </w:tcBorders>
            <w:shd w:val="clear" w:color="auto" w:fill="FFE599" w:themeFill="accent4" w:themeFillTint="66"/>
          </w:tcPr>
          <w:p w14:paraId="06271DA0" w14:textId="77777777" w:rsidR="009625B9" w:rsidRPr="005D71A4" w:rsidRDefault="009625B9" w:rsidP="00770C9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25A82DE9" w14:textId="77777777" w:rsidR="009625B9" w:rsidRPr="005D71A4" w:rsidRDefault="009625B9" w:rsidP="00770C93">
            <w:pPr>
              <w:pStyle w:val="051Tabletext228pt"/>
              <w:rPr>
                <w:sz w:val="18"/>
                <w:szCs w:val="18"/>
              </w:rPr>
            </w:pPr>
            <w:r w:rsidRPr="005D71A4">
              <w:rPr>
                <w:sz w:val="18"/>
                <w:szCs w:val="18"/>
              </w:rPr>
              <w:t>Favours MUS (M)</w:t>
            </w:r>
          </w:p>
        </w:tc>
        <w:tc>
          <w:tcPr>
            <w:tcW w:w="1928" w:type="dxa"/>
            <w:tcBorders>
              <w:top w:val="nil"/>
              <w:bottom w:val="nil"/>
            </w:tcBorders>
          </w:tcPr>
          <w:p w14:paraId="3FF6129F" w14:textId="77777777" w:rsidR="009625B9" w:rsidRPr="005D71A4" w:rsidRDefault="009625B9" w:rsidP="00770C93">
            <w:pPr>
              <w:pStyle w:val="051Tabletext228pt"/>
              <w:rPr>
                <w:sz w:val="18"/>
                <w:szCs w:val="18"/>
              </w:rPr>
            </w:pPr>
            <w:r w:rsidRPr="005D71A4">
              <w:rPr>
                <w:sz w:val="18"/>
                <w:szCs w:val="18"/>
              </w:rPr>
              <w:t>No difference (M)</w:t>
            </w:r>
          </w:p>
        </w:tc>
      </w:tr>
      <w:tr w:rsidR="009625B9" w14:paraId="2258EABB" w14:textId="77777777" w:rsidTr="00770C93">
        <w:tc>
          <w:tcPr>
            <w:tcW w:w="1928" w:type="dxa"/>
            <w:tcBorders>
              <w:bottom w:val="nil"/>
            </w:tcBorders>
            <w:shd w:val="clear" w:color="auto" w:fill="D9D9D9" w:themeFill="background1" w:themeFillShade="D9"/>
          </w:tcPr>
          <w:p w14:paraId="37784517" w14:textId="77777777" w:rsidR="009625B9" w:rsidRPr="005D71A4" w:rsidDel="00F4230D" w:rsidRDefault="009625B9" w:rsidP="00770C93">
            <w:pPr>
              <w:pStyle w:val="051Tabletext228pt"/>
              <w:rPr>
                <w:b/>
                <w:bCs/>
                <w:sz w:val="18"/>
                <w:szCs w:val="18"/>
              </w:rPr>
            </w:pPr>
            <w:r w:rsidRPr="005D71A4">
              <w:rPr>
                <w:b/>
                <w:bCs/>
                <w:sz w:val="18"/>
                <w:szCs w:val="18"/>
              </w:rPr>
              <w:lastRenderedPageBreak/>
              <w:t>Patient-reported outcomes</w:t>
            </w:r>
          </w:p>
        </w:tc>
        <w:tc>
          <w:tcPr>
            <w:tcW w:w="2212" w:type="dxa"/>
            <w:tcBorders>
              <w:bottom w:val="nil"/>
            </w:tcBorders>
            <w:shd w:val="clear" w:color="auto" w:fill="D9D9D9" w:themeFill="background1" w:themeFillShade="D9"/>
          </w:tcPr>
          <w:p w14:paraId="1BFF41A0" w14:textId="77777777" w:rsidR="009625B9" w:rsidRPr="005D71A4" w:rsidRDefault="009625B9" w:rsidP="00770C93">
            <w:pPr>
              <w:pStyle w:val="051Tabletext228pt"/>
              <w:rPr>
                <w:sz w:val="18"/>
                <w:szCs w:val="18"/>
              </w:rPr>
            </w:pPr>
          </w:p>
        </w:tc>
        <w:tc>
          <w:tcPr>
            <w:tcW w:w="1644" w:type="dxa"/>
            <w:tcBorders>
              <w:bottom w:val="nil"/>
            </w:tcBorders>
            <w:shd w:val="clear" w:color="auto" w:fill="D9D9D9" w:themeFill="background1" w:themeFillShade="D9"/>
          </w:tcPr>
          <w:p w14:paraId="2A85486E" w14:textId="77777777" w:rsidR="009625B9" w:rsidRPr="005D71A4" w:rsidRDefault="009625B9" w:rsidP="00770C93">
            <w:pPr>
              <w:pStyle w:val="051Tabletext228pt"/>
              <w:rPr>
                <w:sz w:val="18"/>
                <w:szCs w:val="18"/>
              </w:rPr>
            </w:pPr>
          </w:p>
        </w:tc>
        <w:tc>
          <w:tcPr>
            <w:tcW w:w="1928" w:type="dxa"/>
            <w:tcBorders>
              <w:bottom w:val="nil"/>
            </w:tcBorders>
            <w:shd w:val="clear" w:color="auto" w:fill="D9D9D9" w:themeFill="background1" w:themeFillShade="D9"/>
          </w:tcPr>
          <w:p w14:paraId="56386B5E" w14:textId="77777777" w:rsidR="009625B9" w:rsidRPr="005D71A4" w:rsidRDefault="009625B9" w:rsidP="00770C93">
            <w:pPr>
              <w:pStyle w:val="051Tabletext228pt"/>
              <w:rPr>
                <w:sz w:val="18"/>
                <w:szCs w:val="18"/>
              </w:rPr>
            </w:pPr>
          </w:p>
        </w:tc>
        <w:tc>
          <w:tcPr>
            <w:tcW w:w="1928" w:type="dxa"/>
            <w:tcBorders>
              <w:bottom w:val="nil"/>
            </w:tcBorders>
            <w:shd w:val="clear" w:color="auto" w:fill="D9D9D9" w:themeFill="background1" w:themeFillShade="D9"/>
          </w:tcPr>
          <w:p w14:paraId="4D7BD2F5" w14:textId="77777777" w:rsidR="009625B9" w:rsidRPr="005D71A4" w:rsidRDefault="009625B9" w:rsidP="00770C93">
            <w:pPr>
              <w:pStyle w:val="051Tabletext228pt"/>
              <w:rPr>
                <w:sz w:val="18"/>
                <w:szCs w:val="18"/>
              </w:rPr>
            </w:pPr>
          </w:p>
        </w:tc>
      </w:tr>
      <w:tr w:rsidR="009625B9" w14:paraId="77B7083B" w14:textId="77777777" w:rsidTr="00770C93">
        <w:tc>
          <w:tcPr>
            <w:tcW w:w="1928" w:type="dxa"/>
            <w:tcBorders>
              <w:top w:val="nil"/>
              <w:bottom w:val="nil"/>
            </w:tcBorders>
          </w:tcPr>
          <w:p w14:paraId="4831C6B9" w14:textId="77777777" w:rsidR="009625B9" w:rsidRPr="005D71A4" w:rsidRDefault="009625B9" w:rsidP="00770C93">
            <w:pPr>
              <w:pStyle w:val="051Tabletext228pt"/>
              <w:rPr>
                <w:sz w:val="18"/>
                <w:szCs w:val="18"/>
              </w:rPr>
            </w:pPr>
            <w:r w:rsidRPr="005D71A4">
              <w:rPr>
                <w:sz w:val="18"/>
                <w:szCs w:val="18"/>
              </w:rPr>
              <w:t xml:space="preserve">continence-specific </w:t>
            </w:r>
            <w:r w:rsidRPr="005D71A4" w:rsidDel="006C514B">
              <w:rPr>
                <w:sz w:val="18"/>
                <w:szCs w:val="18"/>
              </w:rPr>
              <w:t xml:space="preserve">health-related </w:t>
            </w:r>
            <w:proofErr w:type="spellStart"/>
            <w:r w:rsidRPr="005D71A4">
              <w:rPr>
                <w:sz w:val="18"/>
                <w:szCs w:val="18"/>
              </w:rPr>
              <w:t>HRQoL</w:t>
            </w:r>
            <w:proofErr w:type="spellEnd"/>
          </w:p>
        </w:tc>
        <w:tc>
          <w:tcPr>
            <w:tcW w:w="2212" w:type="dxa"/>
            <w:tcBorders>
              <w:top w:val="nil"/>
              <w:bottom w:val="nil"/>
            </w:tcBorders>
            <w:shd w:val="clear" w:color="auto" w:fill="auto"/>
          </w:tcPr>
          <w:p w14:paraId="38A1894A" w14:textId="77777777" w:rsidR="009625B9" w:rsidRPr="005D71A4" w:rsidRDefault="009625B9" w:rsidP="00770C93">
            <w:pPr>
              <w:pStyle w:val="051Tabletext228pt"/>
              <w:rPr>
                <w:sz w:val="18"/>
                <w:szCs w:val="18"/>
              </w:rPr>
            </w:pPr>
            <w:r w:rsidRPr="005D71A4">
              <w:rPr>
                <w:sz w:val="18"/>
                <w:szCs w:val="18"/>
              </w:rPr>
              <w:t>1, N=286 (S); 1, N=177 (M)</w:t>
            </w:r>
          </w:p>
        </w:tc>
        <w:tc>
          <w:tcPr>
            <w:tcW w:w="1644" w:type="dxa"/>
            <w:tcBorders>
              <w:top w:val="nil"/>
              <w:bottom w:val="nil"/>
            </w:tcBorders>
            <w:shd w:val="clear" w:color="auto" w:fill="F4B083" w:themeFill="accent2" w:themeFillTint="99"/>
          </w:tcPr>
          <w:p w14:paraId="281CACCF"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6F1E3B44" w14:textId="77777777" w:rsidR="009625B9" w:rsidRPr="005D71A4" w:rsidRDefault="009625B9" w:rsidP="00770C93">
            <w:pPr>
              <w:pStyle w:val="051Tabletext228pt"/>
              <w:rPr>
                <w:sz w:val="18"/>
                <w:szCs w:val="18"/>
              </w:rPr>
            </w:pPr>
            <w:r w:rsidRPr="005D71A4">
              <w:rPr>
                <w:sz w:val="18"/>
                <w:szCs w:val="18"/>
              </w:rPr>
              <w:t>No difference (S), (M)</w:t>
            </w:r>
          </w:p>
        </w:tc>
        <w:tc>
          <w:tcPr>
            <w:tcW w:w="1928" w:type="dxa"/>
            <w:tcBorders>
              <w:top w:val="nil"/>
              <w:bottom w:val="nil"/>
            </w:tcBorders>
          </w:tcPr>
          <w:p w14:paraId="75D49723" w14:textId="77777777" w:rsidR="009625B9" w:rsidRPr="005D71A4" w:rsidRDefault="009625B9" w:rsidP="00770C93">
            <w:pPr>
              <w:pStyle w:val="051Tabletext228pt"/>
              <w:rPr>
                <w:sz w:val="18"/>
                <w:szCs w:val="18"/>
              </w:rPr>
            </w:pPr>
            <w:r w:rsidRPr="005D71A4">
              <w:rPr>
                <w:sz w:val="18"/>
                <w:szCs w:val="18"/>
              </w:rPr>
              <w:t>No difference (S), (M)</w:t>
            </w:r>
          </w:p>
        </w:tc>
      </w:tr>
      <w:tr w:rsidR="009625B9" w14:paraId="34C355E4" w14:textId="77777777" w:rsidTr="00770C93">
        <w:tc>
          <w:tcPr>
            <w:tcW w:w="1928" w:type="dxa"/>
            <w:tcBorders>
              <w:top w:val="nil"/>
              <w:bottom w:val="nil"/>
            </w:tcBorders>
          </w:tcPr>
          <w:p w14:paraId="43C3BCA4" w14:textId="77777777" w:rsidR="009625B9" w:rsidRPr="005D71A4" w:rsidRDefault="009625B9" w:rsidP="00770C93">
            <w:pPr>
              <w:pStyle w:val="051Tabletext228pt"/>
              <w:rPr>
                <w:sz w:val="18"/>
                <w:szCs w:val="18"/>
              </w:rPr>
            </w:pPr>
            <w:r w:rsidRPr="005D71A4">
              <w:rPr>
                <w:sz w:val="18"/>
                <w:szCs w:val="18"/>
              </w:rPr>
              <w:t>patient-satisfaction/patient-reported improvement</w:t>
            </w:r>
          </w:p>
        </w:tc>
        <w:tc>
          <w:tcPr>
            <w:tcW w:w="2212" w:type="dxa"/>
            <w:tcBorders>
              <w:top w:val="nil"/>
              <w:bottom w:val="nil"/>
            </w:tcBorders>
            <w:shd w:val="clear" w:color="auto" w:fill="auto"/>
          </w:tcPr>
          <w:p w14:paraId="4728A722" w14:textId="77777777" w:rsidR="009625B9" w:rsidRPr="005D71A4" w:rsidRDefault="009625B9" w:rsidP="00770C93">
            <w:pPr>
              <w:pStyle w:val="051Tabletext228pt"/>
              <w:rPr>
                <w:sz w:val="18"/>
                <w:szCs w:val="18"/>
              </w:rPr>
            </w:pPr>
            <w:r w:rsidRPr="005D71A4">
              <w:rPr>
                <w:sz w:val="18"/>
                <w:szCs w:val="18"/>
              </w:rPr>
              <w:t>5, N=441 (M)</w:t>
            </w:r>
          </w:p>
        </w:tc>
        <w:tc>
          <w:tcPr>
            <w:tcW w:w="1644" w:type="dxa"/>
            <w:tcBorders>
              <w:top w:val="nil"/>
              <w:bottom w:val="nil"/>
            </w:tcBorders>
            <w:shd w:val="clear" w:color="auto" w:fill="FFE599" w:themeFill="accent4" w:themeFillTint="66"/>
          </w:tcPr>
          <w:p w14:paraId="7DA0AF18" w14:textId="77777777" w:rsidR="009625B9" w:rsidRPr="005D71A4" w:rsidRDefault="009625B9" w:rsidP="00770C9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186A3391" w14:textId="77777777" w:rsidR="009625B9" w:rsidRPr="005D71A4" w:rsidRDefault="009625B9" w:rsidP="00770C93">
            <w:pPr>
              <w:pStyle w:val="051Tabletext228pt"/>
              <w:rPr>
                <w:sz w:val="18"/>
                <w:szCs w:val="18"/>
                <w:highlight w:val="yellow"/>
              </w:rPr>
            </w:pPr>
            <w:r w:rsidRPr="005D71A4">
              <w:rPr>
                <w:sz w:val="18"/>
                <w:szCs w:val="18"/>
              </w:rPr>
              <w:t>Favours MUS (M)</w:t>
            </w:r>
          </w:p>
        </w:tc>
        <w:tc>
          <w:tcPr>
            <w:tcW w:w="1928" w:type="dxa"/>
            <w:tcBorders>
              <w:top w:val="nil"/>
              <w:bottom w:val="nil"/>
            </w:tcBorders>
          </w:tcPr>
          <w:p w14:paraId="3D49014A" w14:textId="77777777" w:rsidR="009625B9" w:rsidRPr="005D71A4" w:rsidRDefault="009625B9" w:rsidP="00770C93">
            <w:pPr>
              <w:pStyle w:val="051Tabletext228pt"/>
              <w:rPr>
                <w:sz w:val="18"/>
                <w:szCs w:val="18"/>
                <w:highlight w:val="yellow"/>
              </w:rPr>
            </w:pPr>
            <w:r w:rsidRPr="005D71A4">
              <w:rPr>
                <w:sz w:val="18"/>
                <w:szCs w:val="18"/>
              </w:rPr>
              <w:t>No difference (M)</w:t>
            </w:r>
          </w:p>
        </w:tc>
      </w:tr>
      <w:tr w:rsidR="009625B9" w14:paraId="38B7FC4C" w14:textId="77777777" w:rsidTr="00770C93">
        <w:tc>
          <w:tcPr>
            <w:tcW w:w="1928" w:type="dxa"/>
            <w:tcBorders>
              <w:top w:val="nil"/>
              <w:bottom w:val="single" w:sz="4" w:space="0" w:color="auto"/>
            </w:tcBorders>
          </w:tcPr>
          <w:p w14:paraId="44C2D5C8" w14:textId="77777777" w:rsidR="009625B9" w:rsidRPr="005D71A4" w:rsidRDefault="009625B9" w:rsidP="00770C93">
            <w:pPr>
              <w:pStyle w:val="051Tabletext228pt"/>
              <w:rPr>
                <w:sz w:val="18"/>
                <w:szCs w:val="18"/>
              </w:rPr>
            </w:pPr>
          </w:p>
        </w:tc>
        <w:tc>
          <w:tcPr>
            <w:tcW w:w="2212" w:type="dxa"/>
            <w:tcBorders>
              <w:top w:val="nil"/>
              <w:bottom w:val="single" w:sz="4" w:space="0" w:color="auto"/>
            </w:tcBorders>
            <w:shd w:val="clear" w:color="auto" w:fill="auto"/>
          </w:tcPr>
          <w:p w14:paraId="01903E37" w14:textId="77777777" w:rsidR="009625B9" w:rsidRPr="005D71A4" w:rsidRDefault="009625B9" w:rsidP="00770C93">
            <w:pPr>
              <w:pStyle w:val="051Tabletext228pt"/>
              <w:rPr>
                <w:sz w:val="18"/>
                <w:szCs w:val="18"/>
              </w:rPr>
            </w:pPr>
            <w:r w:rsidRPr="005D71A4">
              <w:rPr>
                <w:sz w:val="18"/>
                <w:szCs w:val="18"/>
              </w:rPr>
              <w:t>1, N=72 (L)</w:t>
            </w:r>
          </w:p>
        </w:tc>
        <w:tc>
          <w:tcPr>
            <w:tcW w:w="1644" w:type="dxa"/>
            <w:tcBorders>
              <w:top w:val="nil"/>
              <w:bottom w:val="single" w:sz="4" w:space="0" w:color="auto"/>
            </w:tcBorders>
            <w:shd w:val="clear" w:color="auto" w:fill="F4B083" w:themeFill="accent2" w:themeFillTint="99"/>
          </w:tcPr>
          <w:p w14:paraId="15AF6E51"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single" w:sz="4" w:space="0" w:color="auto"/>
            </w:tcBorders>
          </w:tcPr>
          <w:p w14:paraId="0627E4F5" w14:textId="77777777" w:rsidR="009625B9" w:rsidRPr="005D71A4" w:rsidRDefault="009625B9" w:rsidP="00770C93">
            <w:pPr>
              <w:pStyle w:val="051Tabletext228pt"/>
              <w:rPr>
                <w:sz w:val="18"/>
                <w:szCs w:val="18"/>
                <w:highlight w:val="yellow"/>
              </w:rPr>
            </w:pPr>
            <w:r w:rsidRPr="005D71A4">
              <w:rPr>
                <w:sz w:val="18"/>
                <w:szCs w:val="18"/>
              </w:rPr>
              <w:t>No difference (L)</w:t>
            </w:r>
          </w:p>
        </w:tc>
        <w:tc>
          <w:tcPr>
            <w:tcW w:w="1928" w:type="dxa"/>
            <w:tcBorders>
              <w:top w:val="nil"/>
              <w:bottom w:val="single" w:sz="4" w:space="0" w:color="auto"/>
            </w:tcBorders>
          </w:tcPr>
          <w:p w14:paraId="43874D94" w14:textId="77777777" w:rsidR="009625B9" w:rsidRPr="005D71A4" w:rsidRDefault="009625B9" w:rsidP="00770C93">
            <w:pPr>
              <w:pStyle w:val="051Tabletext228pt"/>
              <w:rPr>
                <w:sz w:val="18"/>
                <w:szCs w:val="18"/>
                <w:highlight w:val="yellow"/>
              </w:rPr>
            </w:pPr>
            <w:r w:rsidRPr="005D71A4">
              <w:rPr>
                <w:sz w:val="18"/>
                <w:szCs w:val="18"/>
              </w:rPr>
              <w:t>No difference (L)</w:t>
            </w:r>
          </w:p>
        </w:tc>
      </w:tr>
      <w:tr w:rsidR="009625B9" w14:paraId="4173BD0C" w14:textId="77777777" w:rsidTr="00770C93">
        <w:tc>
          <w:tcPr>
            <w:tcW w:w="1928" w:type="dxa"/>
            <w:tcBorders>
              <w:bottom w:val="nil"/>
            </w:tcBorders>
            <w:shd w:val="clear" w:color="auto" w:fill="E7E6E6" w:themeFill="background2"/>
          </w:tcPr>
          <w:p w14:paraId="0556C362" w14:textId="77777777" w:rsidR="009625B9" w:rsidRPr="005D71A4" w:rsidRDefault="009625B9" w:rsidP="00770C93">
            <w:pPr>
              <w:pStyle w:val="051Tabletext228pt"/>
              <w:rPr>
                <w:b/>
                <w:bCs/>
                <w:sz w:val="18"/>
                <w:szCs w:val="18"/>
              </w:rPr>
            </w:pPr>
            <w:r w:rsidRPr="005D71A4">
              <w:rPr>
                <w:b/>
                <w:bCs/>
                <w:sz w:val="18"/>
                <w:szCs w:val="18"/>
              </w:rPr>
              <w:t>Adverse events</w:t>
            </w:r>
          </w:p>
        </w:tc>
        <w:tc>
          <w:tcPr>
            <w:tcW w:w="2212" w:type="dxa"/>
            <w:tcBorders>
              <w:bottom w:val="nil"/>
            </w:tcBorders>
            <w:shd w:val="clear" w:color="auto" w:fill="E7E6E6" w:themeFill="background2"/>
          </w:tcPr>
          <w:p w14:paraId="6C923CEC" w14:textId="77777777" w:rsidR="009625B9" w:rsidRPr="005D71A4" w:rsidRDefault="009625B9" w:rsidP="00770C93">
            <w:pPr>
              <w:pStyle w:val="051Tabletext228pt"/>
              <w:rPr>
                <w:sz w:val="18"/>
                <w:szCs w:val="18"/>
              </w:rPr>
            </w:pPr>
          </w:p>
        </w:tc>
        <w:tc>
          <w:tcPr>
            <w:tcW w:w="1644" w:type="dxa"/>
            <w:tcBorders>
              <w:bottom w:val="nil"/>
            </w:tcBorders>
            <w:shd w:val="clear" w:color="auto" w:fill="E7E6E6" w:themeFill="background2"/>
          </w:tcPr>
          <w:p w14:paraId="41381E06" w14:textId="77777777" w:rsidR="009625B9" w:rsidRPr="005D71A4" w:rsidRDefault="009625B9" w:rsidP="00770C93">
            <w:pPr>
              <w:pStyle w:val="051Tabletext228pt"/>
              <w:rPr>
                <w:sz w:val="18"/>
                <w:szCs w:val="18"/>
              </w:rPr>
            </w:pPr>
          </w:p>
        </w:tc>
        <w:tc>
          <w:tcPr>
            <w:tcW w:w="1928" w:type="dxa"/>
            <w:tcBorders>
              <w:bottom w:val="nil"/>
            </w:tcBorders>
            <w:shd w:val="clear" w:color="auto" w:fill="E7E6E6" w:themeFill="background2"/>
          </w:tcPr>
          <w:p w14:paraId="20E4A26D" w14:textId="77777777" w:rsidR="009625B9" w:rsidRPr="005D71A4" w:rsidRDefault="009625B9" w:rsidP="00770C93">
            <w:pPr>
              <w:pStyle w:val="051Tabletext228pt"/>
              <w:rPr>
                <w:sz w:val="18"/>
                <w:szCs w:val="18"/>
              </w:rPr>
            </w:pPr>
          </w:p>
        </w:tc>
        <w:tc>
          <w:tcPr>
            <w:tcW w:w="1928" w:type="dxa"/>
            <w:tcBorders>
              <w:bottom w:val="nil"/>
            </w:tcBorders>
            <w:shd w:val="clear" w:color="auto" w:fill="E7E6E6" w:themeFill="background2"/>
          </w:tcPr>
          <w:p w14:paraId="7E37E5B1" w14:textId="77777777" w:rsidR="009625B9" w:rsidRPr="005D71A4" w:rsidRDefault="009625B9" w:rsidP="00770C93">
            <w:pPr>
              <w:pStyle w:val="051Tabletext228pt"/>
              <w:rPr>
                <w:sz w:val="18"/>
                <w:szCs w:val="18"/>
              </w:rPr>
            </w:pPr>
          </w:p>
        </w:tc>
      </w:tr>
      <w:tr w:rsidR="009625B9" w14:paraId="01E9FC13" w14:textId="77777777" w:rsidTr="00770C93">
        <w:tc>
          <w:tcPr>
            <w:tcW w:w="1928" w:type="dxa"/>
            <w:tcBorders>
              <w:top w:val="nil"/>
              <w:bottom w:val="nil"/>
            </w:tcBorders>
          </w:tcPr>
          <w:p w14:paraId="1028580B" w14:textId="77777777" w:rsidR="009625B9" w:rsidRPr="005D71A4" w:rsidRDefault="009625B9" w:rsidP="00770C93">
            <w:pPr>
              <w:pStyle w:val="051Tabletext228pt"/>
              <w:rPr>
                <w:sz w:val="18"/>
                <w:szCs w:val="18"/>
              </w:rPr>
            </w:pPr>
            <w:r w:rsidRPr="005D71A4">
              <w:rPr>
                <w:sz w:val="18"/>
                <w:szCs w:val="18"/>
              </w:rPr>
              <w:t>bladder injury</w:t>
            </w:r>
          </w:p>
        </w:tc>
        <w:tc>
          <w:tcPr>
            <w:tcW w:w="2212" w:type="dxa"/>
            <w:tcBorders>
              <w:top w:val="nil"/>
              <w:bottom w:val="nil"/>
            </w:tcBorders>
            <w:shd w:val="clear" w:color="auto" w:fill="auto"/>
          </w:tcPr>
          <w:p w14:paraId="76C659F0" w14:textId="77777777" w:rsidR="009625B9" w:rsidRPr="005D71A4" w:rsidRDefault="009625B9" w:rsidP="00770C93">
            <w:pPr>
              <w:pStyle w:val="051Tabletext228pt"/>
              <w:rPr>
                <w:sz w:val="18"/>
                <w:szCs w:val="18"/>
              </w:rPr>
            </w:pPr>
            <w:r w:rsidRPr="005D71A4">
              <w:rPr>
                <w:sz w:val="18"/>
                <w:szCs w:val="18"/>
              </w:rPr>
              <w:t>11, N=1,086</w:t>
            </w:r>
          </w:p>
        </w:tc>
        <w:tc>
          <w:tcPr>
            <w:tcW w:w="1644" w:type="dxa"/>
            <w:tcBorders>
              <w:top w:val="nil"/>
              <w:bottom w:val="nil"/>
            </w:tcBorders>
            <w:shd w:val="clear" w:color="auto" w:fill="FFE599" w:themeFill="accent4" w:themeFillTint="66"/>
          </w:tcPr>
          <w:p w14:paraId="32753204" w14:textId="77777777" w:rsidR="009625B9" w:rsidRPr="005D71A4" w:rsidRDefault="009625B9" w:rsidP="00770C93">
            <w:pPr>
              <w:pStyle w:val="051Tabletext228pt"/>
              <w:rPr>
                <w:sz w:val="18"/>
                <w:szCs w:val="18"/>
              </w:rPr>
            </w:pPr>
            <w:r w:rsidRPr="005D71A4">
              <w:rPr>
                <w:sz w:val="18"/>
                <w:szCs w:val="18"/>
              </w:rPr>
              <w:t>Low</w:t>
            </w:r>
          </w:p>
        </w:tc>
        <w:tc>
          <w:tcPr>
            <w:tcW w:w="1928" w:type="dxa"/>
            <w:tcBorders>
              <w:top w:val="nil"/>
              <w:bottom w:val="nil"/>
            </w:tcBorders>
            <w:shd w:val="clear" w:color="auto" w:fill="BDD6EE" w:themeFill="accent5" w:themeFillTint="66"/>
          </w:tcPr>
          <w:p w14:paraId="550C9799" w14:textId="77777777" w:rsidR="009625B9" w:rsidRPr="005D71A4" w:rsidRDefault="009625B9" w:rsidP="00770C93">
            <w:pPr>
              <w:pStyle w:val="051Tabletext228pt"/>
              <w:rPr>
                <w:sz w:val="18"/>
                <w:szCs w:val="18"/>
              </w:rPr>
            </w:pPr>
            <w:r w:rsidRPr="005D71A4">
              <w:rPr>
                <w:sz w:val="18"/>
                <w:szCs w:val="18"/>
              </w:rPr>
              <w:t xml:space="preserve">Favours </w:t>
            </w:r>
            <w:proofErr w:type="spellStart"/>
            <w:r w:rsidRPr="005D71A4">
              <w:rPr>
                <w:sz w:val="18"/>
                <w:szCs w:val="18"/>
              </w:rPr>
              <w:t>colposuspension</w:t>
            </w:r>
            <w:proofErr w:type="spellEnd"/>
          </w:p>
        </w:tc>
        <w:tc>
          <w:tcPr>
            <w:tcW w:w="1928" w:type="dxa"/>
            <w:tcBorders>
              <w:top w:val="nil"/>
              <w:bottom w:val="nil"/>
            </w:tcBorders>
            <w:shd w:val="clear" w:color="auto" w:fill="BDD6EE" w:themeFill="accent5" w:themeFillTint="66"/>
          </w:tcPr>
          <w:p w14:paraId="5F20A1BF" w14:textId="77777777" w:rsidR="009625B9" w:rsidRPr="005D71A4" w:rsidRDefault="009625B9" w:rsidP="00770C93">
            <w:pPr>
              <w:pStyle w:val="051Tabletext228pt"/>
              <w:rPr>
                <w:sz w:val="18"/>
                <w:szCs w:val="18"/>
              </w:rPr>
            </w:pPr>
            <w:r w:rsidRPr="005D71A4">
              <w:rPr>
                <w:sz w:val="18"/>
                <w:szCs w:val="18"/>
              </w:rPr>
              <w:t xml:space="preserve">Favours </w:t>
            </w:r>
            <w:proofErr w:type="spellStart"/>
            <w:r w:rsidRPr="005D71A4">
              <w:rPr>
                <w:sz w:val="18"/>
                <w:szCs w:val="18"/>
              </w:rPr>
              <w:t>colposuspension</w:t>
            </w:r>
            <w:proofErr w:type="spellEnd"/>
          </w:p>
        </w:tc>
      </w:tr>
      <w:tr w:rsidR="009625B9" w14:paraId="3FBD3876" w14:textId="77777777" w:rsidTr="00770C93">
        <w:tc>
          <w:tcPr>
            <w:tcW w:w="1928" w:type="dxa"/>
            <w:tcBorders>
              <w:top w:val="nil"/>
              <w:bottom w:val="nil"/>
            </w:tcBorders>
          </w:tcPr>
          <w:p w14:paraId="087816A9" w14:textId="77777777" w:rsidR="009625B9" w:rsidRPr="005D71A4" w:rsidRDefault="009625B9" w:rsidP="00770C93">
            <w:pPr>
              <w:pStyle w:val="051Tabletext228pt"/>
              <w:rPr>
                <w:sz w:val="18"/>
                <w:szCs w:val="18"/>
              </w:rPr>
            </w:pPr>
            <w:r w:rsidRPr="005D71A4">
              <w:rPr>
                <w:sz w:val="18"/>
                <w:szCs w:val="18"/>
              </w:rPr>
              <w:t>severe bleeding requiring blood transfusion</w:t>
            </w:r>
          </w:p>
        </w:tc>
        <w:tc>
          <w:tcPr>
            <w:tcW w:w="2212" w:type="dxa"/>
            <w:tcBorders>
              <w:top w:val="nil"/>
              <w:bottom w:val="nil"/>
            </w:tcBorders>
            <w:shd w:val="clear" w:color="auto" w:fill="auto"/>
          </w:tcPr>
          <w:p w14:paraId="0209F5E4" w14:textId="77777777" w:rsidR="009625B9" w:rsidRPr="005D71A4" w:rsidRDefault="009625B9" w:rsidP="00770C93">
            <w:pPr>
              <w:pStyle w:val="051Tabletext228pt"/>
              <w:rPr>
                <w:sz w:val="18"/>
                <w:szCs w:val="18"/>
              </w:rPr>
            </w:pPr>
            <w:r w:rsidRPr="005D71A4">
              <w:rPr>
                <w:sz w:val="18"/>
                <w:szCs w:val="18"/>
              </w:rPr>
              <w:t xml:space="preserve">3, N=259 </w:t>
            </w:r>
          </w:p>
        </w:tc>
        <w:tc>
          <w:tcPr>
            <w:tcW w:w="1644" w:type="dxa"/>
            <w:tcBorders>
              <w:top w:val="nil"/>
              <w:bottom w:val="nil"/>
            </w:tcBorders>
            <w:shd w:val="clear" w:color="auto" w:fill="F4B083" w:themeFill="accent2" w:themeFillTint="99"/>
          </w:tcPr>
          <w:p w14:paraId="532AE18B"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2F1B6526" w14:textId="77777777" w:rsidR="009625B9" w:rsidRPr="005D71A4" w:rsidRDefault="009625B9" w:rsidP="00770C93">
            <w:pPr>
              <w:pStyle w:val="051Tabletext228pt"/>
              <w:rPr>
                <w:sz w:val="18"/>
                <w:szCs w:val="18"/>
              </w:rPr>
            </w:pPr>
            <w:r w:rsidRPr="005D71A4">
              <w:rPr>
                <w:sz w:val="18"/>
                <w:szCs w:val="18"/>
              </w:rPr>
              <w:t>No difference</w:t>
            </w:r>
          </w:p>
        </w:tc>
        <w:tc>
          <w:tcPr>
            <w:tcW w:w="1928" w:type="dxa"/>
            <w:tcBorders>
              <w:top w:val="nil"/>
              <w:bottom w:val="nil"/>
            </w:tcBorders>
          </w:tcPr>
          <w:p w14:paraId="4904299D" w14:textId="77777777" w:rsidR="009625B9" w:rsidRPr="005D71A4" w:rsidRDefault="009625B9" w:rsidP="00770C93">
            <w:pPr>
              <w:pStyle w:val="051Tabletext228pt"/>
              <w:rPr>
                <w:sz w:val="18"/>
                <w:szCs w:val="18"/>
              </w:rPr>
            </w:pPr>
            <w:r w:rsidRPr="005D71A4">
              <w:rPr>
                <w:sz w:val="18"/>
                <w:szCs w:val="18"/>
              </w:rPr>
              <w:t>No difference</w:t>
            </w:r>
          </w:p>
        </w:tc>
      </w:tr>
      <w:tr w:rsidR="009625B9" w14:paraId="6BF27F78" w14:textId="77777777" w:rsidTr="00770C93">
        <w:tc>
          <w:tcPr>
            <w:tcW w:w="1928" w:type="dxa"/>
            <w:tcBorders>
              <w:top w:val="nil"/>
              <w:bottom w:val="single" w:sz="4" w:space="0" w:color="auto"/>
            </w:tcBorders>
          </w:tcPr>
          <w:p w14:paraId="592BEB32" w14:textId="77777777" w:rsidR="009625B9" w:rsidRPr="005D71A4" w:rsidRDefault="009625B9" w:rsidP="00770C93">
            <w:pPr>
              <w:pStyle w:val="051Tabletext228pt"/>
              <w:rPr>
                <w:sz w:val="18"/>
                <w:szCs w:val="18"/>
              </w:rPr>
            </w:pPr>
            <w:r w:rsidRPr="005D71A4">
              <w:rPr>
                <w:sz w:val="18"/>
                <w:szCs w:val="18"/>
              </w:rPr>
              <w:t>bowel injury</w:t>
            </w:r>
          </w:p>
        </w:tc>
        <w:tc>
          <w:tcPr>
            <w:tcW w:w="2212" w:type="dxa"/>
            <w:tcBorders>
              <w:top w:val="nil"/>
              <w:bottom w:val="single" w:sz="4" w:space="0" w:color="auto"/>
            </w:tcBorders>
            <w:shd w:val="clear" w:color="auto" w:fill="auto"/>
          </w:tcPr>
          <w:p w14:paraId="04EABF53" w14:textId="77777777" w:rsidR="009625B9" w:rsidRPr="005D71A4" w:rsidRDefault="009625B9" w:rsidP="00770C93">
            <w:pPr>
              <w:pStyle w:val="051Tabletext228pt"/>
              <w:rPr>
                <w:sz w:val="18"/>
                <w:szCs w:val="18"/>
              </w:rPr>
            </w:pPr>
            <w:r w:rsidRPr="005D71A4">
              <w:rPr>
                <w:sz w:val="18"/>
                <w:szCs w:val="18"/>
              </w:rPr>
              <w:t>1, N=72</w:t>
            </w:r>
          </w:p>
        </w:tc>
        <w:tc>
          <w:tcPr>
            <w:tcW w:w="1644" w:type="dxa"/>
            <w:tcBorders>
              <w:top w:val="nil"/>
              <w:bottom w:val="single" w:sz="4" w:space="0" w:color="auto"/>
            </w:tcBorders>
            <w:shd w:val="clear" w:color="auto" w:fill="F4B083" w:themeFill="accent2" w:themeFillTint="99"/>
          </w:tcPr>
          <w:p w14:paraId="3CBA84AE"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single" w:sz="4" w:space="0" w:color="auto"/>
            </w:tcBorders>
          </w:tcPr>
          <w:p w14:paraId="5A80E385" w14:textId="77777777" w:rsidR="009625B9" w:rsidRPr="005D71A4" w:rsidRDefault="009625B9" w:rsidP="00770C93">
            <w:pPr>
              <w:pStyle w:val="051Tabletext228pt"/>
              <w:rPr>
                <w:sz w:val="18"/>
                <w:szCs w:val="18"/>
              </w:rPr>
            </w:pPr>
            <w:r w:rsidRPr="005D71A4">
              <w:rPr>
                <w:sz w:val="18"/>
                <w:szCs w:val="18"/>
              </w:rPr>
              <w:t>No difference</w:t>
            </w:r>
          </w:p>
        </w:tc>
        <w:tc>
          <w:tcPr>
            <w:tcW w:w="1928" w:type="dxa"/>
            <w:tcBorders>
              <w:top w:val="nil"/>
              <w:bottom w:val="single" w:sz="4" w:space="0" w:color="auto"/>
            </w:tcBorders>
          </w:tcPr>
          <w:p w14:paraId="1DA55D21" w14:textId="77777777" w:rsidR="009625B9" w:rsidRPr="005D71A4" w:rsidRDefault="009625B9" w:rsidP="00770C93">
            <w:pPr>
              <w:pStyle w:val="051Tabletext228pt"/>
              <w:rPr>
                <w:sz w:val="18"/>
                <w:szCs w:val="18"/>
              </w:rPr>
            </w:pPr>
            <w:r w:rsidRPr="005D71A4">
              <w:rPr>
                <w:sz w:val="18"/>
                <w:szCs w:val="18"/>
              </w:rPr>
              <w:t>No difference</w:t>
            </w:r>
          </w:p>
        </w:tc>
      </w:tr>
      <w:tr w:rsidR="009625B9" w14:paraId="121ABC4D" w14:textId="77777777" w:rsidTr="00770C93">
        <w:tc>
          <w:tcPr>
            <w:tcW w:w="1928" w:type="dxa"/>
            <w:tcBorders>
              <w:bottom w:val="nil"/>
            </w:tcBorders>
            <w:shd w:val="clear" w:color="auto" w:fill="E7E6E6" w:themeFill="background2"/>
          </w:tcPr>
          <w:p w14:paraId="51111F8B" w14:textId="77777777" w:rsidR="009625B9" w:rsidRPr="005D71A4" w:rsidRDefault="009625B9" w:rsidP="00770C93">
            <w:pPr>
              <w:pStyle w:val="051Tabletext228pt"/>
              <w:rPr>
                <w:b/>
                <w:bCs/>
                <w:sz w:val="18"/>
                <w:szCs w:val="18"/>
              </w:rPr>
            </w:pPr>
            <w:r w:rsidRPr="005D71A4">
              <w:rPr>
                <w:b/>
                <w:bCs/>
                <w:sz w:val="18"/>
                <w:szCs w:val="18"/>
              </w:rPr>
              <w:t>Complications</w:t>
            </w:r>
          </w:p>
        </w:tc>
        <w:tc>
          <w:tcPr>
            <w:tcW w:w="2212" w:type="dxa"/>
            <w:tcBorders>
              <w:bottom w:val="nil"/>
            </w:tcBorders>
            <w:shd w:val="clear" w:color="auto" w:fill="E7E6E6" w:themeFill="background2"/>
          </w:tcPr>
          <w:p w14:paraId="18F40891" w14:textId="77777777" w:rsidR="009625B9" w:rsidRPr="005D71A4" w:rsidRDefault="009625B9" w:rsidP="00770C93">
            <w:pPr>
              <w:pStyle w:val="051Tabletext228pt"/>
              <w:rPr>
                <w:sz w:val="18"/>
                <w:szCs w:val="18"/>
              </w:rPr>
            </w:pPr>
          </w:p>
        </w:tc>
        <w:tc>
          <w:tcPr>
            <w:tcW w:w="1644" w:type="dxa"/>
            <w:tcBorders>
              <w:bottom w:val="nil"/>
            </w:tcBorders>
            <w:shd w:val="clear" w:color="auto" w:fill="E7E6E6" w:themeFill="background2"/>
          </w:tcPr>
          <w:p w14:paraId="64F959D2" w14:textId="77777777" w:rsidR="009625B9" w:rsidRPr="005D71A4" w:rsidRDefault="009625B9" w:rsidP="00770C93">
            <w:pPr>
              <w:pStyle w:val="051Tabletext228pt"/>
              <w:rPr>
                <w:sz w:val="18"/>
                <w:szCs w:val="18"/>
              </w:rPr>
            </w:pPr>
          </w:p>
        </w:tc>
        <w:tc>
          <w:tcPr>
            <w:tcW w:w="1928" w:type="dxa"/>
            <w:tcBorders>
              <w:bottom w:val="nil"/>
            </w:tcBorders>
            <w:shd w:val="clear" w:color="auto" w:fill="E7E6E6" w:themeFill="background2"/>
          </w:tcPr>
          <w:p w14:paraId="4CF7C181" w14:textId="77777777" w:rsidR="009625B9" w:rsidRPr="005D71A4" w:rsidRDefault="009625B9" w:rsidP="00770C93">
            <w:pPr>
              <w:pStyle w:val="051Tabletext228pt"/>
              <w:rPr>
                <w:sz w:val="18"/>
                <w:szCs w:val="18"/>
              </w:rPr>
            </w:pPr>
          </w:p>
        </w:tc>
        <w:tc>
          <w:tcPr>
            <w:tcW w:w="1928" w:type="dxa"/>
            <w:tcBorders>
              <w:bottom w:val="nil"/>
            </w:tcBorders>
            <w:shd w:val="clear" w:color="auto" w:fill="E7E6E6" w:themeFill="background2"/>
          </w:tcPr>
          <w:p w14:paraId="57C74123" w14:textId="77777777" w:rsidR="009625B9" w:rsidRPr="005D71A4" w:rsidRDefault="009625B9" w:rsidP="00770C93">
            <w:pPr>
              <w:pStyle w:val="051Tabletext228pt"/>
              <w:rPr>
                <w:sz w:val="18"/>
                <w:szCs w:val="18"/>
              </w:rPr>
            </w:pPr>
          </w:p>
        </w:tc>
      </w:tr>
      <w:tr w:rsidR="009625B9" w14:paraId="6403B103" w14:textId="77777777" w:rsidTr="00770C93">
        <w:tc>
          <w:tcPr>
            <w:tcW w:w="1928" w:type="dxa"/>
            <w:tcBorders>
              <w:top w:val="nil"/>
              <w:bottom w:val="nil"/>
            </w:tcBorders>
          </w:tcPr>
          <w:p w14:paraId="26B68E9F" w14:textId="77777777" w:rsidR="009625B9" w:rsidRPr="005D71A4" w:rsidRDefault="009625B9" w:rsidP="00770C93">
            <w:pPr>
              <w:pStyle w:val="051Tabletext228pt"/>
              <w:rPr>
                <w:sz w:val="18"/>
                <w:szCs w:val="18"/>
              </w:rPr>
            </w:pPr>
            <w:r w:rsidRPr="005D71A4">
              <w:rPr>
                <w:sz w:val="18"/>
                <w:szCs w:val="18"/>
              </w:rPr>
              <w:t>infection</w:t>
            </w:r>
          </w:p>
        </w:tc>
        <w:tc>
          <w:tcPr>
            <w:tcW w:w="2212" w:type="dxa"/>
            <w:tcBorders>
              <w:top w:val="nil"/>
              <w:bottom w:val="nil"/>
            </w:tcBorders>
            <w:shd w:val="clear" w:color="auto" w:fill="auto"/>
          </w:tcPr>
          <w:p w14:paraId="448A2987" w14:textId="77777777" w:rsidR="009625B9" w:rsidRPr="005D71A4" w:rsidRDefault="009625B9" w:rsidP="00770C93">
            <w:pPr>
              <w:pStyle w:val="051Tabletext228pt"/>
              <w:rPr>
                <w:sz w:val="18"/>
                <w:szCs w:val="18"/>
              </w:rPr>
            </w:pPr>
            <w:r w:rsidRPr="005D71A4">
              <w:rPr>
                <w:sz w:val="18"/>
                <w:szCs w:val="18"/>
              </w:rPr>
              <w:t>2, N=429 (S); 4, N=539 (M)</w:t>
            </w:r>
          </w:p>
        </w:tc>
        <w:tc>
          <w:tcPr>
            <w:tcW w:w="1644" w:type="dxa"/>
            <w:tcBorders>
              <w:top w:val="nil"/>
              <w:bottom w:val="nil"/>
            </w:tcBorders>
            <w:shd w:val="clear" w:color="auto" w:fill="F4B083" w:themeFill="accent2" w:themeFillTint="99"/>
          </w:tcPr>
          <w:p w14:paraId="0367E9A0"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447A60D6" w14:textId="77777777" w:rsidR="009625B9" w:rsidRPr="005D71A4" w:rsidRDefault="009625B9" w:rsidP="00770C93">
            <w:pPr>
              <w:pStyle w:val="051Tabletext228pt"/>
              <w:rPr>
                <w:sz w:val="18"/>
                <w:szCs w:val="18"/>
              </w:rPr>
            </w:pPr>
            <w:r w:rsidRPr="005D71A4">
              <w:rPr>
                <w:sz w:val="18"/>
                <w:szCs w:val="18"/>
              </w:rPr>
              <w:t>No difference (S, M)</w:t>
            </w:r>
          </w:p>
        </w:tc>
        <w:tc>
          <w:tcPr>
            <w:tcW w:w="1928" w:type="dxa"/>
            <w:tcBorders>
              <w:top w:val="nil"/>
              <w:bottom w:val="nil"/>
            </w:tcBorders>
          </w:tcPr>
          <w:p w14:paraId="25E1D70C" w14:textId="77777777" w:rsidR="009625B9" w:rsidRPr="005D71A4" w:rsidRDefault="009625B9" w:rsidP="00770C93">
            <w:pPr>
              <w:pStyle w:val="051Tabletext228pt"/>
              <w:rPr>
                <w:sz w:val="18"/>
                <w:szCs w:val="18"/>
              </w:rPr>
            </w:pPr>
            <w:r w:rsidRPr="005D71A4">
              <w:rPr>
                <w:sz w:val="18"/>
                <w:szCs w:val="18"/>
              </w:rPr>
              <w:t>No difference (S, M)</w:t>
            </w:r>
          </w:p>
        </w:tc>
      </w:tr>
      <w:tr w:rsidR="009625B9" w14:paraId="2A738511" w14:textId="77777777" w:rsidTr="00770C93">
        <w:tc>
          <w:tcPr>
            <w:tcW w:w="1928" w:type="dxa"/>
            <w:tcBorders>
              <w:top w:val="nil"/>
              <w:bottom w:val="nil"/>
            </w:tcBorders>
          </w:tcPr>
          <w:p w14:paraId="7CAAAF21" w14:textId="77777777" w:rsidR="009625B9" w:rsidRPr="005D71A4" w:rsidRDefault="009625B9" w:rsidP="00770C93">
            <w:pPr>
              <w:pStyle w:val="051Tabletext228pt"/>
              <w:rPr>
                <w:sz w:val="18"/>
                <w:szCs w:val="18"/>
              </w:rPr>
            </w:pPr>
            <w:r w:rsidRPr="005D71A4">
              <w:rPr>
                <w:sz w:val="18"/>
                <w:szCs w:val="18"/>
              </w:rPr>
              <w:t>POP</w:t>
            </w:r>
          </w:p>
        </w:tc>
        <w:tc>
          <w:tcPr>
            <w:tcW w:w="2212" w:type="dxa"/>
            <w:tcBorders>
              <w:top w:val="nil"/>
              <w:bottom w:val="nil"/>
            </w:tcBorders>
            <w:shd w:val="clear" w:color="auto" w:fill="auto"/>
          </w:tcPr>
          <w:p w14:paraId="3B0D8C89" w14:textId="77777777" w:rsidR="009625B9" w:rsidRPr="005D71A4" w:rsidRDefault="009625B9" w:rsidP="00770C93">
            <w:pPr>
              <w:pStyle w:val="051Tabletext228pt"/>
              <w:rPr>
                <w:sz w:val="18"/>
                <w:szCs w:val="18"/>
              </w:rPr>
            </w:pPr>
            <w:r w:rsidRPr="005D71A4">
              <w:rPr>
                <w:sz w:val="18"/>
                <w:szCs w:val="18"/>
              </w:rPr>
              <w:t>2, N=302 (M)</w:t>
            </w:r>
          </w:p>
        </w:tc>
        <w:tc>
          <w:tcPr>
            <w:tcW w:w="1644" w:type="dxa"/>
            <w:tcBorders>
              <w:top w:val="nil"/>
              <w:bottom w:val="nil"/>
            </w:tcBorders>
            <w:shd w:val="clear" w:color="auto" w:fill="FFE599" w:themeFill="accent4" w:themeFillTint="66"/>
          </w:tcPr>
          <w:p w14:paraId="11D52DE0" w14:textId="77777777" w:rsidR="009625B9" w:rsidRPr="005D71A4" w:rsidRDefault="009625B9" w:rsidP="00770C9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3A4DB681" w14:textId="77777777" w:rsidR="009625B9" w:rsidRPr="005D71A4" w:rsidRDefault="009625B9" w:rsidP="00770C93">
            <w:pPr>
              <w:pStyle w:val="051Tabletext228pt"/>
              <w:rPr>
                <w:sz w:val="18"/>
                <w:szCs w:val="18"/>
              </w:rPr>
            </w:pPr>
            <w:r w:rsidRPr="005D71A4">
              <w:rPr>
                <w:sz w:val="18"/>
                <w:szCs w:val="18"/>
              </w:rPr>
              <w:t>Favours MUS (M)</w:t>
            </w:r>
          </w:p>
        </w:tc>
        <w:tc>
          <w:tcPr>
            <w:tcW w:w="1928" w:type="dxa"/>
            <w:tcBorders>
              <w:top w:val="nil"/>
              <w:bottom w:val="nil"/>
            </w:tcBorders>
            <w:shd w:val="clear" w:color="auto" w:fill="C5E0B3" w:themeFill="accent6" w:themeFillTint="66"/>
          </w:tcPr>
          <w:p w14:paraId="525F3B51" w14:textId="77777777" w:rsidR="009625B9" w:rsidRPr="005D71A4" w:rsidRDefault="009625B9" w:rsidP="00770C93">
            <w:pPr>
              <w:pStyle w:val="051Tabletext228pt"/>
              <w:rPr>
                <w:sz w:val="18"/>
                <w:szCs w:val="18"/>
              </w:rPr>
            </w:pPr>
            <w:r w:rsidRPr="005D71A4">
              <w:rPr>
                <w:sz w:val="18"/>
                <w:szCs w:val="18"/>
              </w:rPr>
              <w:t>Favours MUS (M)</w:t>
            </w:r>
          </w:p>
        </w:tc>
      </w:tr>
      <w:tr w:rsidR="009625B9" w14:paraId="2C384E03" w14:textId="77777777" w:rsidTr="00770C93">
        <w:tc>
          <w:tcPr>
            <w:tcW w:w="1928" w:type="dxa"/>
            <w:tcBorders>
              <w:top w:val="nil"/>
              <w:bottom w:val="nil"/>
            </w:tcBorders>
          </w:tcPr>
          <w:p w14:paraId="2CC4B392" w14:textId="77777777" w:rsidR="009625B9" w:rsidRPr="005D71A4" w:rsidRDefault="009625B9" w:rsidP="00770C93">
            <w:pPr>
              <w:pStyle w:val="051Tabletext228pt"/>
              <w:rPr>
                <w:sz w:val="18"/>
                <w:szCs w:val="18"/>
              </w:rPr>
            </w:pPr>
            <w:r w:rsidRPr="005D71A4">
              <w:rPr>
                <w:sz w:val="18"/>
                <w:szCs w:val="18"/>
              </w:rPr>
              <w:t>pain</w:t>
            </w:r>
          </w:p>
        </w:tc>
        <w:tc>
          <w:tcPr>
            <w:tcW w:w="2212" w:type="dxa"/>
            <w:tcBorders>
              <w:top w:val="nil"/>
              <w:bottom w:val="nil"/>
            </w:tcBorders>
            <w:shd w:val="clear" w:color="auto" w:fill="auto"/>
          </w:tcPr>
          <w:p w14:paraId="1129AC14" w14:textId="77777777" w:rsidR="009625B9" w:rsidRPr="005D71A4" w:rsidRDefault="009625B9" w:rsidP="00770C93">
            <w:pPr>
              <w:pStyle w:val="051Tabletext228pt"/>
              <w:rPr>
                <w:sz w:val="18"/>
                <w:szCs w:val="18"/>
              </w:rPr>
            </w:pPr>
            <w:r w:rsidRPr="005D71A4">
              <w:rPr>
                <w:sz w:val="18"/>
                <w:szCs w:val="18"/>
              </w:rPr>
              <w:t>2, N=189 (S); 2, N=161 (M)</w:t>
            </w:r>
          </w:p>
        </w:tc>
        <w:tc>
          <w:tcPr>
            <w:tcW w:w="1644" w:type="dxa"/>
            <w:tcBorders>
              <w:top w:val="nil"/>
              <w:bottom w:val="nil"/>
            </w:tcBorders>
            <w:shd w:val="clear" w:color="auto" w:fill="F4B083" w:themeFill="accent2" w:themeFillTint="99"/>
          </w:tcPr>
          <w:p w14:paraId="06BB2C0C"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5595855A" w14:textId="77777777" w:rsidR="009625B9" w:rsidRPr="005D71A4" w:rsidRDefault="009625B9" w:rsidP="00770C93">
            <w:pPr>
              <w:pStyle w:val="051Tabletext228pt"/>
              <w:rPr>
                <w:sz w:val="18"/>
                <w:szCs w:val="18"/>
              </w:rPr>
            </w:pPr>
            <w:r w:rsidRPr="005D71A4">
              <w:rPr>
                <w:sz w:val="18"/>
                <w:szCs w:val="18"/>
              </w:rPr>
              <w:t>No difference (S, M)</w:t>
            </w:r>
          </w:p>
        </w:tc>
        <w:tc>
          <w:tcPr>
            <w:tcW w:w="1928" w:type="dxa"/>
            <w:tcBorders>
              <w:top w:val="nil"/>
              <w:bottom w:val="nil"/>
            </w:tcBorders>
          </w:tcPr>
          <w:p w14:paraId="6429A1FD" w14:textId="77777777" w:rsidR="009625B9" w:rsidRPr="005D71A4" w:rsidRDefault="009625B9" w:rsidP="00770C93">
            <w:pPr>
              <w:pStyle w:val="051Tabletext228pt"/>
              <w:rPr>
                <w:sz w:val="18"/>
                <w:szCs w:val="18"/>
              </w:rPr>
            </w:pPr>
            <w:r w:rsidRPr="005D71A4">
              <w:rPr>
                <w:sz w:val="18"/>
                <w:szCs w:val="18"/>
              </w:rPr>
              <w:t>No difference (S, M)</w:t>
            </w:r>
          </w:p>
        </w:tc>
      </w:tr>
      <w:tr w:rsidR="009625B9" w14:paraId="6F063655" w14:textId="77777777" w:rsidTr="00770C93">
        <w:tc>
          <w:tcPr>
            <w:tcW w:w="1928" w:type="dxa"/>
            <w:tcBorders>
              <w:top w:val="nil"/>
              <w:bottom w:val="nil"/>
            </w:tcBorders>
          </w:tcPr>
          <w:p w14:paraId="0715A089" w14:textId="77777777" w:rsidR="009625B9" w:rsidRPr="005D71A4" w:rsidRDefault="009625B9" w:rsidP="00770C93">
            <w:pPr>
              <w:pStyle w:val="051Tabletext228pt"/>
              <w:rPr>
                <w:sz w:val="18"/>
                <w:szCs w:val="18"/>
              </w:rPr>
            </w:pPr>
            <w:r w:rsidRPr="005D71A4">
              <w:rPr>
                <w:sz w:val="18"/>
                <w:szCs w:val="18"/>
              </w:rPr>
              <w:t>mesh extrusion</w:t>
            </w:r>
          </w:p>
        </w:tc>
        <w:tc>
          <w:tcPr>
            <w:tcW w:w="2212" w:type="dxa"/>
            <w:tcBorders>
              <w:top w:val="nil"/>
              <w:bottom w:val="nil"/>
            </w:tcBorders>
            <w:shd w:val="clear" w:color="auto" w:fill="auto"/>
          </w:tcPr>
          <w:p w14:paraId="63BC5A45" w14:textId="77777777" w:rsidR="009625B9" w:rsidRPr="005D71A4" w:rsidRDefault="009625B9" w:rsidP="00770C93">
            <w:pPr>
              <w:pStyle w:val="051Tabletext228pt"/>
              <w:rPr>
                <w:sz w:val="18"/>
                <w:szCs w:val="18"/>
              </w:rPr>
            </w:pPr>
            <w:r w:rsidRPr="005D71A4">
              <w:rPr>
                <w:sz w:val="18"/>
                <w:szCs w:val="18"/>
              </w:rPr>
              <w:t>2, N=429 (S); 5, N=598 (M)</w:t>
            </w:r>
          </w:p>
        </w:tc>
        <w:tc>
          <w:tcPr>
            <w:tcW w:w="1644" w:type="dxa"/>
            <w:tcBorders>
              <w:top w:val="nil"/>
              <w:bottom w:val="nil"/>
            </w:tcBorders>
            <w:shd w:val="clear" w:color="auto" w:fill="F4B083" w:themeFill="accent2" w:themeFillTint="99"/>
          </w:tcPr>
          <w:p w14:paraId="4BDFF33D"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698353C2" w14:textId="77777777" w:rsidR="009625B9" w:rsidRPr="005D71A4" w:rsidRDefault="009625B9" w:rsidP="00770C93">
            <w:pPr>
              <w:pStyle w:val="051Tabletext228pt"/>
              <w:rPr>
                <w:sz w:val="18"/>
                <w:szCs w:val="18"/>
              </w:rPr>
            </w:pPr>
            <w:r w:rsidRPr="005D71A4">
              <w:rPr>
                <w:sz w:val="18"/>
                <w:szCs w:val="18"/>
              </w:rPr>
              <w:t>No difference (S, M)</w:t>
            </w:r>
          </w:p>
        </w:tc>
        <w:tc>
          <w:tcPr>
            <w:tcW w:w="1928" w:type="dxa"/>
            <w:tcBorders>
              <w:top w:val="nil"/>
              <w:bottom w:val="nil"/>
            </w:tcBorders>
          </w:tcPr>
          <w:p w14:paraId="6E312931" w14:textId="77777777" w:rsidR="009625B9" w:rsidRPr="005D71A4" w:rsidRDefault="009625B9" w:rsidP="00770C93">
            <w:pPr>
              <w:pStyle w:val="051Tabletext228pt"/>
              <w:rPr>
                <w:sz w:val="18"/>
                <w:szCs w:val="18"/>
              </w:rPr>
            </w:pPr>
            <w:r w:rsidRPr="005D71A4">
              <w:rPr>
                <w:sz w:val="18"/>
                <w:szCs w:val="18"/>
              </w:rPr>
              <w:t>No difference (S, M)</w:t>
            </w:r>
          </w:p>
        </w:tc>
      </w:tr>
      <w:tr w:rsidR="009625B9" w14:paraId="5FBE3CA6" w14:textId="77777777" w:rsidTr="00770C93">
        <w:tc>
          <w:tcPr>
            <w:tcW w:w="1928" w:type="dxa"/>
            <w:tcBorders>
              <w:top w:val="nil"/>
              <w:bottom w:val="nil"/>
            </w:tcBorders>
          </w:tcPr>
          <w:p w14:paraId="5C5F4CB2" w14:textId="77777777" w:rsidR="009625B9" w:rsidRPr="005D71A4" w:rsidRDefault="009625B9" w:rsidP="00770C93">
            <w:pPr>
              <w:pStyle w:val="051Tabletext228pt"/>
              <w:rPr>
                <w:sz w:val="18"/>
                <w:szCs w:val="18"/>
              </w:rPr>
            </w:pPr>
            <w:r w:rsidRPr="005D71A4">
              <w:rPr>
                <w:sz w:val="18"/>
                <w:szCs w:val="18"/>
              </w:rPr>
              <w:t>need for catheterisation</w:t>
            </w:r>
          </w:p>
        </w:tc>
        <w:tc>
          <w:tcPr>
            <w:tcW w:w="2212" w:type="dxa"/>
            <w:tcBorders>
              <w:top w:val="nil"/>
              <w:bottom w:val="nil"/>
            </w:tcBorders>
            <w:shd w:val="clear" w:color="auto" w:fill="auto"/>
          </w:tcPr>
          <w:p w14:paraId="4F0E1F35" w14:textId="77777777" w:rsidR="009625B9" w:rsidRPr="005D71A4" w:rsidRDefault="009625B9" w:rsidP="00770C93">
            <w:pPr>
              <w:pStyle w:val="051Tabletext228pt"/>
              <w:rPr>
                <w:sz w:val="18"/>
                <w:szCs w:val="18"/>
              </w:rPr>
            </w:pPr>
            <w:r w:rsidRPr="005D71A4">
              <w:rPr>
                <w:sz w:val="18"/>
                <w:szCs w:val="18"/>
              </w:rPr>
              <w:t>3, N=289 (S); 3, N=502 (M)</w:t>
            </w:r>
          </w:p>
        </w:tc>
        <w:tc>
          <w:tcPr>
            <w:tcW w:w="1644" w:type="dxa"/>
            <w:tcBorders>
              <w:top w:val="nil"/>
              <w:bottom w:val="nil"/>
            </w:tcBorders>
            <w:shd w:val="clear" w:color="auto" w:fill="F4B083" w:themeFill="accent2" w:themeFillTint="99"/>
          </w:tcPr>
          <w:p w14:paraId="6BD00639"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268BADF9" w14:textId="77777777" w:rsidR="009625B9" w:rsidRPr="005D71A4" w:rsidRDefault="009625B9" w:rsidP="00770C93">
            <w:pPr>
              <w:pStyle w:val="051Tabletext228pt"/>
              <w:rPr>
                <w:sz w:val="18"/>
                <w:szCs w:val="18"/>
              </w:rPr>
            </w:pPr>
            <w:r w:rsidRPr="005D71A4">
              <w:rPr>
                <w:sz w:val="18"/>
                <w:szCs w:val="18"/>
              </w:rPr>
              <w:t>No difference (S, M)</w:t>
            </w:r>
          </w:p>
        </w:tc>
        <w:tc>
          <w:tcPr>
            <w:tcW w:w="1928" w:type="dxa"/>
            <w:tcBorders>
              <w:top w:val="nil"/>
              <w:bottom w:val="nil"/>
            </w:tcBorders>
          </w:tcPr>
          <w:p w14:paraId="579DE746" w14:textId="77777777" w:rsidR="009625B9" w:rsidRPr="005D71A4" w:rsidRDefault="009625B9" w:rsidP="00770C93">
            <w:pPr>
              <w:pStyle w:val="051Tabletext228pt"/>
              <w:rPr>
                <w:sz w:val="18"/>
                <w:szCs w:val="18"/>
              </w:rPr>
            </w:pPr>
            <w:r w:rsidRPr="005D71A4">
              <w:rPr>
                <w:sz w:val="18"/>
                <w:szCs w:val="18"/>
              </w:rPr>
              <w:t>No difference (S, M)</w:t>
            </w:r>
          </w:p>
        </w:tc>
      </w:tr>
      <w:tr w:rsidR="009625B9" w14:paraId="644AAF4A" w14:textId="77777777" w:rsidTr="00770C93">
        <w:tc>
          <w:tcPr>
            <w:tcW w:w="1928" w:type="dxa"/>
            <w:tcBorders>
              <w:top w:val="nil"/>
              <w:bottom w:val="nil"/>
            </w:tcBorders>
          </w:tcPr>
          <w:p w14:paraId="20298C71" w14:textId="77777777" w:rsidR="009625B9" w:rsidRPr="005D71A4" w:rsidRDefault="009625B9" w:rsidP="00770C93">
            <w:pPr>
              <w:pStyle w:val="051Tabletext228pt"/>
              <w:rPr>
                <w:sz w:val="18"/>
                <w:szCs w:val="18"/>
              </w:rPr>
            </w:pPr>
            <w:r w:rsidRPr="005D71A4">
              <w:rPr>
                <w:sz w:val="18"/>
                <w:szCs w:val="18"/>
              </w:rPr>
              <w:t>de novo urgency</w:t>
            </w:r>
          </w:p>
        </w:tc>
        <w:tc>
          <w:tcPr>
            <w:tcW w:w="2212" w:type="dxa"/>
            <w:tcBorders>
              <w:top w:val="nil"/>
              <w:bottom w:val="nil"/>
            </w:tcBorders>
            <w:shd w:val="clear" w:color="auto" w:fill="auto"/>
          </w:tcPr>
          <w:p w14:paraId="74FD803F" w14:textId="77777777" w:rsidR="009625B9" w:rsidRPr="005D71A4" w:rsidRDefault="009625B9" w:rsidP="00770C93">
            <w:pPr>
              <w:pStyle w:val="051Tabletext228pt"/>
              <w:rPr>
                <w:sz w:val="18"/>
                <w:szCs w:val="18"/>
              </w:rPr>
            </w:pPr>
            <w:r w:rsidRPr="005D71A4">
              <w:rPr>
                <w:sz w:val="18"/>
                <w:szCs w:val="18"/>
              </w:rPr>
              <w:t>1, N=87 (S); 3, N=338 (M)</w:t>
            </w:r>
          </w:p>
        </w:tc>
        <w:tc>
          <w:tcPr>
            <w:tcW w:w="1644" w:type="dxa"/>
            <w:tcBorders>
              <w:top w:val="nil"/>
              <w:bottom w:val="nil"/>
            </w:tcBorders>
            <w:shd w:val="clear" w:color="auto" w:fill="F4B083" w:themeFill="accent2" w:themeFillTint="99"/>
          </w:tcPr>
          <w:p w14:paraId="3C2DEFBE"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4953136E" w14:textId="77777777" w:rsidR="009625B9" w:rsidRPr="005D71A4" w:rsidRDefault="009625B9" w:rsidP="00770C93">
            <w:pPr>
              <w:pStyle w:val="051Tabletext228pt"/>
              <w:rPr>
                <w:sz w:val="18"/>
                <w:szCs w:val="18"/>
              </w:rPr>
            </w:pPr>
            <w:r w:rsidRPr="005D71A4">
              <w:rPr>
                <w:sz w:val="18"/>
                <w:szCs w:val="18"/>
              </w:rPr>
              <w:t>No difference (S, M)</w:t>
            </w:r>
          </w:p>
        </w:tc>
        <w:tc>
          <w:tcPr>
            <w:tcW w:w="1928" w:type="dxa"/>
            <w:tcBorders>
              <w:top w:val="nil"/>
              <w:bottom w:val="nil"/>
            </w:tcBorders>
          </w:tcPr>
          <w:p w14:paraId="131D40C6" w14:textId="77777777" w:rsidR="009625B9" w:rsidRPr="005D71A4" w:rsidRDefault="009625B9" w:rsidP="00770C93">
            <w:pPr>
              <w:pStyle w:val="051Tabletext228pt"/>
              <w:rPr>
                <w:sz w:val="18"/>
                <w:szCs w:val="18"/>
              </w:rPr>
            </w:pPr>
            <w:r w:rsidRPr="005D71A4">
              <w:rPr>
                <w:sz w:val="18"/>
                <w:szCs w:val="18"/>
              </w:rPr>
              <w:t>No difference (S, M)</w:t>
            </w:r>
          </w:p>
        </w:tc>
      </w:tr>
      <w:tr w:rsidR="009625B9" w14:paraId="36D83A26" w14:textId="77777777" w:rsidTr="00770C93">
        <w:tc>
          <w:tcPr>
            <w:tcW w:w="1928" w:type="dxa"/>
            <w:tcBorders>
              <w:top w:val="nil"/>
              <w:bottom w:val="nil"/>
            </w:tcBorders>
          </w:tcPr>
          <w:p w14:paraId="20338F0A" w14:textId="77777777" w:rsidR="009625B9" w:rsidRPr="005D71A4" w:rsidRDefault="009625B9" w:rsidP="00770C93">
            <w:pPr>
              <w:pStyle w:val="051Tabletext228pt"/>
              <w:rPr>
                <w:sz w:val="18"/>
                <w:szCs w:val="18"/>
              </w:rPr>
            </w:pPr>
            <w:r w:rsidRPr="005D71A4">
              <w:rPr>
                <w:sz w:val="18"/>
                <w:szCs w:val="18"/>
              </w:rPr>
              <w:t>de novo urge incontinence</w:t>
            </w:r>
          </w:p>
        </w:tc>
        <w:tc>
          <w:tcPr>
            <w:tcW w:w="2212" w:type="dxa"/>
            <w:tcBorders>
              <w:top w:val="nil"/>
              <w:bottom w:val="nil"/>
            </w:tcBorders>
            <w:shd w:val="clear" w:color="auto" w:fill="auto"/>
          </w:tcPr>
          <w:p w14:paraId="75032E59" w14:textId="77777777" w:rsidR="009625B9" w:rsidRPr="005D71A4" w:rsidRDefault="009625B9" w:rsidP="00770C93">
            <w:pPr>
              <w:pStyle w:val="051Tabletext228pt"/>
              <w:rPr>
                <w:sz w:val="18"/>
                <w:szCs w:val="18"/>
              </w:rPr>
            </w:pPr>
            <w:r w:rsidRPr="005D71A4">
              <w:rPr>
                <w:sz w:val="18"/>
                <w:szCs w:val="18"/>
              </w:rPr>
              <w:t>2, N=155 (S); 3, N=315 (M)</w:t>
            </w:r>
          </w:p>
        </w:tc>
        <w:tc>
          <w:tcPr>
            <w:tcW w:w="1644" w:type="dxa"/>
            <w:tcBorders>
              <w:top w:val="nil"/>
              <w:bottom w:val="nil"/>
            </w:tcBorders>
            <w:shd w:val="clear" w:color="auto" w:fill="F4B083" w:themeFill="accent2" w:themeFillTint="99"/>
          </w:tcPr>
          <w:p w14:paraId="1616039F"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6595A4D4" w14:textId="77777777" w:rsidR="009625B9" w:rsidRPr="005D71A4" w:rsidRDefault="009625B9" w:rsidP="00770C93">
            <w:pPr>
              <w:pStyle w:val="051Tabletext228pt"/>
              <w:rPr>
                <w:sz w:val="18"/>
                <w:szCs w:val="18"/>
              </w:rPr>
            </w:pPr>
            <w:r w:rsidRPr="005D71A4">
              <w:rPr>
                <w:sz w:val="18"/>
                <w:szCs w:val="18"/>
              </w:rPr>
              <w:t>No difference (S, M)</w:t>
            </w:r>
          </w:p>
        </w:tc>
        <w:tc>
          <w:tcPr>
            <w:tcW w:w="1928" w:type="dxa"/>
            <w:tcBorders>
              <w:top w:val="nil"/>
              <w:bottom w:val="nil"/>
            </w:tcBorders>
          </w:tcPr>
          <w:p w14:paraId="38E15074" w14:textId="77777777" w:rsidR="009625B9" w:rsidRPr="005D71A4" w:rsidRDefault="009625B9" w:rsidP="00770C93">
            <w:pPr>
              <w:pStyle w:val="051Tabletext228pt"/>
              <w:rPr>
                <w:sz w:val="18"/>
                <w:szCs w:val="18"/>
              </w:rPr>
            </w:pPr>
            <w:r w:rsidRPr="005D71A4">
              <w:rPr>
                <w:sz w:val="18"/>
                <w:szCs w:val="18"/>
              </w:rPr>
              <w:t>No difference (S, M)</w:t>
            </w:r>
          </w:p>
        </w:tc>
      </w:tr>
      <w:tr w:rsidR="009625B9" w14:paraId="54CABEFF" w14:textId="77777777" w:rsidTr="00770C93">
        <w:tc>
          <w:tcPr>
            <w:tcW w:w="1928" w:type="dxa"/>
            <w:tcBorders>
              <w:top w:val="nil"/>
              <w:bottom w:val="nil"/>
            </w:tcBorders>
          </w:tcPr>
          <w:p w14:paraId="203B8CA3" w14:textId="77777777" w:rsidR="009625B9" w:rsidRPr="005D71A4" w:rsidRDefault="009625B9" w:rsidP="00770C93">
            <w:pPr>
              <w:pStyle w:val="051Tabletext228pt"/>
              <w:rPr>
                <w:sz w:val="18"/>
                <w:szCs w:val="18"/>
              </w:rPr>
            </w:pPr>
            <w:r w:rsidRPr="005D71A4">
              <w:rPr>
                <w:sz w:val="18"/>
                <w:szCs w:val="18"/>
              </w:rPr>
              <w:t>fistula</w:t>
            </w:r>
          </w:p>
        </w:tc>
        <w:tc>
          <w:tcPr>
            <w:tcW w:w="2212" w:type="dxa"/>
            <w:tcBorders>
              <w:top w:val="nil"/>
              <w:bottom w:val="nil"/>
            </w:tcBorders>
            <w:shd w:val="clear" w:color="auto" w:fill="auto"/>
          </w:tcPr>
          <w:p w14:paraId="278F11F9" w14:textId="77777777" w:rsidR="009625B9" w:rsidRPr="005D71A4" w:rsidRDefault="009625B9" w:rsidP="00770C93">
            <w:pPr>
              <w:pStyle w:val="051Tabletext228pt"/>
              <w:rPr>
                <w:sz w:val="18"/>
                <w:szCs w:val="18"/>
              </w:rPr>
            </w:pPr>
            <w:r w:rsidRPr="005D71A4">
              <w:rPr>
                <w:sz w:val="18"/>
                <w:szCs w:val="18"/>
              </w:rPr>
              <w:t>1, N=90 (M)</w:t>
            </w:r>
          </w:p>
        </w:tc>
        <w:tc>
          <w:tcPr>
            <w:tcW w:w="1644" w:type="dxa"/>
            <w:tcBorders>
              <w:top w:val="nil"/>
              <w:bottom w:val="nil"/>
            </w:tcBorders>
            <w:shd w:val="clear" w:color="auto" w:fill="FFE599" w:themeFill="accent4" w:themeFillTint="66"/>
          </w:tcPr>
          <w:p w14:paraId="36B13F3F" w14:textId="77777777" w:rsidR="009625B9" w:rsidRPr="005D71A4" w:rsidRDefault="009625B9" w:rsidP="00770C93">
            <w:pPr>
              <w:pStyle w:val="051Tabletext228pt"/>
              <w:rPr>
                <w:sz w:val="18"/>
                <w:szCs w:val="18"/>
              </w:rPr>
            </w:pPr>
            <w:r w:rsidRPr="005D71A4">
              <w:rPr>
                <w:sz w:val="18"/>
                <w:szCs w:val="18"/>
              </w:rPr>
              <w:t>Low</w:t>
            </w:r>
          </w:p>
        </w:tc>
        <w:tc>
          <w:tcPr>
            <w:tcW w:w="1928" w:type="dxa"/>
            <w:tcBorders>
              <w:top w:val="nil"/>
              <w:bottom w:val="nil"/>
            </w:tcBorders>
          </w:tcPr>
          <w:p w14:paraId="48D419CB" w14:textId="77777777" w:rsidR="009625B9" w:rsidRPr="005D71A4" w:rsidRDefault="009625B9" w:rsidP="00770C93">
            <w:pPr>
              <w:pStyle w:val="051Tabletext228pt"/>
              <w:rPr>
                <w:sz w:val="18"/>
                <w:szCs w:val="18"/>
              </w:rPr>
            </w:pPr>
            <w:r w:rsidRPr="005D71A4">
              <w:rPr>
                <w:sz w:val="18"/>
                <w:szCs w:val="18"/>
              </w:rPr>
              <w:t>No events</w:t>
            </w:r>
          </w:p>
        </w:tc>
        <w:tc>
          <w:tcPr>
            <w:tcW w:w="1928" w:type="dxa"/>
            <w:tcBorders>
              <w:top w:val="nil"/>
              <w:bottom w:val="nil"/>
            </w:tcBorders>
          </w:tcPr>
          <w:p w14:paraId="0BEE6CA5" w14:textId="77777777" w:rsidR="009625B9" w:rsidRPr="005D71A4" w:rsidRDefault="009625B9" w:rsidP="00770C93">
            <w:pPr>
              <w:pStyle w:val="051Tabletext228pt"/>
              <w:rPr>
                <w:sz w:val="18"/>
                <w:szCs w:val="18"/>
              </w:rPr>
            </w:pPr>
            <w:r w:rsidRPr="005D71A4">
              <w:rPr>
                <w:sz w:val="18"/>
                <w:szCs w:val="18"/>
              </w:rPr>
              <w:t>No events</w:t>
            </w:r>
          </w:p>
        </w:tc>
      </w:tr>
      <w:tr w:rsidR="009625B9" w14:paraId="7C6C2E5B" w14:textId="77777777" w:rsidTr="00770C93">
        <w:tc>
          <w:tcPr>
            <w:tcW w:w="1928" w:type="dxa"/>
            <w:tcBorders>
              <w:top w:val="nil"/>
              <w:bottom w:val="single" w:sz="4" w:space="0" w:color="auto"/>
            </w:tcBorders>
          </w:tcPr>
          <w:p w14:paraId="010E1A4D" w14:textId="77777777" w:rsidR="009625B9" w:rsidRPr="005D71A4" w:rsidRDefault="009625B9" w:rsidP="00770C93">
            <w:pPr>
              <w:pStyle w:val="051Tabletext228pt"/>
              <w:rPr>
                <w:sz w:val="18"/>
                <w:szCs w:val="18"/>
              </w:rPr>
            </w:pPr>
            <w:r w:rsidRPr="005D71A4">
              <w:rPr>
                <w:sz w:val="18"/>
                <w:szCs w:val="18"/>
              </w:rPr>
              <w:t>wound complications</w:t>
            </w:r>
          </w:p>
        </w:tc>
        <w:tc>
          <w:tcPr>
            <w:tcW w:w="2212" w:type="dxa"/>
            <w:tcBorders>
              <w:top w:val="nil"/>
              <w:bottom w:val="single" w:sz="4" w:space="0" w:color="auto"/>
            </w:tcBorders>
            <w:shd w:val="clear" w:color="auto" w:fill="auto"/>
          </w:tcPr>
          <w:p w14:paraId="1513B166" w14:textId="77777777" w:rsidR="009625B9" w:rsidRPr="005D71A4" w:rsidRDefault="009625B9" w:rsidP="00770C93">
            <w:pPr>
              <w:pStyle w:val="051Tabletext228pt"/>
              <w:rPr>
                <w:sz w:val="18"/>
                <w:szCs w:val="18"/>
              </w:rPr>
            </w:pPr>
            <w:r w:rsidRPr="005D71A4">
              <w:rPr>
                <w:sz w:val="18"/>
                <w:szCs w:val="18"/>
              </w:rPr>
              <w:t>1, N=90 (M)</w:t>
            </w:r>
          </w:p>
        </w:tc>
        <w:tc>
          <w:tcPr>
            <w:tcW w:w="1644" w:type="dxa"/>
            <w:tcBorders>
              <w:top w:val="nil"/>
              <w:bottom w:val="single" w:sz="4" w:space="0" w:color="auto"/>
            </w:tcBorders>
            <w:shd w:val="clear" w:color="auto" w:fill="FFE599" w:themeFill="accent4" w:themeFillTint="66"/>
          </w:tcPr>
          <w:p w14:paraId="2F895D17" w14:textId="77777777" w:rsidR="009625B9" w:rsidRPr="005D71A4" w:rsidRDefault="009625B9" w:rsidP="00770C93">
            <w:pPr>
              <w:pStyle w:val="051Tabletext228pt"/>
              <w:rPr>
                <w:sz w:val="18"/>
                <w:szCs w:val="18"/>
              </w:rPr>
            </w:pPr>
            <w:r w:rsidRPr="005D71A4">
              <w:rPr>
                <w:sz w:val="18"/>
                <w:szCs w:val="18"/>
              </w:rPr>
              <w:t>Low</w:t>
            </w:r>
          </w:p>
        </w:tc>
        <w:tc>
          <w:tcPr>
            <w:tcW w:w="1928" w:type="dxa"/>
            <w:tcBorders>
              <w:top w:val="nil"/>
              <w:bottom w:val="single" w:sz="4" w:space="0" w:color="auto"/>
            </w:tcBorders>
          </w:tcPr>
          <w:p w14:paraId="43C501D3" w14:textId="77777777" w:rsidR="009625B9" w:rsidRPr="005D71A4" w:rsidRDefault="009625B9" w:rsidP="00770C93">
            <w:pPr>
              <w:pStyle w:val="051Tabletext228pt"/>
              <w:rPr>
                <w:sz w:val="18"/>
                <w:szCs w:val="18"/>
              </w:rPr>
            </w:pPr>
            <w:r w:rsidRPr="005D71A4">
              <w:rPr>
                <w:sz w:val="18"/>
                <w:szCs w:val="18"/>
              </w:rPr>
              <w:t>No events</w:t>
            </w:r>
          </w:p>
        </w:tc>
        <w:tc>
          <w:tcPr>
            <w:tcW w:w="1928" w:type="dxa"/>
            <w:tcBorders>
              <w:top w:val="nil"/>
              <w:bottom w:val="single" w:sz="4" w:space="0" w:color="auto"/>
            </w:tcBorders>
          </w:tcPr>
          <w:p w14:paraId="77E3E243" w14:textId="77777777" w:rsidR="009625B9" w:rsidRPr="005D71A4" w:rsidRDefault="009625B9" w:rsidP="00770C93">
            <w:pPr>
              <w:pStyle w:val="051Tabletext228pt"/>
              <w:rPr>
                <w:sz w:val="18"/>
                <w:szCs w:val="18"/>
              </w:rPr>
            </w:pPr>
            <w:r w:rsidRPr="005D71A4">
              <w:rPr>
                <w:sz w:val="18"/>
                <w:szCs w:val="18"/>
              </w:rPr>
              <w:t>No events</w:t>
            </w:r>
          </w:p>
        </w:tc>
      </w:tr>
      <w:tr w:rsidR="009625B9" w14:paraId="03591B2F" w14:textId="77777777" w:rsidTr="00770C93">
        <w:tc>
          <w:tcPr>
            <w:tcW w:w="1928" w:type="dxa"/>
            <w:tcBorders>
              <w:bottom w:val="nil"/>
            </w:tcBorders>
            <w:shd w:val="clear" w:color="auto" w:fill="E7E6E6" w:themeFill="background2"/>
          </w:tcPr>
          <w:p w14:paraId="5D3B4960" w14:textId="77777777" w:rsidR="009625B9" w:rsidRPr="005D71A4" w:rsidRDefault="009625B9" w:rsidP="00770C93">
            <w:pPr>
              <w:pStyle w:val="051Tabletext228pt"/>
              <w:rPr>
                <w:b/>
                <w:bCs/>
                <w:sz w:val="18"/>
                <w:szCs w:val="18"/>
              </w:rPr>
            </w:pPr>
            <w:r w:rsidRPr="005D71A4">
              <w:rPr>
                <w:b/>
                <w:bCs/>
                <w:sz w:val="18"/>
                <w:szCs w:val="18"/>
              </w:rPr>
              <w:t>Repeat surgery</w:t>
            </w:r>
          </w:p>
        </w:tc>
        <w:tc>
          <w:tcPr>
            <w:tcW w:w="2212" w:type="dxa"/>
            <w:tcBorders>
              <w:bottom w:val="nil"/>
            </w:tcBorders>
            <w:shd w:val="clear" w:color="auto" w:fill="E7E6E6" w:themeFill="background2"/>
          </w:tcPr>
          <w:p w14:paraId="467ACC81" w14:textId="77777777" w:rsidR="009625B9" w:rsidRPr="005D71A4" w:rsidRDefault="009625B9" w:rsidP="00770C93">
            <w:pPr>
              <w:pStyle w:val="051Tabletext228pt"/>
              <w:rPr>
                <w:sz w:val="18"/>
                <w:szCs w:val="18"/>
                <w:highlight w:val="yellow"/>
              </w:rPr>
            </w:pPr>
          </w:p>
        </w:tc>
        <w:tc>
          <w:tcPr>
            <w:tcW w:w="1644" w:type="dxa"/>
            <w:tcBorders>
              <w:bottom w:val="nil"/>
            </w:tcBorders>
            <w:shd w:val="clear" w:color="auto" w:fill="E7E6E6" w:themeFill="background2"/>
          </w:tcPr>
          <w:p w14:paraId="70044887" w14:textId="77777777" w:rsidR="009625B9" w:rsidRPr="005D71A4" w:rsidRDefault="009625B9" w:rsidP="00770C93">
            <w:pPr>
              <w:pStyle w:val="051Tabletext228pt"/>
              <w:rPr>
                <w:sz w:val="18"/>
                <w:szCs w:val="18"/>
                <w:highlight w:val="yellow"/>
              </w:rPr>
            </w:pPr>
          </w:p>
        </w:tc>
        <w:tc>
          <w:tcPr>
            <w:tcW w:w="1928" w:type="dxa"/>
            <w:tcBorders>
              <w:bottom w:val="nil"/>
            </w:tcBorders>
            <w:shd w:val="clear" w:color="auto" w:fill="E7E6E6" w:themeFill="background2"/>
          </w:tcPr>
          <w:p w14:paraId="6F5F50CF" w14:textId="77777777" w:rsidR="009625B9" w:rsidRPr="005D71A4" w:rsidRDefault="009625B9" w:rsidP="00770C93">
            <w:pPr>
              <w:pStyle w:val="051Tabletext228pt"/>
              <w:rPr>
                <w:sz w:val="18"/>
                <w:szCs w:val="18"/>
                <w:highlight w:val="yellow"/>
              </w:rPr>
            </w:pPr>
          </w:p>
        </w:tc>
        <w:tc>
          <w:tcPr>
            <w:tcW w:w="1928" w:type="dxa"/>
            <w:tcBorders>
              <w:bottom w:val="nil"/>
            </w:tcBorders>
            <w:shd w:val="clear" w:color="auto" w:fill="E7E6E6" w:themeFill="background2"/>
          </w:tcPr>
          <w:p w14:paraId="36AC1973" w14:textId="77777777" w:rsidR="009625B9" w:rsidRPr="005D71A4" w:rsidRDefault="009625B9" w:rsidP="00770C93">
            <w:pPr>
              <w:pStyle w:val="051Tabletext228pt"/>
              <w:rPr>
                <w:sz w:val="18"/>
                <w:szCs w:val="18"/>
                <w:highlight w:val="yellow"/>
              </w:rPr>
            </w:pPr>
          </w:p>
        </w:tc>
      </w:tr>
      <w:tr w:rsidR="009625B9" w14:paraId="501BA582" w14:textId="77777777" w:rsidTr="00770C93">
        <w:tc>
          <w:tcPr>
            <w:tcW w:w="1928" w:type="dxa"/>
            <w:tcBorders>
              <w:top w:val="nil"/>
              <w:bottom w:val="nil"/>
            </w:tcBorders>
          </w:tcPr>
          <w:p w14:paraId="0C749BB7" w14:textId="77777777" w:rsidR="009625B9" w:rsidRPr="005D71A4" w:rsidRDefault="009625B9" w:rsidP="00770C93">
            <w:pPr>
              <w:pStyle w:val="051Tabletext228pt"/>
              <w:rPr>
                <w:sz w:val="18"/>
                <w:szCs w:val="18"/>
              </w:rPr>
            </w:pPr>
            <w:r w:rsidRPr="005D71A4">
              <w:rPr>
                <w:sz w:val="18"/>
                <w:szCs w:val="18"/>
              </w:rPr>
              <w:t>for any reason</w:t>
            </w:r>
          </w:p>
        </w:tc>
        <w:tc>
          <w:tcPr>
            <w:tcW w:w="2212" w:type="dxa"/>
            <w:tcBorders>
              <w:top w:val="nil"/>
              <w:bottom w:val="nil"/>
            </w:tcBorders>
            <w:shd w:val="clear" w:color="auto" w:fill="auto"/>
          </w:tcPr>
          <w:p w14:paraId="70867373" w14:textId="77777777" w:rsidR="009625B9" w:rsidRPr="005D71A4" w:rsidRDefault="009625B9" w:rsidP="00770C93">
            <w:pPr>
              <w:pStyle w:val="051Tabletext228pt"/>
              <w:rPr>
                <w:sz w:val="18"/>
                <w:szCs w:val="18"/>
                <w:highlight w:val="yellow"/>
              </w:rPr>
            </w:pPr>
            <w:r w:rsidRPr="005D71A4">
              <w:rPr>
                <w:sz w:val="18"/>
                <w:szCs w:val="18"/>
              </w:rPr>
              <w:t xml:space="preserve">2, N=168 (S) </w:t>
            </w:r>
          </w:p>
        </w:tc>
        <w:tc>
          <w:tcPr>
            <w:tcW w:w="1644" w:type="dxa"/>
            <w:tcBorders>
              <w:top w:val="nil"/>
              <w:bottom w:val="nil"/>
            </w:tcBorders>
            <w:shd w:val="clear" w:color="auto" w:fill="F4B083" w:themeFill="accent2" w:themeFillTint="99"/>
          </w:tcPr>
          <w:p w14:paraId="7107F6EA"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59985DD3" w14:textId="77777777" w:rsidR="009625B9" w:rsidRPr="005D71A4" w:rsidRDefault="009625B9" w:rsidP="00770C93">
            <w:pPr>
              <w:pStyle w:val="051Tabletext228pt"/>
              <w:rPr>
                <w:sz w:val="18"/>
                <w:szCs w:val="18"/>
                <w:highlight w:val="yellow"/>
              </w:rPr>
            </w:pPr>
            <w:r w:rsidRPr="005D71A4">
              <w:rPr>
                <w:sz w:val="18"/>
                <w:szCs w:val="18"/>
              </w:rPr>
              <w:t>No difference (S)</w:t>
            </w:r>
          </w:p>
        </w:tc>
        <w:tc>
          <w:tcPr>
            <w:tcW w:w="1928" w:type="dxa"/>
            <w:tcBorders>
              <w:top w:val="nil"/>
              <w:bottom w:val="nil"/>
            </w:tcBorders>
          </w:tcPr>
          <w:p w14:paraId="45545A5E" w14:textId="77777777" w:rsidR="009625B9" w:rsidRPr="005D71A4" w:rsidRDefault="009625B9" w:rsidP="00770C93">
            <w:pPr>
              <w:pStyle w:val="051Tabletext228pt"/>
              <w:rPr>
                <w:sz w:val="18"/>
                <w:szCs w:val="18"/>
              </w:rPr>
            </w:pPr>
            <w:r w:rsidRPr="005D71A4">
              <w:rPr>
                <w:sz w:val="18"/>
                <w:szCs w:val="18"/>
              </w:rPr>
              <w:t>No difference (S)</w:t>
            </w:r>
          </w:p>
        </w:tc>
      </w:tr>
      <w:tr w:rsidR="009625B9" w14:paraId="4F6970F4" w14:textId="77777777" w:rsidTr="00770C93">
        <w:tc>
          <w:tcPr>
            <w:tcW w:w="1928" w:type="dxa"/>
            <w:tcBorders>
              <w:top w:val="nil"/>
              <w:bottom w:val="nil"/>
            </w:tcBorders>
          </w:tcPr>
          <w:p w14:paraId="4FA95281" w14:textId="77777777" w:rsidR="009625B9" w:rsidRPr="005D71A4" w:rsidRDefault="009625B9" w:rsidP="00770C93">
            <w:pPr>
              <w:pStyle w:val="051Tabletext228pt"/>
              <w:rPr>
                <w:sz w:val="18"/>
                <w:szCs w:val="18"/>
              </w:rPr>
            </w:pPr>
          </w:p>
        </w:tc>
        <w:tc>
          <w:tcPr>
            <w:tcW w:w="2212" w:type="dxa"/>
            <w:tcBorders>
              <w:top w:val="nil"/>
              <w:bottom w:val="nil"/>
            </w:tcBorders>
            <w:shd w:val="clear" w:color="auto" w:fill="auto"/>
          </w:tcPr>
          <w:p w14:paraId="2DCEF662" w14:textId="77777777" w:rsidR="009625B9" w:rsidRPr="005D71A4" w:rsidRDefault="009625B9" w:rsidP="00770C93">
            <w:pPr>
              <w:pStyle w:val="051Tabletext228pt"/>
              <w:rPr>
                <w:sz w:val="18"/>
                <w:szCs w:val="18"/>
                <w:highlight w:val="yellow"/>
              </w:rPr>
            </w:pPr>
            <w:r w:rsidRPr="005D71A4">
              <w:rPr>
                <w:sz w:val="18"/>
                <w:szCs w:val="18"/>
              </w:rPr>
              <w:t>1, N=316 (M)</w:t>
            </w:r>
          </w:p>
        </w:tc>
        <w:tc>
          <w:tcPr>
            <w:tcW w:w="1644" w:type="dxa"/>
            <w:tcBorders>
              <w:top w:val="nil"/>
              <w:bottom w:val="nil"/>
            </w:tcBorders>
            <w:shd w:val="clear" w:color="auto" w:fill="FFE599" w:themeFill="accent4" w:themeFillTint="66"/>
          </w:tcPr>
          <w:p w14:paraId="77CEC712" w14:textId="77777777" w:rsidR="009625B9" w:rsidRPr="005D71A4" w:rsidRDefault="009625B9" w:rsidP="00770C9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52B7E397" w14:textId="77777777" w:rsidR="009625B9" w:rsidRPr="005D71A4" w:rsidRDefault="009625B9" w:rsidP="00770C93">
            <w:pPr>
              <w:pStyle w:val="051Tabletext228pt"/>
              <w:rPr>
                <w:sz w:val="18"/>
                <w:szCs w:val="18"/>
                <w:highlight w:val="yellow"/>
              </w:rPr>
            </w:pPr>
            <w:r w:rsidRPr="005D71A4">
              <w:rPr>
                <w:sz w:val="18"/>
                <w:szCs w:val="18"/>
              </w:rPr>
              <w:t>Favours MUS (M)</w:t>
            </w:r>
          </w:p>
        </w:tc>
        <w:tc>
          <w:tcPr>
            <w:tcW w:w="1928" w:type="dxa"/>
            <w:tcBorders>
              <w:top w:val="nil"/>
              <w:bottom w:val="nil"/>
            </w:tcBorders>
            <w:shd w:val="clear" w:color="auto" w:fill="C5E0B3" w:themeFill="accent6" w:themeFillTint="66"/>
          </w:tcPr>
          <w:p w14:paraId="73A300FA" w14:textId="77777777" w:rsidR="009625B9" w:rsidRPr="005D71A4" w:rsidRDefault="009625B9" w:rsidP="00770C93">
            <w:pPr>
              <w:pStyle w:val="051Tabletext228pt"/>
              <w:rPr>
                <w:sz w:val="18"/>
                <w:szCs w:val="18"/>
              </w:rPr>
            </w:pPr>
            <w:r w:rsidRPr="005D71A4">
              <w:rPr>
                <w:sz w:val="18"/>
                <w:szCs w:val="18"/>
              </w:rPr>
              <w:t>Favours MUS (M)</w:t>
            </w:r>
          </w:p>
        </w:tc>
      </w:tr>
      <w:tr w:rsidR="009625B9" w14:paraId="5B2E4122" w14:textId="77777777" w:rsidTr="00770C93">
        <w:tc>
          <w:tcPr>
            <w:tcW w:w="1928" w:type="dxa"/>
            <w:tcBorders>
              <w:top w:val="nil"/>
              <w:bottom w:val="nil"/>
            </w:tcBorders>
          </w:tcPr>
          <w:p w14:paraId="1B1F1D7B" w14:textId="77777777" w:rsidR="009625B9" w:rsidRPr="005D71A4" w:rsidRDefault="009625B9" w:rsidP="00770C93">
            <w:pPr>
              <w:pStyle w:val="051Tabletext228pt"/>
              <w:rPr>
                <w:sz w:val="18"/>
                <w:szCs w:val="18"/>
              </w:rPr>
            </w:pPr>
            <w:r w:rsidRPr="005D71A4">
              <w:rPr>
                <w:sz w:val="18"/>
                <w:szCs w:val="18"/>
              </w:rPr>
              <w:t>for SUI</w:t>
            </w:r>
          </w:p>
        </w:tc>
        <w:tc>
          <w:tcPr>
            <w:tcW w:w="2212" w:type="dxa"/>
            <w:tcBorders>
              <w:top w:val="nil"/>
              <w:bottom w:val="nil"/>
            </w:tcBorders>
            <w:shd w:val="clear" w:color="auto" w:fill="auto"/>
          </w:tcPr>
          <w:p w14:paraId="13BAAD2F" w14:textId="77777777" w:rsidR="009625B9" w:rsidRPr="005D71A4" w:rsidRDefault="009625B9" w:rsidP="00770C93">
            <w:pPr>
              <w:pStyle w:val="051Tabletext228pt"/>
              <w:rPr>
                <w:sz w:val="18"/>
                <w:szCs w:val="18"/>
                <w:highlight w:val="yellow"/>
              </w:rPr>
            </w:pPr>
            <w:r w:rsidRPr="005D71A4">
              <w:rPr>
                <w:sz w:val="18"/>
                <w:szCs w:val="18"/>
              </w:rPr>
              <w:t>2, N=166 (M); 1, N=53 (L)</w:t>
            </w:r>
          </w:p>
        </w:tc>
        <w:tc>
          <w:tcPr>
            <w:tcW w:w="1644" w:type="dxa"/>
            <w:tcBorders>
              <w:top w:val="nil"/>
              <w:bottom w:val="nil"/>
            </w:tcBorders>
            <w:shd w:val="clear" w:color="auto" w:fill="F4B083" w:themeFill="accent2" w:themeFillTint="99"/>
          </w:tcPr>
          <w:p w14:paraId="7B92B212"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nil"/>
            </w:tcBorders>
          </w:tcPr>
          <w:p w14:paraId="45C6601D" w14:textId="77777777" w:rsidR="009625B9" w:rsidRPr="005D71A4" w:rsidRDefault="009625B9" w:rsidP="00770C93">
            <w:pPr>
              <w:pStyle w:val="051Tabletext228pt"/>
              <w:rPr>
                <w:sz w:val="18"/>
                <w:szCs w:val="18"/>
                <w:highlight w:val="yellow"/>
              </w:rPr>
            </w:pPr>
            <w:r w:rsidRPr="005D71A4">
              <w:rPr>
                <w:sz w:val="18"/>
                <w:szCs w:val="18"/>
              </w:rPr>
              <w:t>No difference (M, L)</w:t>
            </w:r>
          </w:p>
        </w:tc>
        <w:tc>
          <w:tcPr>
            <w:tcW w:w="1928" w:type="dxa"/>
            <w:tcBorders>
              <w:top w:val="nil"/>
              <w:bottom w:val="nil"/>
            </w:tcBorders>
          </w:tcPr>
          <w:p w14:paraId="666210E0" w14:textId="77777777" w:rsidR="009625B9" w:rsidRPr="005D71A4" w:rsidRDefault="009625B9" w:rsidP="00770C93">
            <w:pPr>
              <w:pStyle w:val="051Tabletext228pt"/>
              <w:rPr>
                <w:sz w:val="18"/>
                <w:szCs w:val="18"/>
              </w:rPr>
            </w:pPr>
            <w:r w:rsidRPr="005D71A4">
              <w:rPr>
                <w:sz w:val="18"/>
                <w:szCs w:val="18"/>
              </w:rPr>
              <w:t>No difference (M, L)</w:t>
            </w:r>
          </w:p>
        </w:tc>
      </w:tr>
      <w:tr w:rsidR="009625B9" w14:paraId="366DCCD2" w14:textId="77777777" w:rsidTr="00770C93">
        <w:tc>
          <w:tcPr>
            <w:tcW w:w="1928" w:type="dxa"/>
            <w:tcBorders>
              <w:top w:val="nil"/>
              <w:bottom w:val="single" w:sz="4" w:space="0" w:color="auto"/>
            </w:tcBorders>
          </w:tcPr>
          <w:p w14:paraId="18859470" w14:textId="77777777" w:rsidR="009625B9" w:rsidRPr="005D71A4" w:rsidRDefault="009625B9" w:rsidP="00770C93">
            <w:pPr>
              <w:pStyle w:val="051Tabletext228pt"/>
              <w:rPr>
                <w:sz w:val="18"/>
                <w:szCs w:val="18"/>
              </w:rPr>
            </w:pPr>
            <w:r w:rsidRPr="005D71A4">
              <w:rPr>
                <w:sz w:val="18"/>
                <w:szCs w:val="18"/>
              </w:rPr>
              <w:t>for mesh complications</w:t>
            </w:r>
          </w:p>
        </w:tc>
        <w:tc>
          <w:tcPr>
            <w:tcW w:w="2212" w:type="dxa"/>
            <w:tcBorders>
              <w:top w:val="nil"/>
              <w:bottom w:val="single" w:sz="4" w:space="0" w:color="auto"/>
            </w:tcBorders>
            <w:shd w:val="clear" w:color="auto" w:fill="auto"/>
          </w:tcPr>
          <w:p w14:paraId="579C536B" w14:textId="77777777" w:rsidR="009625B9" w:rsidRPr="005D71A4" w:rsidRDefault="009625B9" w:rsidP="00770C93">
            <w:pPr>
              <w:pStyle w:val="051Tabletext228pt"/>
              <w:rPr>
                <w:sz w:val="18"/>
                <w:szCs w:val="18"/>
              </w:rPr>
            </w:pPr>
            <w:r w:rsidRPr="005D71A4">
              <w:rPr>
                <w:sz w:val="18"/>
                <w:szCs w:val="18"/>
              </w:rPr>
              <w:t>1, N=68 (S); 1, N=72 (L)</w:t>
            </w:r>
          </w:p>
        </w:tc>
        <w:tc>
          <w:tcPr>
            <w:tcW w:w="1644" w:type="dxa"/>
            <w:tcBorders>
              <w:top w:val="nil"/>
              <w:bottom w:val="single" w:sz="4" w:space="0" w:color="auto"/>
            </w:tcBorders>
            <w:shd w:val="clear" w:color="auto" w:fill="F4B083" w:themeFill="accent2" w:themeFillTint="99"/>
          </w:tcPr>
          <w:p w14:paraId="23391BB2" w14:textId="77777777" w:rsidR="009625B9" w:rsidRPr="005D71A4" w:rsidRDefault="009625B9" w:rsidP="00770C93">
            <w:pPr>
              <w:pStyle w:val="051Tabletext228pt"/>
              <w:rPr>
                <w:sz w:val="18"/>
                <w:szCs w:val="18"/>
              </w:rPr>
            </w:pPr>
            <w:r w:rsidRPr="005D71A4">
              <w:rPr>
                <w:sz w:val="18"/>
                <w:szCs w:val="18"/>
              </w:rPr>
              <w:t>Very low</w:t>
            </w:r>
          </w:p>
        </w:tc>
        <w:tc>
          <w:tcPr>
            <w:tcW w:w="1928" w:type="dxa"/>
            <w:tcBorders>
              <w:top w:val="nil"/>
              <w:bottom w:val="single" w:sz="4" w:space="0" w:color="auto"/>
            </w:tcBorders>
          </w:tcPr>
          <w:p w14:paraId="60E83DC0" w14:textId="77777777" w:rsidR="009625B9" w:rsidRPr="005D71A4" w:rsidRDefault="009625B9" w:rsidP="00770C93">
            <w:pPr>
              <w:pStyle w:val="051Tabletext228pt"/>
              <w:rPr>
                <w:sz w:val="18"/>
                <w:szCs w:val="18"/>
                <w:highlight w:val="yellow"/>
              </w:rPr>
            </w:pPr>
            <w:r w:rsidRPr="005D71A4">
              <w:rPr>
                <w:sz w:val="18"/>
                <w:szCs w:val="18"/>
              </w:rPr>
              <w:t>No difference (S, L)</w:t>
            </w:r>
          </w:p>
        </w:tc>
        <w:tc>
          <w:tcPr>
            <w:tcW w:w="1928" w:type="dxa"/>
            <w:tcBorders>
              <w:top w:val="nil"/>
              <w:bottom w:val="single" w:sz="4" w:space="0" w:color="auto"/>
            </w:tcBorders>
          </w:tcPr>
          <w:p w14:paraId="4895D088" w14:textId="77777777" w:rsidR="009625B9" w:rsidRPr="005D71A4" w:rsidRDefault="009625B9" w:rsidP="00770C93">
            <w:pPr>
              <w:pStyle w:val="051Tabletext228pt"/>
              <w:rPr>
                <w:sz w:val="18"/>
                <w:szCs w:val="18"/>
              </w:rPr>
            </w:pPr>
            <w:r w:rsidRPr="005D71A4">
              <w:rPr>
                <w:sz w:val="18"/>
                <w:szCs w:val="18"/>
              </w:rPr>
              <w:t>No difference (S, L)</w:t>
            </w:r>
          </w:p>
        </w:tc>
      </w:tr>
    </w:tbl>
    <w:p w14:paraId="42191739" w14:textId="0059E493" w:rsidR="00D97C5C" w:rsidRDefault="00D97C5C" w:rsidP="005B06AA">
      <w:pPr>
        <w:pStyle w:val="101Tablefootnotes8pt"/>
      </w:pPr>
      <w:r>
        <w:t xml:space="preserve">Source: based on data from NICE Evidence review </w:t>
      </w:r>
      <w:r w:rsidR="00245CE2">
        <w:rPr>
          <w:noProof/>
        </w:rPr>
        <w:t>(NICE 2019b)</w:t>
      </w:r>
    </w:p>
    <w:p w14:paraId="27AA7549" w14:textId="1D72399E" w:rsidR="009625B9" w:rsidRDefault="009625B9" w:rsidP="005B06AA">
      <w:pPr>
        <w:pStyle w:val="101Tablefootnotes8pt"/>
      </w:pPr>
      <w:r>
        <w:t xml:space="preserve">Abbreviations: </w:t>
      </w:r>
      <w:proofErr w:type="spellStart"/>
      <w:r>
        <w:t>HRQoL</w:t>
      </w:r>
      <w:proofErr w:type="spellEnd"/>
      <w:r>
        <w:t xml:space="preserve">, health-related quality of life; L, long-term; M, medium-term; MUS, mid-urethral sling; No., number; POP, pelvic organ prolapse; RP, retropubic; S, short-term; SUI, stress urinary incontinence; TO, </w:t>
      </w:r>
      <w:proofErr w:type="spellStart"/>
      <w:r>
        <w:t>transobturator</w:t>
      </w:r>
      <w:proofErr w:type="spellEnd"/>
    </w:p>
    <w:p w14:paraId="1CC65839" w14:textId="77777777" w:rsidR="005B76F3" w:rsidRDefault="005B76F3" w:rsidP="00EB18CD">
      <w:pPr>
        <w:pStyle w:val="101Tablefootnotes8pt"/>
      </w:pPr>
      <w:r>
        <w:rPr>
          <w:vertAlign w:val="superscript"/>
        </w:rPr>
        <w:t xml:space="preserve">1 </w:t>
      </w:r>
      <w:r>
        <w:t>NICE defined c</w:t>
      </w:r>
      <w:r w:rsidRPr="002E44EE">
        <w:t xml:space="preserve">linically important </w:t>
      </w:r>
      <w:proofErr w:type="gramStart"/>
      <w:r w:rsidRPr="002E44EE">
        <w:t>outcomes</w:t>
      </w:r>
      <w:proofErr w:type="gramEnd"/>
      <w:r w:rsidRPr="002E44EE">
        <w:t xml:space="preserve"> based on published literature and consultation with the Guideline Committee. If no published or acceptable minimally important difference (MID) was identified, the committee considered whether to use GRADE defaults.</w:t>
      </w:r>
    </w:p>
    <w:p w14:paraId="3C8C808D" w14:textId="4776346F" w:rsidR="005B06AA" w:rsidRDefault="005B06AA" w:rsidP="005B76F3">
      <w:pPr>
        <w:pStyle w:val="111Tablefootnoteslast-nostick8pt"/>
      </w:pPr>
      <w:r>
        <w:t xml:space="preserve">Key: orange = very </w:t>
      </w:r>
      <w:proofErr w:type="gramStart"/>
      <w:r>
        <w:t>low quality</w:t>
      </w:r>
      <w:proofErr w:type="gramEnd"/>
      <w:r>
        <w:t xml:space="preserve"> evidence</w:t>
      </w:r>
      <w:r w:rsidR="00867E20">
        <w:t xml:space="preserve">; yellow = low quality evidence; green = </w:t>
      </w:r>
      <w:proofErr w:type="spellStart"/>
      <w:r w:rsidR="00867E20">
        <w:t>favours</w:t>
      </w:r>
      <w:proofErr w:type="spellEnd"/>
      <w:r w:rsidR="00867E20">
        <w:t xml:space="preserve"> MUS; blue = </w:t>
      </w:r>
      <w:proofErr w:type="spellStart"/>
      <w:r w:rsidR="00867E20">
        <w:t>favours</w:t>
      </w:r>
      <w:proofErr w:type="spellEnd"/>
      <w:r w:rsidR="00867E20">
        <w:t xml:space="preserve"> </w:t>
      </w:r>
      <w:proofErr w:type="spellStart"/>
      <w:r w:rsidR="00867E20">
        <w:t>colposuspension</w:t>
      </w:r>
      <w:proofErr w:type="spellEnd"/>
      <w:r w:rsidR="00867E20">
        <w:t>.</w:t>
      </w:r>
    </w:p>
    <w:p w14:paraId="60C462CA" w14:textId="5F173D28" w:rsidR="000E5D82" w:rsidRDefault="000E5D82" w:rsidP="00CE4B4E">
      <w:pPr>
        <w:pStyle w:val="ExecSumHeading3"/>
        <w:rPr>
          <w:lang w:val="en-US"/>
        </w:rPr>
      </w:pPr>
      <w:r>
        <w:rPr>
          <w:lang w:val="en-US"/>
        </w:rPr>
        <w:lastRenderedPageBreak/>
        <w:t xml:space="preserve">Clinical effectiveness </w:t>
      </w:r>
      <w:r w:rsidR="00D42EB7">
        <w:rPr>
          <w:lang w:val="en-US"/>
        </w:rPr>
        <w:t>–</w:t>
      </w:r>
      <w:r>
        <w:rPr>
          <w:lang w:val="en-US"/>
        </w:rPr>
        <w:t xml:space="preserve"> </w:t>
      </w:r>
      <w:r w:rsidR="00080B31">
        <w:rPr>
          <w:lang w:val="en-US"/>
        </w:rPr>
        <w:t>Autologous rectus fascial sling (p</w:t>
      </w:r>
      <w:r w:rsidR="00D42EB7">
        <w:rPr>
          <w:lang w:val="en-US"/>
        </w:rPr>
        <w:t>ubovaginal sling</w:t>
      </w:r>
      <w:r w:rsidR="00080B31">
        <w:rPr>
          <w:lang w:val="en-US"/>
        </w:rPr>
        <w:t>)</w:t>
      </w:r>
      <w:r w:rsidR="00D42EB7">
        <w:rPr>
          <w:lang w:val="en-US"/>
        </w:rPr>
        <w:t xml:space="preserve"> v</w:t>
      </w:r>
      <w:r w:rsidR="00B55D37">
        <w:rPr>
          <w:lang w:val="en-US"/>
        </w:rPr>
        <w:t>ersus</w:t>
      </w:r>
      <w:r w:rsidR="00D42EB7">
        <w:rPr>
          <w:lang w:val="en-US"/>
        </w:rPr>
        <w:t xml:space="preserve"> MUS</w:t>
      </w:r>
    </w:p>
    <w:p w14:paraId="49119F7E" w14:textId="6CBD686E" w:rsidR="00BE6CCB" w:rsidRPr="00BE6CCB" w:rsidRDefault="00BE6CCB" w:rsidP="00CE4B4E">
      <w:pPr>
        <w:pStyle w:val="BodyText"/>
        <w:keepNext/>
      </w:pPr>
      <w:r>
        <w:t xml:space="preserve">The findings by outcome and follow-up time for MUS compared to </w:t>
      </w:r>
      <w:r w:rsidR="000D0244">
        <w:t>autologous rectus fascial sling (pubovaginal sling)</w:t>
      </w:r>
      <w:r>
        <w:t xml:space="preserve"> are summarised in </w:t>
      </w:r>
      <w:r w:rsidR="000D0244">
        <w:fldChar w:fldCharType="begin"/>
      </w:r>
      <w:r w:rsidR="000D0244">
        <w:instrText xml:space="preserve"> REF _Ref134180076 \h </w:instrText>
      </w:r>
      <w:r w:rsidR="000D0244">
        <w:fldChar w:fldCharType="separate"/>
      </w:r>
      <w:r w:rsidR="007105D3">
        <w:t xml:space="preserve">Table ES </w:t>
      </w:r>
      <w:r w:rsidR="007105D3">
        <w:rPr>
          <w:noProof/>
        </w:rPr>
        <w:t>2</w:t>
      </w:r>
      <w:r w:rsidR="000D0244">
        <w:fldChar w:fldCharType="end"/>
      </w:r>
      <w:r w:rsidR="000D0244">
        <w:t>.</w:t>
      </w:r>
    </w:p>
    <w:p w14:paraId="1EAAC563" w14:textId="79C7E7DA" w:rsidR="00D42EB7" w:rsidRDefault="009D584D" w:rsidP="008158CB">
      <w:pPr>
        <w:pStyle w:val="Caption"/>
      </w:pPr>
      <w:bookmarkStart w:id="9" w:name="_Ref134180076"/>
      <w:r>
        <w:t xml:space="preserve">Table ES </w:t>
      </w:r>
      <w:fldSimple w:instr=" SEQ Table_ES \* ARABIC ">
        <w:r w:rsidR="007105D3">
          <w:rPr>
            <w:noProof/>
          </w:rPr>
          <w:t>2</w:t>
        </w:r>
      </w:fldSimple>
      <w:bookmarkEnd w:id="9"/>
      <w:r>
        <w:tab/>
      </w:r>
      <w:r w:rsidR="00D42EB7" w:rsidRPr="000D0244">
        <w:t xml:space="preserve">Summary of findings for clinical effectiveness – </w:t>
      </w:r>
      <w:r w:rsidR="00080B31" w:rsidRPr="000D0244">
        <w:t>autologous rectus fascial sling (</w:t>
      </w:r>
      <w:r w:rsidR="00D42EB7" w:rsidRPr="000D0244">
        <w:t>pubovaginal sling</w:t>
      </w:r>
      <w:r w:rsidR="00080B31" w:rsidRPr="000D0244">
        <w:t>)</w:t>
      </w:r>
      <w:r w:rsidR="00D42EB7" w:rsidRPr="000D0244">
        <w:t xml:space="preserve"> vs. MUS</w:t>
      </w:r>
    </w:p>
    <w:tbl>
      <w:tblPr>
        <w:tblStyle w:val="TableGrid"/>
        <w:tblW w:w="4853" w:type="pct"/>
        <w:tblLook w:val="04A0" w:firstRow="1" w:lastRow="0" w:firstColumn="1" w:lastColumn="0" w:noHBand="0" w:noVBand="1"/>
        <w:tblCaption w:val="Summary of findings for clinical effectiveness of autologous rectus fascial sling (pubovaginal sling)  versus mid-urethral sling"/>
        <w:tblDescription w:val="This table shows the number of randomised controlled trials, number of participants, quality of evidence, and statistical significance and clinical importance of the findings for autologous rectus fascial sling (pubovaginal sling) versus mid-urethral sling, by outcome."/>
      </w:tblPr>
      <w:tblGrid>
        <w:gridCol w:w="1871"/>
        <w:gridCol w:w="2270"/>
        <w:gridCol w:w="1472"/>
        <w:gridCol w:w="1871"/>
        <w:gridCol w:w="1871"/>
      </w:tblGrid>
      <w:tr w:rsidR="00753A8D" w14:paraId="62FFC962" w14:textId="77777777" w:rsidTr="00770C93">
        <w:trPr>
          <w:cnfStyle w:val="100000000000" w:firstRow="1" w:lastRow="0" w:firstColumn="0" w:lastColumn="0" w:oddVBand="0" w:evenVBand="0" w:oddHBand="0" w:evenHBand="0" w:firstRowFirstColumn="0" w:firstRowLastColumn="0" w:lastRowFirstColumn="0" w:lastRowLastColumn="0"/>
        </w:trPr>
        <w:tc>
          <w:tcPr>
            <w:tcW w:w="1000" w:type="pct"/>
          </w:tcPr>
          <w:p w14:paraId="3EE523FB" w14:textId="77777777" w:rsidR="00753A8D" w:rsidRPr="005D71A4" w:rsidRDefault="00753A8D" w:rsidP="008158CB">
            <w:pPr>
              <w:pStyle w:val="011TableHeading8pt"/>
              <w:keepNext/>
              <w:rPr>
                <w:sz w:val="18"/>
                <w:szCs w:val="18"/>
              </w:rPr>
            </w:pPr>
            <w:r w:rsidRPr="005D71A4">
              <w:rPr>
                <w:sz w:val="18"/>
                <w:szCs w:val="18"/>
              </w:rPr>
              <w:t>Outcome</w:t>
            </w:r>
          </w:p>
        </w:tc>
        <w:tc>
          <w:tcPr>
            <w:tcW w:w="1213" w:type="pct"/>
          </w:tcPr>
          <w:p w14:paraId="77A2216E" w14:textId="77777777" w:rsidR="00753A8D" w:rsidRPr="005D71A4" w:rsidRDefault="00753A8D" w:rsidP="008158CB">
            <w:pPr>
              <w:pStyle w:val="011TableHeading8pt"/>
              <w:keepNext/>
              <w:rPr>
                <w:sz w:val="18"/>
                <w:szCs w:val="18"/>
              </w:rPr>
            </w:pPr>
            <w:r w:rsidRPr="005D71A4">
              <w:rPr>
                <w:sz w:val="18"/>
                <w:szCs w:val="18"/>
              </w:rPr>
              <w:t>No. of RCTs, No. participants</w:t>
            </w:r>
          </w:p>
        </w:tc>
        <w:tc>
          <w:tcPr>
            <w:tcW w:w="787" w:type="pct"/>
          </w:tcPr>
          <w:p w14:paraId="21E98395" w14:textId="77777777" w:rsidR="00753A8D" w:rsidRPr="005D71A4" w:rsidRDefault="00753A8D" w:rsidP="008158CB">
            <w:pPr>
              <w:pStyle w:val="011TableHeading8pt"/>
              <w:keepNext/>
              <w:rPr>
                <w:sz w:val="18"/>
                <w:szCs w:val="18"/>
              </w:rPr>
            </w:pPr>
            <w:r w:rsidRPr="005D71A4">
              <w:rPr>
                <w:sz w:val="18"/>
                <w:szCs w:val="18"/>
              </w:rPr>
              <w:t>Quality of evidence</w:t>
            </w:r>
          </w:p>
        </w:tc>
        <w:tc>
          <w:tcPr>
            <w:tcW w:w="1000" w:type="pct"/>
          </w:tcPr>
          <w:p w14:paraId="1669A01B" w14:textId="77777777" w:rsidR="00753A8D" w:rsidRPr="005D71A4" w:rsidRDefault="00753A8D" w:rsidP="008158CB">
            <w:pPr>
              <w:pStyle w:val="011TableHeading8pt"/>
              <w:keepNext/>
              <w:rPr>
                <w:sz w:val="18"/>
                <w:szCs w:val="18"/>
              </w:rPr>
            </w:pPr>
            <w:r w:rsidRPr="005D71A4">
              <w:rPr>
                <w:sz w:val="18"/>
                <w:szCs w:val="18"/>
              </w:rPr>
              <w:t>Statistical significance</w:t>
            </w:r>
          </w:p>
        </w:tc>
        <w:tc>
          <w:tcPr>
            <w:tcW w:w="1000" w:type="pct"/>
          </w:tcPr>
          <w:p w14:paraId="6D2FEF64" w14:textId="5F72D1CC" w:rsidR="00753A8D" w:rsidRPr="00083412" w:rsidRDefault="00753A8D" w:rsidP="008158CB">
            <w:pPr>
              <w:pStyle w:val="011TableHeading8pt"/>
              <w:keepNext/>
              <w:rPr>
                <w:sz w:val="18"/>
                <w:szCs w:val="18"/>
                <w:vertAlign w:val="superscript"/>
              </w:rPr>
            </w:pPr>
            <w:r w:rsidRPr="005D71A4">
              <w:rPr>
                <w:sz w:val="18"/>
                <w:szCs w:val="18"/>
              </w:rPr>
              <w:t>Clinical importance</w:t>
            </w:r>
            <w:r w:rsidR="002C7249">
              <w:rPr>
                <w:sz w:val="18"/>
                <w:szCs w:val="18"/>
                <w:vertAlign w:val="superscript"/>
              </w:rPr>
              <w:t>3</w:t>
            </w:r>
          </w:p>
        </w:tc>
      </w:tr>
      <w:tr w:rsidR="00753A8D" w14:paraId="3CDB4282" w14:textId="77777777" w:rsidTr="00770C93">
        <w:tc>
          <w:tcPr>
            <w:tcW w:w="1000" w:type="pct"/>
            <w:tcBorders>
              <w:bottom w:val="nil"/>
            </w:tcBorders>
            <w:shd w:val="clear" w:color="auto" w:fill="E7E6E6" w:themeFill="background2"/>
          </w:tcPr>
          <w:p w14:paraId="09DDB0C3" w14:textId="77777777" w:rsidR="00753A8D" w:rsidRPr="005D71A4" w:rsidRDefault="00753A8D" w:rsidP="008158CB">
            <w:pPr>
              <w:pStyle w:val="051Tabletext228pt"/>
              <w:keepNext/>
              <w:rPr>
                <w:b/>
                <w:bCs/>
                <w:sz w:val="18"/>
                <w:szCs w:val="18"/>
              </w:rPr>
            </w:pPr>
            <w:r w:rsidRPr="005D71A4">
              <w:rPr>
                <w:b/>
                <w:bCs/>
                <w:sz w:val="18"/>
                <w:szCs w:val="18"/>
              </w:rPr>
              <w:t>Change in continence status</w:t>
            </w:r>
          </w:p>
        </w:tc>
        <w:tc>
          <w:tcPr>
            <w:tcW w:w="1213" w:type="pct"/>
            <w:tcBorders>
              <w:bottom w:val="nil"/>
            </w:tcBorders>
            <w:shd w:val="clear" w:color="auto" w:fill="E7E6E6" w:themeFill="background2"/>
          </w:tcPr>
          <w:p w14:paraId="18D2DB7E" w14:textId="77777777" w:rsidR="00753A8D" w:rsidRPr="005D71A4" w:rsidRDefault="00753A8D" w:rsidP="008158CB">
            <w:pPr>
              <w:pStyle w:val="051Tabletext228pt"/>
              <w:keepNext/>
              <w:rPr>
                <w:sz w:val="18"/>
                <w:szCs w:val="18"/>
                <w:highlight w:val="yellow"/>
              </w:rPr>
            </w:pPr>
          </w:p>
        </w:tc>
        <w:tc>
          <w:tcPr>
            <w:tcW w:w="787" w:type="pct"/>
            <w:tcBorders>
              <w:bottom w:val="nil"/>
            </w:tcBorders>
            <w:shd w:val="clear" w:color="auto" w:fill="E7E6E6" w:themeFill="background2"/>
          </w:tcPr>
          <w:p w14:paraId="6C3B4285" w14:textId="77777777" w:rsidR="00753A8D" w:rsidRPr="005D71A4" w:rsidRDefault="00753A8D" w:rsidP="008158CB">
            <w:pPr>
              <w:pStyle w:val="051Tabletext228pt"/>
              <w:keepNext/>
              <w:rPr>
                <w:sz w:val="18"/>
                <w:szCs w:val="18"/>
                <w:highlight w:val="yellow"/>
              </w:rPr>
            </w:pPr>
          </w:p>
        </w:tc>
        <w:tc>
          <w:tcPr>
            <w:tcW w:w="1000" w:type="pct"/>
            <w:tcBorders>
              <w:bottom w:val="nil"/>
            </w:tcBorders>
            <w:shd w:val="clear" w:color="auto" w:fill="E7E6E6" w:themeFill="background2"/>
          </w:tcPr>
          <w:p w14:paraId="3873C8AD" w14:textId="77777777" w:rsidR="00753A8D" w:rsidRPr="005D71A4" w:rsidRDefault="00753A8D" w:rsidP="008158CB">
            <w:pPr>
              <w:pStyle w:val="051Tabletext228pt"/>
              <w:keepNext/>
              <w:rPr>
                <w:sz w:val="18"/>
                <w:szCs w:val="18"/>
                <w:highlight w:val="yellow"/>
              </w:rPr>
            </w:pPr>
          </w:p>
        </w:tc>
        <w:tc>
          <w:tcPr>
            <w:tcW w:w="1000" w:type="pct"/>
            <w:tcBorders>
              <w:bottom w:val="nil"/>
            </w:tcBorders>
            <w:shd w:val="clear" w:color="auto" w:fill="E7E6E6" w:themeFill="background2"/>
          </w:tcPr>
          <w:p w14:paraId="4CE65F1A" w14:textId="77777777" w:rsidR="00753A8D" w:rsidRPr="005D71A4" w:rsidRDefault="00753A8D" w:rsidP="008158CB">
            <w:pPr>
              <w:pStyle w:val="051Tabletext228pt"/>
              <w:keepNext/>
              <w:rPr>
                <w:sz w:val="18"/>
                <w:szCs w:val="18"/>
                <w:highlight w:val="yellow"/>
              </w:rPr>
            </w:pPr>
          </w:p>
        </w:tc>
      </w:tr>
      <w:tr w:rsidR="00753A8D" w14:paraId="504311D6" w14:textId="77777777" w:rsidTr="00770C93">
        <w:tc>
          <w:tcPr>
            <w:tcW w:w="1000" w:type="pct"/>
            <w:tcBorders>
              <w:top w:val="nil"/>
              <w:bottom w:val="nil"/>
            </w:tcBorders>
          </w:tcPr>
          <w:p w14:paraId="42935BCE" w14:textId="77777777" w:rsidR="00753A8D" w:rsidRPr="005D71A4" w:rsidRDefault="00753A8D" w:rsidP="008158CB">
            <w:pPr>
              <w:pStyle w:val="051Tabletext228pt"/>
              <w:keepNext/>
              <w:rPr>
                <w:sz w:val="18"/>
                <w:szCs w:val="18"/>
              </w:rPr>
            </w:pPr>
            <w:r w:rsidRPr="005D71A4">
              <w:rPr>
                <w:sz w:val="18"/>
                <w:szCs w:val="18"/>
              </w:rPr>
              <w:t>subjective cure</w:t>
            </w:r>
          </w:p>
        </w:tc>
        <w:tc>
          <w:tcPr>
            <w:tcW w:w="1213" w:type="pct"/>
            <w:tcBorders>
              <w:top w:val="nil"/>
              <w:bottom w:val="nil"/>
            </w:tcBorders>
            <w:shd w:val="clear" w:color="auto" w:fill="auto"/>
          </w:tcPr>
          <w:p w14:paraId="2A35BADD" w14:textId="77777777" w:rsidR="00753A8D" w:rsidRPr="005D71A4" w:rsidRDefault="00753A8D" w:rsidP="008158CB">
            <w:pPr>
              <w:pStyle w:val="051Tabletext228pt"/>
              <w:keepNext/>
              <w:rPr>
                <w:sz w:val="18"/>
                <w:szCs w:val="18"/>
                <w:vertAlign w:val="superscript"/>
              </w:rPr>
            </w:pPr>
            <w:r w:rsidRPr="005D71A4">
              <w:rPr>
                <w:sz w:val="18"/>
                <w:szCs w:val="18"/>
              </w:rPr>
              <w:t>2, N=197 (S)</w:t>
            </w:r>
            <w:r w:rsidRPr="005D71A4">
              <w:rPr>
                <w:sz w:val="18"/>
                <w:szCs w:val="18"/>
                <w:vertAlign w:val="superscript"/>
              </w:rPr>
              <w:t>1</w:t>
            </w:r>
          </w:p>
        </w:tc>
        <w:tc>
          <w:tcPr>
            <w:tcW w:w="787" w:type="pct"/>
            <w:tcBorders>
              <w:top w:val="nil"/>
              <w:bottom w:val="nil"/>
            </w:tcBorders>
            <w:shd w:val="clear" w:color="auto" w:fill="F4B083" w:themeFill="accent2" w:themeFillTint="99"/>
          </w:tcPr>
          <w:p w14:paraId="6A4E7FA2" w14:textId="77777777" w:rsidR="00753A8D" w:rsidRPr="005D71A4" w:rsidRDefault="00753A8D" w:rsidP="008158CB">
            <w:pPr>
              <w:pStyle w:val="051Tabletext228pt"/>
              <w:keepNext/>
              <w:rPr>
                <w:sz w:val="18"/>
                <w:szCs w:val="18"/>
              </w:rPr>
            </w:pPr>
            <w:r w:rsidRPr="005D71A4">
              <w:rPr>
                <w:sz w:val="18"/>
                <w:szCs w:val="18"/>
              </w:rPr>
              <w:t>Very low</w:t>
            </w:r>
          </w:p>
        </w:tc>
        <w:tc>
          <w:tcPr>
            <w:tcW w:w="1000" w:type="pct"/>
            <w:tcBorders>
              <w:top w:val="nil"/>
              <w:bottom w:val="nil"/>
            </w:tcBorders>
            <w:shd w:val="clear" w:color="auto" w:fill="F1ECF4"/>
          </w:tcPr>
          <w:p w14:paraId="60835167" w14:textId="77777777" w:rsidR="00753A8D" w:rsidRPr="005D71A4" w:rsidRDefault="00753A8D" w:rsidP="008158CB">
            <w:pPr>
              <w:pStyle w:val="051Tabletext228pt"/>
              <w:keepNext/>
              <w:rPr>
                <w:sz w:val="18"/>
                <w:szCs w:val="18"/>
                <w:vertAlign w:val="superscript"/>
              </w:rPr>
            </w:pPr>
            <w:r w:rsidRPr="005D71A4">
              <w:rPr>
                <w:sz w:val="18"/>
                <w:szCs w:val="18"/>
              </w:rPr>
              <w:t>Borderline favours RP-MUS (S)</w:t>
            </w:r>
            <w:r w:rsidRPr="005D71A4">
              <w:rPr>
                <w:sz w:val="18"/>
                <w:szCs w:val="18"/>
                <w:vertAlign w:val="superscript"/>
              </w:rPr>
              <w:t>1</w:t>
            </w:r>
          </w:p>
        </w:tc>
        <w:tc>
          <w:tcPr>
            <w:tcW w:w="1000" w:type="pct"/>
            <w:tcBorders>
              <w:top w:val="nil"/>
              <w:bottom w:val="nil"/>
            </w:tcBorders>
            <w:shd w:val="clear" w:color="auto" w:fill="E5DDEB"/>
          </w:tcPr>
          <w:p w14:paraId="28D6B74F" w14:textId="77777777" w:rsidR="00753A8D" w:rsidRPr="005D71A4" w:rsidRDefault="00753A8D" w:rsidP="008158CB">
            <w:pPr>
              <w:pStyle w:val="051Tabletext228pt"/>
              <w:keepNext/>
              <w:rPr>
                <w:sz w:val="18"/>
                <w:szCs w:val="18"/>
                <w:vertAlign w:val="superscript"/>
              </w:rPr>
            </w:pPr>
            <w:r w:rsidRPr="005D71A4">
              <w:rPr>
                <w:sz w:val="18"/>
                <w:szCs w:val="18"/>
              </w:rPr>
              <w:t>Favours RP-MUS (S)</w:t>
            </w:r>
            <w:r w:rsidRPr="005D71A4">
              <w:rPr>
                <w:sz w:val="18"/>
                <w:szCs w:val="18"/>
                <w:vertAlign w:val="superscript"/>
              </w:rPr>
              <w:t>1</w:t>
            </w:r>
          </w:p>
        </w:tc>
      </w:tr>
      <w:tr w:rsidR="00753A8D" w14:paraId="43A6F3D2" w14:textId="77777777" w:rsidTr="00770C93">
        <w:tc>
          <w:tcPr>
            <w:tcW w:w="1000" w:type="pct"/>
            <w:tcBorders>
              <w:top w:val="nil"/>
              <w:bottom w:val="nil"/>
            </w:tcBorders>
          </w:tcPr>
          <w:p w14:paraId="38102B2A" w14:textId="77777777" w:rsidR="00753A8D" w:rsidRPr="005D71A4" w:rsidRDefault="00753A8D" w:rsidP="00770C93">
            <w:pPr>
              <w:pStyle w:val="051Tabletext228pt"/>
              <w:rPr>
                <w:sz w:val="18"/>
                <w:szCs w:val="18"/>
              </w:rPr>
            </w:pPr>
          </w:p>
        </w:tc>
        <w:tc>
          <w:tcPr>
            <w:tcW w:w="1213" w:type="pct"/>
            <w:tcBorders>
              <w:top w:val="nil"/>
              <w:bottom w:val="nil"/>
            </w:tcBorders>
            <w:shd w:val="clear" w:color="auto" w:fill="auto"/>
          </w:tcPr>
          <w:p w14:paraId="5F54BDBA" w14:textId="77777777" w:rsidR="00753A8D" w:rsidRPr="005D71A4" w:rsidRDefault="00753A8D" w:rsidP="00770C93">
            <w:pPr>
              <w:pStyle w:val="051Tabletext228pt"/>
              <w:rPr>
                <w:sz w:val="18"/>
                <w:szCs w:val="18"/>
              </w:rPr>
            </w:pPr>
            <w:r w:rsidRPr="005D71A4">
              <w:rPr>
                <w:sz w:val="18"/>
                <w:szCs w:val="18"/>
              </w:rPr>
              <w:t>1, N=41 (M)</w:t>
            </w:r>
          </w:p>
        </w:tc>
        <w:tc>
          <w:tcPr>
            <w:tcW w:w="787" w:type="pct"/>
            <w:tcBorders>
              <w:top w:val="nil"/>
              <w:bottom w:val="nil"/>
            </w:tcBorders>
            <w:shd w:val="clear" w:color="auto" w:fill="F4B083" w:themeFill="accent2" w:themeFillTint="99"/>
          </w:tcPr>
          <w:p w14:paraId="50FF6FBF"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nil"/>
            </w:tcBorders>
          </w:tcPr>
          <w:p w14:paraId="726ED0CB" w14:textId="77777777" w:rsidR="00753A8D" w:rsidRPr="005D71A4" w:rsidRDefault="00753A8D" w:rsidP="00770C93">
            <w:pPr>
              <w:pStyle w:val="051Tabletext228pt"/>
              <w:rPr>
                <w:sz w:val="18"/>
                <w:szCs w:val="18"/>
              </w:rPr>
            </w:pPr>
            <w:r w:rsidRPr="005D71A4">
              <w:rPr>
                <w:sz w:val="18"/>
                <w:szCs w:val="18"/>
              </w:rPr>
              <w:t>No difference (M)</w:t>
            </w:r>
          </w:p>
        </w:tc>
        <w:tc>
          <w:tcPr>
            <w:tcW w:w="1000" w:type="pct"/>
            <w:tcBorders>
              <w:top w:val="nil"/>
              <w:bottom w:val="nil"/>
            </w:tcBorders>
          </w:tcPr>
          <w:p w14:paraId="204CF6DB" w14:textId="77777777" w:rsidR="00753A8D" w:rsidRPr="005D71A4" w:rsidRDefault="00753A8D" w:rsidP="00770C93">
            <w:pPr>
              <w:pStyle w:val="051Tabletext228pt"/>
              <w:rPr>
                <w:sz w:val="18"/>
                <w:szCs w:val="18"/>
              </w:rPr>
            </w:pPr>
            <w:r w:rsidRPr="005D71A4">
              <w:rPr>
                <w:sz w:val="18"/>
                <w:szCs w:val="18"/>
              </w:rPr>
              <w:t>No difference (M)</w:t>
            </w:r>
          </w:p>
        </w:tc>
      </w:tr>
      <w:tr w:rsidR="00753A8D" w14:paraId="34B7F6ED" w14:textId="77777777" w:rsidTr="00770C93">
        <w:tc>
          <w:tcPr>
            <w:tcW w:w="1000" w:type="pct"/>
            <w:tcBorders>
              <w:top w:val="nil"/>
              <w:bottom w:val="nil"/>
            </w:tcBorders>
          </w:tcPr>
          <w:p w14:paraId="76E484F8" w14:textId="77777777" w:rsidR="00753A8D" w:rsidRPr="005D71A4" w:rsidRDefault="00753A8D" w:rsidP="00770C93">
            <w:pPr>
              <w:pStyle w:val="051Tabletext228pt"/>
              <w:rPr>
                <w:sz w:val="18"/>
                <w:szCs w:val="18"/>
              </w:rPr>
            </w:pPr>
          </w:p>
        </w:tc>
        <w:tc>
          <w:tcPr>
            <w:tcW w:w="1213" w:type="pct"/>
            <w:tcBorders>
              <w:top w:val="nil"/>
              <w:bottom w:val="nil"/>
            </w:tcBorders>
            <w:shd w:val="clear" w:color="auto" w:fill="auto"/>
          </w:tcPr>
          <w:p w14:paraId="37CE1B73" w14:textId="77777777" w:rsidR="00753A8D" w:rsidRPr="005D71A4" w:rsidRDefault="00753A8D" w:rsidP="00770C93">
            <w:pPr>
              <w:pStyle w:val="051Tabletext228pt"/>
              <w:rPr>
                <w:sz w:val="18"/>
                <w:szCs w:val="18"/>
              </w:rPr>
            </w:pPr>
            <w:r w:rsidRPr="005D71A4">
              <w:rPr>
                <w:sz w:val="18"/>
                <w:szCs w:val="18"/>
              </w:rPr>
              <w:t>1, N=156 (L)</w:t>
            </w:r>
          </w:p>
        </w:tc>
        <w:tc>
          <w:tcPr>
            <w:tcW w:w="787" w:type="pct"/>
            <w:tcBorders>
              <w:top w:val="nil"/>
              <w:bottom w:val="nil"/>
            </w:tcBorders>
            <w:shd w:val="clear" w:color="auto" w:fill="F4B083" w:themeFill="accent2" w:themeFillTint="99"/>
          </w:tcPr>
          <w:p w14:paraId="78FFE044"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nil"/>
            </w:tcBorders>
          </w:tcPr>
          <w:p w14:paraId="0B4B9A93" w14:textId="77777777" w:rsidR="00753A8D" w:rsidRPr="005D71A4" w:rsidRDefault="00753A8D" w:rsidP="00770C93">
            <w:pPr>
              <w:pStyle w:val="051Tabletext228pt"/>
              <w:rPr>
                <w:sz w:val="18"/>
                <w:szCs w:val="18"/>
              </w:rPr>
            </w:pPr>
            <w:r w:rsidRPr="005D71A4">
              <w:rPr>
                <w:sz w:val="18"/>
                <w:szCs w:val="18"/>
              </w:rPr>
              <w:t>No difference (L)</w:t>
            </w:r>
          </w:p>
        </w:tc>
        <w:tc>
          <w:tcPr>
            <w:tcW w:w="1000" w:type="pct"/>
            <w:tcBorders>
              <w:top w:val="nil"/>
              <w:bottom w:val="nil"/>
            </w:tcBorders>
          </w:tcPr>
          <w:p w14:paraId="6E75B544" w14:textId="77777777" w:rsidR="00753A8D" w:rsidRPr="005D71A4" w:rsidRDefault="00753A8D" w:rsidP="00770C93">
            <w:pPr>
              <w:pStyle w:val="051Tabletext228pt"/>
              <w:rPr>
                <w:sz w:val="18"/>
                <w:szCs w:val="18"/>
              </w:rPr>
            </w:pPr>
            <w:r w:rsidRPr="005D71A4">
              <w:rPr>
                <w:sz w:val="18"/>
                <w:szCs w:val="18"/>
              </w:rPr>
              <w:t>No difference (L)</w:t>
            </w:r>
          </w:p>
        </w:tc>
      </w:tr>
      <w:tr w:rsidR="00753A8D" w14:paraId="1B18F811" w14:textId="77777777" w:rsidTr="00770C93">
        <w:tc>
          <w:tcPr>
            <w:tcW w:w="1000" w:type="pct"/>
            <w:tcBorders>
              <w:top w:val="nil"/>
              <w:bottom w:val="nil"/>
            </w:tcBorders>
          </w:tcPr>
          <w:p w14:paraId="1088BA71" w14:textId="77777777" w:rsidR="00753A8D" w:rsidRPr="005D71A4" w:rsidRDefault="00753A8D" w:rsidP="00770C93">
            <w:pPr>
              <w:pStyle w:val="051Tabletext228pt"/>
              <w:rPr>
                <w:sz w:val="18"/>
                <w:szCs w:val="18"/>
                <w:highlight w:val="yellow"/>
              </w:rPr>
            </w:pPr>
            <w:r w:rsidRPr="005D71A4">
              <w:rPr>
                <w:sz w:val="18"/>
                <w:szCs w:val="18"/>
              </w:rPr>
              <w:t>objective cure</w:t>
            </w:r>
          </w:p>
        </w:tc>
        <w:tc>
          <w:tcPr>
            <w:tcW w:w="1213" w:type="pct"/>
            <w:tcBorders>
              <w:top w:val="nil"/>
              <w:bottom w:val="nil"/>
            </w:tcBorders>
            <w:shd w:val="clear" w:color="auto" w:fill="auto"/>
          </w:tcPr>
          <w:p w14:paraId="68653A72" w14:textId="77777777" w:rsidR="00753A8D" w:rsidRPr="005D71A4" w:rsidRDefault="00753A8D" w:rsidP="00770C93">
            <w:pPr>
              <w:pStyle w:val="051Tabletext228pt"/>
              <w:rPr>
                <w:sz w:val="18"/>
                <w:szCs w:val="18"/>
              </w:rPr>
            </w:pPr>
            <w:r w:rsidRPr="005D71A4">
              <w:rPr>
                <w:sz w:val="18"/>
                <w:szCs w:val="18"/>
              </w:rPr>
              <w:t>3, N=192 (S)</w:t>
            </w:r>
          </w:p>
        </w:tc>
        <w:tc>
          <w:tcPr>
            <w:tcW w:w="787" w:type="pct"/>
            <w:tcBorders>
              <w:top w:val="nil"/>
              <w:bottom w:val="nil"/>
            </w:tcBorders>
          </w:tcPr>
          <w:p w14:paraId="0E800680"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6086233B" w14:textId="77777777" w:rsidR="00753A8D" w:rsidRPr="005D71A4" w:rsidRDefault="00753A8D" w:rsidP="00770C93">
            <w:pPr>
              <w:pStyle w:val="051Tabletext228pt"/>
              <w:rPr>
                <w:sz w:val="18"/>
                <w:szCs w:val="18"/>
              </w:rPr>
            </w:pPr>
            <w:r w:rsidRPr="005D71A4">
              <w:rPr>
                <w:sz w:val="18"/>
                <w:szCs w:val="18"/>
              </w:rPr>
              <w:t>No difference (S)</w:t>
            </w:r>
          </w:p>
        </w:tc>
        <w:tc>
          <w:tcPr>
            <w:tcW w:w="1000" w:type="pct"/>
            <w:tcBorders>
              <w:top w:val="nil"/>
              <w:bottom w:val="nil"/>
            </w:tcBorders>
          </w:tcPr>
          <w:p w14:paraId="15027A42"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753A8D" w14:paraId="7748DC95" w14:textId="77777777" w:rsidTr="00770C93">
        <w:tc>
          <w:tcPr>
            <w:tcW w:w="1000" w:type="pct"/>
            <w:tcBorders>
              <w:top w:val="nil"/>
              <w:bottom w:val="single" w:sz="4" w:space="0" w:color="auto"/>
            </w:tcBorders>
          </w:tcPr>
          <w:p w14:paraId="27F15F99" w14:textId="77777777" w:rsidR="00753A8D" w:rsidRPr="005D71A4" w:rsidRDefault="00753A8D" w:rsidP="00770C93">
            <w:pPr>
              <w:pStyle w:val="051Tabletext228pt"/>
              <w:rPr>
                <w:sz w:val="18"/>
                <w:szCs w:val="18"/>
              </w:rPr>
            </w:pPr>
          </w:p>
        </w:tc>
        <w:tc>
          <w:tcPr>
            <w:tcW w:w="1213" w:type="pct"/>
            <w:tcBorders>
              <w:top w:val="nil"/>
              <w:bottom w:val="single" w:sz="4" w:space="0" w:color="auto"/>
            </w:tcBorders>
            <w:shd w:val="clear" w:color="auto" w:fill="auto"/>
          </w:tcPr>
          <w:p w14:paraId="71ED25A1" w14:textId="77777777" w:rsidR="00753A8D" w:rsidRPr="005D71A4" w:rsidRDefault="00753A8D" w:rsidP="00770C93">
            <w:pPr>
              <w:pStyle w:val="051Tabletext228pt"/>
              <w:rPr>
                <w:sz w:val="18"/>
                <w:szCs w:val="18"/>
              </w:rPr>
            </w:pPr>
            <w:r w:rsidRPr="005D71A4">
              <w:rPr>
                <w:sz w:val="18"/>
                <w:szCs w:val="18"/>
              </w:rPr>
              <w:t>3, N=187 (M)</w:t>
            </w:r>
          </w:p>
        </w:tc>
        <w:tc>
          <w:tcPr>
            <w:tcW w:w="787" w:type="pct"/>
            <w:tcBorders>
              <w:top w:val="nil"/>
              <w:bottom w:val="single" w:sz="4" w:space="0" w:color="auto"/>
            </w:tcBorders>
            <w:shd w:val="clear" w:color="auto" w:fill="F4B083" w:themeFill="accent2" w:themeFillTint="99"/>
          </w:tcPr>
          <w:p w14:paraId="31C98268"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1A9C9F6F" w14:textId="77777777" w:rsidR="00753A8D" w:rsidRPr="005D71A4" w:rsidRDefault="00753A8D" w:rsidP="00770C93">
            <w:pPr>
              <w:pStyle w:val="051Tabletext228pt"/>
              <w:rPr>
                <w:sz w:val="18"/>
                <w:szCs w:val="18"/>
              </w:rPr>
            </w:pPr>
            <w:r w:rsidRPr="005D71A4">
              <w:rPr>
                <w:sz w:val="18"/>
                <w:szCs w:val="18"/>
              </w:rPr>
              <w:t>No difference (M)</w:t>
            </w:r>
          </w:p>
        </w:tc>
        <w:tc>
          <w:tcPr>
            <w:tcW w:w="1000" w:type="pct"/>
            <w:tcBorders>
              <w:top w:val="nil"/>
              <w:bottom w:val="single" w:sz="4" w:space="0" w:color="auto"/>
            </w:tcBorders>
          </w:tcPr>
          <w:p w14:paraId="059D1C07" w14:textId="77777777" w:rsidR="00753A8D" w:rsidRPr="005D71A4" w:rsidRDefault="00753A8D" w:rsidP="00770C93">
            <w:pPr>
              <w:pStyle w:val="051Tabletext228pt"/>
              <w:rPr>
                <w:sz w:val="18"/>
                <w:szCs w:val="18"/>
              </w:rPr>
            </w:pPr>
            <w:r w:rsidRPr="005D71A4">
              <w:rPr>
                <w:sz w:val="18"/>
                <w:szCs w:val="18"/>
              </w:rPr>
              <w:t>No difference (M)</w:t>
            </w:r>
          </w:p>
        </w:tc>
      </w:tr>
      <w:tr w:rsidR="00753A8D" w14:paraId="219C84EB" w14:textId="77777777" w:rsidTr="00770C93">
        <w:tc>
          <w:tcPr>
            <w:tcW w:w="1000" w:type="pct"/>
            <w:tcBorders>
              <w:top w:val="single" w:sz="4" w:space="0" w:color="auto"/>
              <w:bottom w:val="nil"/>
            </w:tcBorders>
            <w:shd w:val="clear" w:color="auto" w:fill="D9D9D9" w:themeFill="background1" w:themeFillShade="D9"/>
          </w:tcPr>
          <w:p w14:paraId="41432821" w14:textId="77777777" w:rsidR="00753A8D" w:rsidRPr="005D71A4" w:rsidRDefault="00753A8D" w:rsidP="00770C93">
            <w:pPr>
              <w:pStyle w:val="051Tabletext228pt"/>
              <w:rPr>
                <w:b/>
                <w:bCs/>
                <w:sz w:val="18"/>
                <w:szCs w:val="18"/>
              </w:rPr>
            </w:pPr>
            <w:r w:rsidRPr="005D71A4">
              <w:rPr>
                <w:b/>
                <w:bCs/>
                <w:sz w:val="18"/>
                <w:szCs w:val="18"/>
              </w:rPr>
              <w:t>Patient-reported outcomes</w:t>
            </w:r>
          </w:p>
        </w:tc>
        <w:tc>
          <w:tcPr>
            <w:tcW w:w="1213" w:type="pct"/>
            <w:tcBorders>
              <w:top w:val="single" w:sz="4" w:space="0" w:color="auto"/>
              <w:bottom w:val="nil"/>
            </w:tcBorders>
            <w:shd w:val="clear" w:color="auto" w:fill="D9D9D9" w:themeFill="background1" w:themeFillShade="D9"/>
          </w:tcPr>
          <w:p w14:paraId="48675853" w14:textId="77777777" w:rsidR="00753A8D" w:rsidRPr="005D71A4" w:rsidRDefault="00753A8D" w:rsidP="00770C93">
            <w:pPr>
              <w:pStyle w:val="051Tabletext228pt"/>
              <w:rPr>
                <w:sz w:val="18"/>
                <w:szCs w:val="18"/>
              </w:rPr>
            </w:pPr>
          </w:p>
        </w:tc>
        <w:tc>
          <w:tcPr>
            <w:tcW w:w="787" w:type="pct"/>
            <w:tcBorders>
              <w:top w:val="single" w:sz="4" w:space="0" w:color="auto"/>
              <w:bottom w:val="nil"/>
            </w:tcBorders>
            <w:shd w:val="clear" w:color="auto" w:fill="D9D9D9" w:themeFill="background1" w:themeFillShade="D9"/>
          </w:tcPr>
          <w:p w14:paraId="3FB435EE" w14:textId="77777777" w:rsidR="00753A8D" w:rsidRPr="005D71A4" w:rsidRDefault="00753A8D" w:rsidP="00770C93">
            <w:pPr>
              <w:pStyle w:val="051Tabletext228pt"/>
              <w:rPr>
                <w:sz w:val="18"/>
                <w:szCs w:val="18"/>
              </w:rPr>
            </w:pPr>
          </w:p>
        </w:tc>
        <w:tc>
          <w:tcPr>
            <w:tcW w:w="1000" w:type="pct"/>
            <w:tcBorders>
              <w:top w:val="single" w:sz="4" w:space="0" w:color="auto"/>
              <w:bottom w:val="nil"/>
            </w:tcBorders>
            <w:shd w:val="clear" w:color="auto" w:fill="D9D9D9" w:themeFill="background1" w:themeFillShade="D9"/>
          </w:tcPr>
          <w:p w14:paraId="7F85B3C3" w14:textId="77777777" w:rsidR="00753A8D" w:rsidRPr="005D71A4" w:rsidRDefault="00753A8D" w:rsidP="00770C93">
            <w:pPr>
              <w:pStyle w:val="051Tabletext228pt"/>
              <w:rPr>
                <w:sz w:val="18"/>
                <w:szCs w:val="18"/>
              </w:rPr>
            </w:pPr>
          </w:p>
        </w:tc>
        <w:tc>
          <w:tcPr>
            <w:tcW w:w="1000" w:type="pct"/>
            <w:tcBorders>
              <w:top w:val="single" w:sz="4" w:space="0" w:color="auto"/>
              <w:bottom w:val="nil"/>
            </w:tcBorders>
            <w:shd w:val="clear" w:color="auto" w:fill="D9D9D9" w:themeFill="background1" w:themeFillShade="D9"/>
          </w:tcPr>
          <w:p w14:paraId="474E4AE8" w14:textId="77777777" w:rsidR="00753A8D" w:rsidRPr="005D71A4" w:rsidRDefault="00753A8D" w:rsidP="00770C93">
            <w:pPr>
              <w:pStyle w:val="051Tabletext228pt"/>
              <w:rPr>
                <w:sz w:val="18"/>
                <w:szCs w:val="18"/>
              </w:rPr>
            </w:pPr>
          </w:p>
        </w:tc>
      </w:tr>
      <w:tr w:rsidR="00753A8D" w14:paraId="257FC529" w14:textId="77777777" w:rsidTr="00770C93">
        <w:tc>
          <w:tcPr>
            <w:tcW w:w="1000" w:type="pct"/>
            <w:tcBorders>
              <w:top w:val="nil"/>
              <w:bottom w:val="nil"/>
            </w:tcBorders>
          </w:tcPr>
          <w:p w14:paraId="0CA3EEA9" w14:textId="77777777" w:rsidR="00753A8D" w:rsidRPr="005D71A4" w:rsidRDefault="00753A8D" w:rsidP="00770C93">
            <w:pPr>
              <w:pStyle w:val="051Tabletext228pt"/>
              <w:rPr>
                <w:sz w:val="18"/>
                <w:szCs w:val="18"/>
              </w:rPr>
            </w:pPr>
            <w:r w:rsidRPr="005D71A4">
              <w:rPr>
                <w:sz w:val="18"/>
                <w:szCs w:val="18"/>
              </w:rPr>
              <w:t>patient-satisfaction/patient-reported improvement</w:t>
            </w:r>
          </w:p>
        </w:tc>
        <w:tc>
          <w:tcPr>
            <w:tcW w:w="1213" w:type="pct"/>
            <w:tcBorders>
              <w:top w:val="nil"/>
              <w:bottom w:val="nil"/>
            </w:tcBorders>
            <w:shd w:val="clear" w:color="auto" w:fill="auto"/>
          </w:tcPr>
          <w:p w14:paraId="08078138" w14:textId="77777777" w:rsidR="00753A8D" w:rsidRPr="005D71A4" w:rsidRDefault="00753A8D" w:rsidP="00770C93">
            <w:pPr>
              <w:pStyle w:val="051Tabletext228pt"/>
              <w:rPr>
                <w:sz w:val="18"/>
                <w:szCs w:val="18"/>
              </w:rPr>
            </w:pPr>
            <w:r w:rsidRPr="005D71A4">
              <w:rPr>
                <w:sz w:val="18"/>
                <w:szCs w:val="18"/>
              </w:rPr>
              <w:t>2, N=65 (M)</w:t>
            </w:r>
          </w:p>
        </w:tc>
        <w:tc>
          <w:tcPr>
            <w:tcW w:w="787" w:type="pct"/>
            <w:tcBorders>
              <w:top w:val="nil"/>
              <w:bottom w:val="nil"/>
            </w:tcBorders>
            <w:shd w:val="clear" w:color="auto" w:fill="auto"/>
          </w:tcPr>
          <w:p w14:paraId="22F5012F"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2C3B38A0" w14:textId="77777777" w:rsidR="00753A8D" w:rsidRPr="005D71A4" w:rsidRDefault="00753A8D" w:rsidP="00770C93">
            <w:pPr>
              <w:pStyle w:val="051Tabletext228pt"/>
              <w:rPr>
                <w:sz w:val="18"/>
                <w:szCs w:val="18"/>
              </w:rPr>
            </w:pPr>
            <w:r w:rsidRPr="005D71A4">
              <w:rPr>
                <w:sz w:val="18"/>
                <w:szCs w:val="18"/>
              </w:rPr>
              <w:t>No difference (M)</w:t>
            </w:r>
          </w:p>
        </w:tc>
        <w:tc>
          <w:tcPr>
            <w:tcW w:w="1000" w:type="pct"/>
            <w:tcBorders>
              <w:top w:val="nil"/>
              <w:bottom w:val="nil"/>
            </w:tcBorders>
          </w:tcPr>
          <w:p w14:paraId="76F80FB7"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753A8D" w14:paraId="7C6568C6" w14:textId="77777777" w:rsidTr="00770C93">
        <w:tc>
          <w:tcPr>
            <w:tcW w:w="1000" w:type="pct"/>
            <w:tcBorders>
              <w:bottom w:val="nil"/>
            </w:tcBorders>
            <w:shd w:val="clear" w:color="auto" w:fill="E7E6E6" w:themeFill="background2"/>
          </w:tcPr>
          <w:p w14:paraId="31BB7C1B" w14:textId="77777777" w:rsidR="00753A8D" w:rsidRPr="005D71A4" w:rsidRDefault="00753A8D" w:rsidP="00770C93">
            <w:pPr>
              <w:pStyle w:val="051Tabletext228pt"/>
              <w:rPr>
                <w:b/>
                <w:bCs/>
                <w:sz w:val="18"/>
                <w:szCs w:val="18"/>
              </w:rPr>
            </w:pPr>
            <w:r w:rsidRPr="005D71A4">
              <w:rPr>
                <w:b/>
                <w:bCs/>
                <w:sz w:val="18"/>
                <w:szCs w:val="18"/>
              </w:rPr>
              <w:t>Adverse events</w:t>
            </w:r>
          </w:p>
        </w:tc>
        <w:tc>
          <w:tcPr>
            <w:tcW w:w="1213" w:type="pct"/>
            <w:tcBorders>
              <w:bottom w:val="nil"/>
            </w:tcBorders>
            <w:shd w:val="clear" w:color="auto" w:fill="E7E6E6" w:themeFill="background2"/>
          </w:tcPr>
          <w:p w14:paraId="0094D2DB" w14:textId="77777777" w:rsidR="00753A8D" w:rsidRPr="005D71A4" w:rsidRDefault="00753A8D" w:rsidP="00770C93">
            <w:pPr>
              <w:pStyle w:val="051Tabletext228pt"/>
              <w:rPr>
                <w:color w:val="D9D9D9" w:themeColor="background1" w:themeShade="D9"/>
                <w:sz w:val="18"/>
                <w:szCs w:val="18"/>
              </w:rPr>
            </w:pPr>
          </w:p>
        </w:tc>
        <w:tc>
          <w:tcPr>
            <w:tcW w:w="787" w:type="pct"/>
            <w:tcBorders>
              <w:bottom w:val="nil"/>
            </w:tcBorders>
            <w:shd w:val="clear" w:color="auto" w:fill="E7E6E6" w:themeFill="background2"/>
          </w:tcPr>
          <w:p w14:paraId="6869D421" w14:textId="77777777" w:rsidR="00753A8D" w:rsidRPr="005D71A4" w:rsidRDefault="00753A8D" w:rsidP="00770C93">
            <w:pPr>
              <w:pStyle w:val="051Tabletext228pt"/>
              <w:rPr>
                <w:color w:val="D9D9D9" w:themeColor="background1" w:themeShade="D9"/>
                <w:sz w:val="18"/>
                <w:szCs w:val="18"/>
              </w:rPr>
            </w:pPr>
          </w:p>
        </w:tc>
        <w:tc>
          <w:tcPr>
            <w:tcW w:w="1000" w:type="pct"/>
            <w:tcBorders>
              <w:bottom w:val="nil"/>
            </w:tcBorders>
            <w:shd w:val="clear" w:color="auto" w:fill="E7E6E6" w:themeFill="background2"/>
          </w:tcPr>
          <w:p w14:paraId="3EFBD526" w14:textId="77777777" w:rsidR="00753A8D" w:rsidRPr="005D71A4" w:rsidRDefault="00753A8D" w:rsidP="00770C93">
            <w:pPr>
              <w:pStyle w:val="051Tabletext228pt"/>
              <w:rPr>
                <w:color w:val="D9D9D9" w:themeColor="background1" w:themeShade="D9"/>
                <w:sz w:val="18"/>
                <w:szCs w:val="18"/>
              </w:rPr>
            </w:pPr>
          </w:p>
        </w:tc>
        <w:tc>
          <w:tcPr>
            <w:tcW w:w="1000" w:type="pct"/>
            <w:tcBorders>
              <w:bottom w:val="nil"/>
            </w:tcBorders>
            <w:shd w:val="clear" w:color="auto" w:fill="E7E6E6" w:themeFill="background2"/>
          </w:tcPr>
          <w:p w14:paraId="5E2CEBF8" w14:textId="77777777" w:rsidR="00753A8D" w:rsidRPr="005D71A4" w:rsidRDefault="00753A8D" w:rsidP="00770C93">
            <w:pPr>
              <w:pStyle w:val="051Tabletext228pt"/>
              <w:rPr>
                <w:color w:val="D9D9D9" w:themeColor="background1" w:themeShade="D9"/>
                <w:sz w:val="18"/>
                <w:szCs w:val="18"/>
              </w:rPr>
            </w:pPr>
          </w:p>
        </w:tc>
      </w:tr>
      <w:tr w:rsidR="00753A8D" w14:paraId="6926416A" w14:textId="77777777" w:rsidTr="00770C93">
        <w:tc>
          <w:tcPr>
            <w:tcW w:w="1000" w:type="pct"/>
            <w:tcBorders>
              <w:top w:val="nil"/>
              <w:bottom w:val="nil"/>
            </w:tcBorders>
          </w:tcPr>
          <w:p w14:paraId="59717268" w14:textId="77777777" w:rsidR="00753A8D" w:rsidRPr="005D71A4" w:rsidRDefault="00753A8D" w:rsidP="00770C93">
            <w:pPr>
              <w:pStyle w:val="051Tabletext228pt"/>
              <w:rPr>
                <w:b/>
                <w:bCs/>
                <w:sz w:val="18"/>
                <w:szCs w:val="18"/>
                <w:highlight w:val="yellow"/>
              </w:rPr>
            </w:pPr>
            <w:r w:rsidRPr="005D71A4">
              <w:rPr>
                <w:sz w:val="18"/>
                <w:szCs w:val="18"/>
              </w:rPr>
              <w:t>any</w:t>
            </w:r>
          </w:p>
        </w:tc>
        <w:tc>
          <w:tcPr>
            <w:tcW w:w="1213" w:type="pct"/>
            <w:tcBorders>
              <w:top w:val="nil"/>
              <w:bottom w:val="nil"/>
            </w:tcBorders>
            <w:shd w:val="clear" w:color="auto" w:fill="auto"/>
          </w:tcPr>
          <w:p w14:paraId="703EF0FF" w14:textId="77777777" w:rsidR="00753A8D" w:rsidRPr="005D71A4" w:rsidRDefault="00753A8D" w:rsidP="00770C93">
            <w:pPr>
              <w:pStyle w:val="051Tabletext228pt"/>
              <w:rPr>
                <w:sz w:val="18"/>
                <w:szCs w:val="18"/>
              </w:rPr>
            </w:pPr>
            <w:r w:rsidRPr="005D71A4">
              <w:rPr>
                <w:sz w:val="18"/>
                <w:szCs w:val="18"/>
              </w:rPr>
              <w:t>3, N=192 (S)</w:t>
            </w:r>
          </w:p>
        </w:tc>
        <w:tc>
          <w:tcPr>
            <w:tcW w:w="787" w:type="pct"/>
            <w:tcBorders>
              <w:top w:val="nil"/>
              <w:bottom w:val="nil"/>
            </w:tcBorders>
            <w:shd w:val="clear" w:color="auto" w:fill="auto"/>
          </w:tcPr>
          <w:p w14:paraId="39B05216"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3C49DBC0" w14:textId="77777777" w:rsidR="00753A8D" w:rsidRPr="005D71A4" w:rsidRDefault="00753A8D" w:rsidP="00770C93">
            <w:pPr>
              <w:pStyle w:val="051Tabletext228pt"/>
              <w:rPr>
                <w:sz w:val="18"/>
                <w:szCs w:val="18"/>
              </w:rPr>
            </w:pPr>
            <w:r w:rsidRPr="005D71A4">
              <w:rPr>
                <w:sz w:val="18"/>
                <w:szCs w:val="18"/>
              </w:rPr>
              <w:t>No difference (S)</w:t>
            </w:r>
          </w:p>
        </w:tc>
        <w:tc>
          <w:tcPr>
            <w:tcW w:w="1000" w:type="pct"/>
            <w:tcBorders>
              <w:top w:val="nil"/>
              <w:bottom w:val="nil"/>
            </w:tcBorders>
          </w:tcPr>
          <w:p w14:paraId="788032B5"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753A8D" w14:paraId="2E190279" w14:textId="77777777" w:rsidTr="00770C93">
        <w:tc>
          <w:tcPr>
            <w:tcW w:w="1000" w:type="pct"/>
            <w:tcBorders>
              <w:top w:val="nil"/>
              <w:bottom w:val="single" w:sz="4" w:space="0" w:color="auto"/>
            </w:tcBorders>
          </w:tcPr>
          <w:p w14:paraId="7BA85C7E" w14:textId="77777777" w:rsidR="00753A8D" w:rsidRPr="005D71A4" w:rsidRDefault="00753A8D" w:rsidP="00770C93">
            <w:pPr>
              <w:pStyle w:val="051Tabletext228pt"/>
              <w:rPr>
                <w:sz w:val="18"/>
                <w:szCs w:val="18"/>
                <w:highlight w:val="yellow"/>
              </w:rPr>
            </w:pPr>
          </w:p>
        </w:tc>
        <w:tc>
          <w:tcPr>
            <w:tcW w:w="1213" w:type="pct"/>
            <w:tcBorders>
              <w:top w:val="nil"/>
              <w:bottom w:val="single" w:sz="4" w:space="0" w:color="auto"/>
            </w:tcBorders>
            <w:shd w:val="clear" w:color="auto" w:fill="auto"/>
          </w:tcPr>
          <w:p w14:paraId="04F13793" w14:textId="77777777" w:rsidR="00753A8D" w:rsidRPr="005D71A4" w:rsidRDefault="00753A8D" w:rsidP="00770C93">
            <w:pPr>
              <w:pStyle w:val="051Tabletext228pt"/>
              <w:rPr>
                <w:sz w:val="18"/>
                <w:szCs w:val="18"/>
              </w:rPr>
            </w:pPr>
            <w:r w:rsidRPr="005D71A4">
              <w:rPr>
                <w:sz w:val="18"/>
                <w:szCs w:val="18"/>
              </w:rPr>
              <w:t>3, N=187 (M)</w:t>
            </w:r>
          </w:p>
        </w:tc>
        <w:tc>
          <w:tcPr>
            <w:tcW w:w="787" w:type="pct"/>
            <w:tcBorders>
              <w:top w:val="nil"/>
              <w:bottom w:val="single" w:sz="4" w:space="0" w:color="auto"/>
            </w:tcBorders>
            <w:shd w:val="clear" w:color="auto" w:fill="auto"/>
          </w:tcPr>
          <w:p w14:paraId="34EDC829" w14:textId="77777777" w:rsidR="00753A8D" w:rsidRPr="005D71A4" w:rsidRDefault="00753A8D" w:rsidP="00770C93">
            <w:pPr>
              <w:pStyle w:val="051Tabletext228pt"/>
              <w:rPr>
                <w:sz w:val="18"/>
                <w:szCs w:val="18"/>
                <w:vertAlign w:val="superscript"/>
              </w:rPr>
            </w:pPr>
            <w:r w:rsidRPr="005D71A4">
              <w:rPr>
                <w:sz w:val="18"/>
                <w:szCs w:val="18"/>
              </w:rPr>
              <w:t>NR</w:t>
            </w:r>
          </w:p>
        </w:tc>
        <w:tc>
          <w:tcPr>
            <w:tcW w:w="1000" w:type="pct"/>
            <w:tcBorders>
              <w:top w:val="nil"/>
              <w:bottom w:val="single" w:sz="4" w:space="0" w:color="auto"/>
            </w:tcBorders>
          </w:tcPr>
          <w:p w14:paraId="2124AADB" w14:textId="77777777" w:rsidR="00753A8D" w:rsidRPr="005D71A4" w:rsidRDefault="00753A8D" w:rsidP="00770C93">
            <w:pPr>
              <w:pStyle w:val="051Tabletext228pt"/>
              <w:rPr>
                <w:sz w:val="18"/>
                <w:szCs w:val="18"/>
              </w:rPr>
            </w:pPr>
            <w:r w:rsidRPr="005D71A4">
              <w:rPr>
                <w:sz w:val="18"/>
                <w:szCs w:val="18"/>
              </w:rPr>
              <w:t>No difference (M)</w:t>
            </w:r>
          </w:p>
        </w:tc>
        <w:tc>
          <w:tcPr>
            <w:tcW w:w="1000" w:type="pct"/>
            <w:tcBorders>
              <w:top w:val="nil"/>
              <w:bottom w:val="single" w:sz="4" w:space="0" w:color="auto"/>
            </w:tcBorders>
          </w:tcPr>
          <w:p w14:paraId="16BB64DC" w14:textId="77777777" w:rsidR="00753A8D" w:rsidRPr="005D71A4" w:rsidRDefault="00753A8D" w:rsidP="00770C93">
            <w:pPr>
              <w:pStyle w:val="051Tabletext228pt"/>
              <w:rPr>
                <w:sz w:val="18"/>
                <w:szCs w:val="18"/>
                <w:vertAlign w:val="superscript"/>
              </w:rPr>
            </w:pPr>
            <w:r w:rsidRPr="005D71A4">
              <w:rPr>
                <w:sz w:val="18"/>
                <w:szCs w:val="18"/>
              </w:rPr>
              <w:t>NR</w:t>
            </w:r>
          </w:p>
        </w:tc>
      </w:tr>
      <w:tr w:rsidR="00753A8D" w14:paraId="2A179F8A" w14:textId="77777777" w:rsidTr="00770C93">
        <w:tc>
          <w:tcPr>
            <w:tcW w:w="1000" w:type="pct"/>
            <w:tcBorders>
              <w:bottom w:val="nil"/>
            </w:tcBorders>
            <w:shd w:val="clear" w:color="auto" w:fill="E7E6E6" w:themeFill="background2"/>
          </w:tcPr>
          <w:p w14:paraId="1080986D" w14:textId="77777777" w:rsidR="00753A8D" w:rsidRPr="005D71A4" w:rsidRDefault="00753A8D" w:rsidP="00770C93">
            <w:pPr>
              <w:pStyle w:val="051Tabletext228pt"/>
              <w:rPr>
                <w:b/>
                <w:bCs/>
                <w:sz w:val="18"/>
                <w:szCs w:val="18"/>
                <w:highlight w:val="yellow"/>
              </w:rPr>
            </w:pPr>
            <w:r w:rsidRPr="005D71A4">
              <w:rPr>
                <w:b/>
                <w:bCs/>
                <w:sz w:val="18"/>
                <w:szCs w:val="18"/>
              </w:rPr>
              <w:t>Complications</w:t>
            </w:r>
          </w:p>
        </w:tc>
        <w:tc>
          <w:tcPr>
            <w:tcW w:w="1213" w:type="pct"/>
            <w:tcBorders>
              <w:bottom w:val="nil"/>
            </w:tcBorders>
            <w:shd w:val="clear" w:color="auto" w:fill="E7E6E6" w:themeFill="background2"/>
          </w:tcPr>
          <w:p w14:paraId="3064577A" w14:textId="77777777" w:rsidR="00753A8D" w:rsidRPr="005D71A4" w:rsidRDefault="00753A8D" w:rsidP="00770C93">
            <w:pPr>
              <w:pStyle w:val="051Tabletext228pt"/>
              <w:rPr>
                <w:sz w:val="18"/>
                <w:szCs w:val="18"/>
              </w:rPr>
            </w:pPr>
          </w:p>
        </w:tc>
        <w:tc>
          <w:tcPr>
            <w:tcW w:w="787" w:type="pct"/>
            <w:tcBorders>
              <w:bottom w:val="nil"/>
            </w:tcBorders>
            <w:shd w:val="clear" w:color="auto" w:fill="E7E6E6" w:themeFill="background2"/>
          </w:tcPr>
          <w:p w14:paraId="147CC0E9" w14:textId="77777777" w:rsidR="00753A8D" w:rsidRPr="005D71A4" w:rsidRDefault="00753A8D" w:rsidP="00770C93">
            <w:pPr>
              <w:pStyle w:val="051Tabletext228pt"/>
              <w:rPr>
                <w:sz w:val="18"/>
                <w:szCs w:val="18"/>
              </w:rPr>
            </w:pPr>
          </w:p>
        </w:tc>
        <w:tc>
          <w:tcPr>
            <w:tcW w:w="1000" w:type="pct"/>
            <w:tcBorders>
              <w:bottom w:val="nil"/>
            </w:tcBorders>
            <w:shd w:val="clear" w:color="auto" w:fill="E7E6E6" w:themeFill="background2"/>
          </w:tcPr>
          <w:p w14:paraId="1101591A" w14:textId="77777777" w:rsidR="00753A8D" w:rsidRPr="005D71A4" w:rsidRDefault="00753A8D" w:rsidP="00770C93">
            <w:pPr>
              <w:pStyle w:val="051Tabletext228pt"/>
              <w:rPr>
                <w:sz w:val="18"/>
                <w:szCs w:val="18"/>
              </w:rPr>
            </w:pPr>
          </w:p>
        </w:tc>
        <w:tc>
          <w:tcPr>
            <w:tcW w:w="1000" w:type="pct"/>
            <w:tcBorders>
              <w:bottom w:val="nil"/>
            </w:tcBorders>
            <w:shd w:val="clear" w:color="auto" w:fill="E7E6E6" w:themeFill="background2"/>
          </w:tcPr>
          <w:p w14:paraId="7BC40598" w14:textId="77777777" w:rsidR="00753A8D" w:rsidRPr="005D71A4" w:rsidRDefault="00753A8D" w:rsidP="00770C93">
            <w:pPr>
              <w:pStyle w:val="051Tabletext228pt"/>
              <w:rPr>
                <w:sz w:val="18"/>
                <w:szCs w:val="18"/>
              </w:rPr>
            </w:pPr>
          </w:p>
        </w:tc>
      </w:tr>
      <w:tr w:rsidR="00753A8D" w14:paraId="71947F47" w14:textId="77777777" w:rsidTr="00770C93">
        <w:tc>
          <w:tcPr>
            <w:tcW w:w="1000" w:type="pct"/>
            <w:tcBorders>
              <w:top w:val="nil"/>
              <w:bottom w:val="nil"/>
            </w:tcBorders>
          </w:tcPr>
          <w:p w14:paraId="67504CC5" w14:textId="77777777" w:rsidR="00753A8D" w:rsidRPr="005D71A4" w:rsidRDefault="00753A8D" w:rsidP="00770C93">
            <w:pPr>
              <w:pStyle w:val="051Tabletext228pt"/>
              <w:rPr>
                <w:sz w:val="18"/>
                <w:szCs w:val="18"/>
              </w:rPr>
            </w:pPr>
            <w:r w:rsidRPr="005D71A4">
              <w:rPr>
                <w:sz w:val="18"/>
                <w:szCs w:val="18"/>
              </w:rPr>
              <w:t>pain</w:t>
            </w:r>
          </w:p>
        </w:tc>
        <w:tc>
          <w:tcPr>
            <w:tcW w:w="1213" w:type="pct"/>
            <w:tcBorders>
              <w:top w:val="nil"/>
              <w:bottom w:val="nil"/>
            </w:tcBorders>
            <w:shd w:val="clear" w:color="auto" w:fill="auto"/>
          </w:tcPr>
          <w:p w14:paraId="0E9E0107" w14:textId="77777777" w:rsidR="00753A8D" w:rsidRPr="005D71A4" w:rsidRDefault="00753A8D" w:rsidP="00770C93">
            <w:pPr>
              <w:pStyle w:val="051Tabletext228pt"/>
              <w:rPr>
                <w:sz w:val="18"/>
                <w:szCs w:val="18"/>
              </w:rPr>
            </w:pPr>
            <w:r w:rsidRPr="005D71A4">
              <w:rPr>
                <w:sz w:val="18"/>
                <w:szCs w:val="18"/>
              </w:rPr>
              <w:t>2, N=133 (S)</w:t>
            </w:r>
          </w:p>
        </w:tc>
        <w:tc>
          <w:tcPr>
            <w:tcW w:w="787" w:type="pct"/>
            <w:tcBorders>
              <w:top w:val="nil"/>
              <w:bottom w:val="nil"/>
            </w:tcBorders>
          </w:tcPr>
          <w:p w14:paraId="5E9A2CC1"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5BB3BF54" w14:textId="77777777" w:rsidR="00753A8D" w:rsidRPr="005D71A4" w:rsidRDefault="00753A8D" w:rsidP="00770C93">
            <w:pPr>
              <w:pStyle w:val="051Tabletext228pt"/>
              <w:rPr>
                <w:sz w:val="18"/>
                <w:szCs w:val="18"/>
              </w:rPr>
            </w:pPr>
            <w:r w:rsidRPr="005D71A4">
              <w:rPr>
                <w:sz w:val="18"/>
                <w:szCs w:val="18"/>
              </w:rPr>
              <w:t>No difference (S)</w:t>
            </w:r>
          </w:p>
        </w:tc>
        <w:tc>
          <w:tcPr>
            <w:tcW w:w="1000" w:type="pct"/>
            <w:tcBorders>
              <w:top w:val="nil"/>
              <w:bottom w:val="nil"/>
            </w:tcBorders>
          </w:tcPr>
          <w:p w14:paraId="19BFE3D7"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753A8D" w14:paraId="73384781" w14:textId="77777777" w:rsidTr="00770C93">
        <w:tc>
          <w:tcPr>
            <w:tcW w:w="1000" w:type="pct"/>
            <w:tcBorders>
              <w:top w:val="nil"/>
              <w:bottom w:val="nil"/>
            </w:tcBorders>
          </w:tcPr>
          <w:p w14:paraId="68E3AE44" w14:textId="77777777" w:rsidR="00753A8D" w:rsidRPr="005D71A4" w:rsidRDefault="00753A8D" w:rsidP="00770C93">
            <w:pPr>
              <w:pStyle w:val="051Tabletext228pt"/>
              <w:rPr>
                <w:sz w:val="18"/>
                <w:szCs w:val="18"/>
              </w:rPr>
            </w:pPr>
          </w:p>
        </w:tc>
        <w:tc>
          <w:tcPr>
            <w:tcW w:w="1213" w:type="pct"/>
            <w:tcBorders>
              <w:top w:val="nil"/>
              <w:bottom w:val="nil"/>
            </w:tcBorders>
            <w:shd w:val="clear" w:color="auto" w:fill="auto"/>
          </w:tcPr>
          <w:p w14:paraId="01A16111" w14:textId="77777777" w:rsidR="00753A8D" w:rsidRPr="005D71A4" w:rsidRDefault="00753A8D" w:rsidP="00770C93">
            <w:pPr>
              <w:pStyle w:val="051Tabletext228pt"/>
              <w:rPr>
                <w:sz w:val="18"/>
                <w:szCs w:val="18"/>
                <w:vertAlign w:val="superscript"/>
              </w:rPr>
            </w:pPr>
            <w:r w:rsidRPr="005D71A4">
              <w:rPr>
                <w:sz w:val="18"/>
                <w:szCs w:val="18"/>
              </w:rPr>
              <w:t>1, N=53 (S)</w:t>
            </w:r>
            <w:r w:rsidRPr="005D71A4">
              <w:rPr>
                <w:sz w:val="18"/>
                <w:szCs w:val="18"/>
                <w:vertAlign w:val="superscript"/>
              </w:rPr>
              <w:t>1</w:t>
            </w:r>
          </w:p>
        </w:tc>
        <w:tc>
          <w:tcPr>
            <w:tcW w:w="787" w:type="pct"/>
            <w:tcBorders>
              <w:top w:val="nil"/>
              <w:bottom w:val="nil"/>
            </w:tcBorders>
            <w:shd w:val="clear" w:color="auto" w:fill="F4B083" w:themeFill="accent2" w:themeFillTint="99"/>
          </w:tcPr>
          <w:p w14:paraId="27156E0B"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nil"/>
            </w:tcBorders>
          </w:tcPr>
          <w:p w14:paraId="7C2B5D8E" w14:textId="77777777" w:rsidR="00753A8D" w:rsidRPr="005D71A4" w:rsidRDefault="00753A8D" w:rsidP="00770C93">
            <w:pPr>
              <w:pStyle w:val="051Tabletext228pt"/>
              <w:rPr>
                <w:sz w:val="18"/>
                <w:szCs w:val="18"/>
                <w:vertAlign w:val="superscript"/>
              </w:rPr>
            </w:pPr>
            <w:r w:rsidRPr="005D71A4">
              <w:rPr>
                <w:sz w:val="18"/>
                <w:szCs w:val="18"/>
              </w:rPr>
              <w:t>No difference (S)</w:t>
            </w:r>
            <w:r w:rsidRPr="005D71A4">
              <w:rPr>
                <w:sz w:val="18"/>
                <w:szCs w:val="18"/>
                <w:vertAlign w:val="superscript"/>
              </w:rPr>
              <w:t>1</w:t>
            </w:r>
          </w:p>
        </w:tc>
        <w:tc>
          <w:tcPr>
            <w:tcW w:w="1000" w:type="pct"/>
            <w:tcBorders>
              <w:top w:val="nil"/>
              <w:bottom w:val="nil"/>
            </w:tcBorders>
            <w:shd w:val="clear" w:color="auto" w:fill="F1ECF4"/>
          </w:tcPr>
          <w:p w14:paraId="26B119D2" w14:textId="77777777" w:rsidR="00753A8D" w:rsidRPr="005D71A4" w:rsidRDefault="00753A8D" w:rsidP="00770C93">
            <w:pPr>
              <w:pStyle w:val="051Tabletext228pt"/>
              <w:rPr>
                <w:sz w:val="18"/>
                <w:szCs w:val="18"/>
              </w:rPr>
            </w:pPr>
            <w:r w:rsidRPr="005D71A4">
              <w:rPr>
                <w:sz w:val="18"/>
                <w:szCs w:val="18"/>
              </w:rPr>
              <w:t>May favour RP-MUS</w:t>
            </w:r>
          </w:p>
        </w:tc>
      </w:tr>
      <w:tr w:rsidR="00753A8D" w14:paraId="3C10294A" w14:textId="77777777" w:rsidTr="00770C93">
        <w:tc>
          <w:tcPr>
            <w:tcW w:w="1000" w:type="pct"/>
            <w:tcBorders>
              <w:top w:val="nil"/>
              <w:bottom w:val="nil"/>
            </w:tcBorders>
          </w:tcPr>
          <w:p w14:paraId="511C253C" w14:textId="77777777" w:rsidR="00753A8D" w:rsidRPr="005D71A4" w:rsidRDefault="00753A8D" w:rsidP="00770C93">
            <w:pPr>
              <w:pStyle w:val="051Tabletext228pt"/>
              <w:rPr>
                <w:sz w:val="18"/>
                <w:szCs w:val="18"/>
              </w:rPr>
            </w:pPr>
          </w:p>
        </w:tc>
        <w:tc>
          <w:tcPr>
            <w:tcW w:w="1213" w:type="pct"/>
            <w:tcBorders>
              <w:top w:val="nil"/>
              <w:bottom w:val="nil"/>
            </w:tcBorders>
            <w:shd w:val="clear" w:color="auto" w:fill="auto"/>
          </w:tcPr>
          <w:p w14:paraId="3FCD54ED" w14:textId="77777777" w:rsidR="00753A8D" w:rsidRPr="005D71A4" w:rsidRDefault="00753A8D" w:rsidP="00770C93">
            <w:pPr>
              <w:pStyle w:val="051Tabletext228pt"/>
              <w:rPr>
                <w:sz w:val="18"/>
                <w:szCs w:val="18"/>
              </w:rPr>
            </w:pPr>
            <w:r w:rsidRPr="005D71A4">
              <w:rPr>
                <w:sz w:val="18"/>
                <w:szCs w:val="18"/>
              </w:rPr>
              <w:t>2, N=193 (L)</w:t>
            </w:r>
          </w:p>
        </w:tc>
        <w:tc>
          <w:tcPr>
            <w:tcW w:w="787" w:type="pct"/>
            <w:tcBorders>
              <w:top w:val="nil"/>
              <w:bottom w:val="nil"/>
            </w:tcBorders>
            <w:shd w:val="clear" w:color="auto" w:fill="F4B083" w:themeFill="accent2" w:themeFillTint="99"/>
          </w:tcPr>
          <w:p w14:paraId="433FD1AD"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nil"/>
            </w:tcBorders>
          </w:tcPr>
          <w:p w14:paraId="025BC1ED" w14:textId="77777777" w:rsidR="00753A8D" w:rsidRPr="005D71A4" w:rsidRDefault="00753A8D" w:rsidP="00770C93">
            <w:pPr>
              <w:pStyle w:val="051Tabletext228pt"/>
              <w:rPr>
                <w:sz w:val="18"/>
                <w:szCs w:val="18"/>
              </w:rPr>
            </w:pPr>
            <w:r w:rsidRPr="005D71A4">
              <w:rPr>
                <w:sz w:val="18"/>
                <w:szCs w:val="18"/>
              </w:rPr>
              <w:t>No difference (L)</w:t>
            </w:r>
          </w:p>
        </w:tc>
        <w:tc>
          <w:tcPr>
            <w:tcW w:w="1000" w:type="pct"/>
            <w:tcBorders>
              <w:top w:val="nil"/>
              <w:bottom w:val="nil"/>
            </w:tcBorders>
          </w:tcPr>
          <w:p w14:paraId="152B600A" w14:textId="77777777" w:rsidR="00753A8D" w:rsidRPr="005D71A4" w:rsidRDefault="00753A8D" w:rsidP="00770C93">
            <w:pPr>
              <w:pStyle w:val="051Tabletext228pt"/>
              <w:rPr>
                <w:sz w:val="18"/>
                <w:szCs w:val="18"/>
              </w:rPr>
            </w:pPr>
            <w:r w:rsidRPr="005D71A4">
              <w:rPr>
                <w:sz w:val="18"/>
                <w:szCs w:val="18"/>
              </w:rPr>
              <w:t>No difference (L)</w:t>
            </w:r>
          </w:p>
        </w:tc>
      </w:tr>
      <w:tr w:rsidR="00753A8D" w14:paraId="79180FF9" w14:textId="77777777" w:rsidTr="00770C93">
        <w:tc>
          <w:tcPr>
            <w:tcW w:w="1000" w:type="pct"/>
            <w:tcBorders>
              <w:top w:val="nil"/>
              <w:bottom w:val="nil"/>
            </w:tcBorders>
          </w:tcPr>
          <w:p w14:paraId="530CDB91" w14:textId="77777777" w:rsidR="00753A8D" w:rsidRPr="005D71A4" w:rsidRDefault="00753A8D" w:rsidP="00770C93">
            <w:pPr>
              <w:pStyle w:val="051Tabletext228pt"/>
              <w:rPr>
                <w:sz w:val="18"/>
                <w:szCs w:val="18"/>
              </w:rPr>
            </w:pPr>
            <w:r w:rsidRPr="005D71A4">
              <w:rPr>
                <w:sz w:val="18"/>
                <w:szCs w:val="18"/>
              </w:rPr>
              <w:t>mesh extrusion</w:t>
            </w:r>
          </w:p>
        </w:tc>
        <w:tc>
          <w:tcPr>
            <w:tcW w:w="1213" w:type="pct"/>
            <w:tcBorders>
              <w:top w:val="nil"/>
              <w:bottom w:val="nil"/>
            </w:tcBorders>
            <w:shd w:val="clear" w:color="auto" w:fill="auto"/>
          </w:tcPr>
          <w:p w14:paraId="2F5021CB" w14:textId="77777777" w:rsidR="00753A8D" w:rsidRPr="005D71A4" w:rsidRDefault="00753A8D" w:rsidP="00770C93">
            <w:pPr>
              <w:pStyle w:val="051Tabletext228pt"/>
              <w:rPr>
                <w:sz w:val="18"/>
                <w:szCs w:val="18"/>
              </w:rPr>
            </w:pPr>
            <w:r w:rsidRPr="005D71A4">
              <w:rPr>
                <w:sz w:val="18"/>
                <w:szCs w:val="18"/>
              </w:rPr>
              <w:t>1, N=63 (M)</w:t>
            </w:r>
          </w:p>
        </w:tc>
        <w:tc>
          <w:tcPr>
            <w:tcW w:w="787" w:type="pct"/>
            <w:tcBorders>
              <w:top w:val="nil"/>
              <w:bottom w:val="nil"/>
            </w:tcBorders>
          </w:tcPr>
          <w:p w14:paraId="302D339A"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51216007" w14:textId="77777777" w:rsidR="00753A8D" w:rsidRPr="005D71A4" w:rsidRDefault="00753A8D" w:rsidP="00770C93">
            <w:pPr>
              <w:pStyle w:val="051Tabletext228pt"/>
              <w:rPr>
                <w:sz w:val="18"/>
                <w:szCs w:val="18"/>
              </w:rPr>
            </w:pPr>
            <w:r w:rsidRPr="005D71A4">
              <w:rPr>
                <w:sz w:val="18"/>
                <w:szCs w:val="18"/>
              </w:rPr>
              <w:t>No difference (M)</w:t>
            </w:r>
          </w:p>
        </w:tc>
        <w:tc>
          <w:tcPr>
            <w:tcW w:w="1000" w:type="pct"/>
            <w:tcBorders>
              <w:top w:val="nil"/>
              <w:bottom w:val="nil"/>
            </w:tcBorders>
          </w:tcPr>
          <w:p w14:paraId="086DD885"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753A8D" w14:paraId="2628D3FD" w14:textId="77777777" w:rsidTr="00770C93">
        <w:tc>
          <w:tcPr>
            <w:tcW w:w="1000" w:type="pct"/>
            <w:tcBorders>
              <w:top w:val="nil"/>
              <w:bottom w:val="nil"/>
            </w:tcBorders>
          </w:tcPr>
          <w:p w14:paraId="2B29C35C" w14:textId="77777777" w:rsidR="00753A8D" w:rsidRPr="005D71A4" w:rsidRDefault="00753A8D" w:rsidP="00770C93">
            <w:pPr>
              <w:pStyle w:val="051Tabletext228pt"/>
              <w:rPr>
                <w:sz w:val="18"/>
                <w:szCs w:val="18"/>
              </w:rPr>
            </w:pPr>
          </w:p>
        </w:tc>
        <w:tc>
          <w:tcPr>
            <w:tcW w:w="1213" w:type="pct"/>
            <w:tcBorders>
              <w:top w:val="nil"/>
              <w:bottom w:val="nil"/>
            </w:tcBorders>
            <w:shd w:val="clear" w:color="auto" w:fill="auto"/>
          </w:tcPr>
          <w:p w14:paraId="7C387CA8" w14:textId="77777777" w:rsidR="00753A8D" w:rsidRPr="005D71A4" w:rsidRDefault="00753A8D" w:rsidP="00770C93">
            <w:pPr>
              <w:pStyle w:val="051Tabletext228pt"/>
              <w:rPr>
                <w:sz w:val="18"/>
                <w:szCs w:val="18"/>
              </w:rPr>
            </w:pPr>
            <w:r w:rsidRPr="005D71A4">
              <w:rPr>
                <w:sz w:val="18"/>
                <w:szCs w:val="18"/>
              </w:rPr>
              <w:t>2, N=193 (L)</w:t>
            </w:r>
          </w:p>
        </w:tc>
        <w:tc>
          <w:tcPr>
            <w:tcW w:w="787" w:type="pct"/>
            <w:tcBorders>
              <w:top w:val="nil"/>
              <w:bottom w:val="nil"/>
            </w:tcBorders>
            <w:shd w:val="clear" w:color="auto" w:fill="F4B083" w:themeFill="accent2" w:themeFillTint="99"/>
          </w:tcPr>
          <w:p w14:paraId="1E1329E0"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nil"/>
            </w:tcBorders>
          </w:tcPr>
          <w:p w14:paraId="603A3F21" w14:textId="77777777" w:rsidR="00753A8D" w:rsidRPr="005D71A4" w:rsidRDefault="00753A8D" w:rsidP="00770C93">
            <w:pPr>
              <w:pStyle w:val="051Tabletext228pt"/>
              <w:rPr>
                <w:sz w:val="18"/>
                <w:szCs w:val="18"/>
              </w:rPr>
            </w:pPr>
            <w:r w:rsidRPr="005D71A4">
              <w:rPr>
                <w:sz w:val="18"/>
                <w:szCs w:val="18"/>
              </w:rPr>
              <w:t>No difference (L)</w:t>
            </w:r>
          </w:p>
        </w:tc>
        <w:tc>
          <w:tcPr>
            <w:tcW w:w="1000" w:type="pct"/>
            <w:tcBorders>
              <w:top w:val="nil"/>
              <w:bottom w:val="nil"/>
            </w:tcBorders>
          </w:tcPr>
          <w:p w14:paraId="3594BD24" w14:textId="77777777" w:rsidR="00753A8D" w:rsidRPr="005D71A4" w:rsidRDefault="00753A8D" w:rsidP="00770C93">
            <w:pPr>
              <w:pStyle w:val="051Tabletext228pt"/>
              <w:rPr>
                <w:sz w:val="18"/>
                <w:szCs w:val="18"/>
              </w:rPr>
            </w:pPr>
            <w:r w:rsidRPr="005D71A4">
              <w:rPr>
                <w:sz w:val="18"/>
                <w:szCs w:val="18"/>
              </w:rPr>
              <w:t>No difference (L)</w:t>
            </w:r>
          </w:p>
        </w:tc>
      </w:tr>
      <w:tr w:rsidR="00753A8D" w14:paraId="7FC7F51B" w14:textId="77777777" w:rsidTr="00770C93">
        <w:tc>
          <w:tcPr>
            <w:tcW w:w="1000" w:type="pct"/>
            <w:tcBorders>
              <w:top w:val="nil"/>
              <w:bottom w:val="nil"/>
            </w:tcBorders>
          </w:tcPr>
          <w:p w14:paraId="07595673" w14:textId="77777777" w:rsidR="00753A8D" w:rsidRPr="005D71A4" w:rsidRDefault="00753A8D" w:rsidP="00770C93">
            <w:pPr>
              <w:pStyle w:val="051Tabletext228pt"/>
              <w:rPr>
                <w:sz w:val="18"/>
                <w:szCs w:val="18"/>
              </w:rPr>
            </w:pPr>
            <w:r w:rsidRPr="005D71A4">
              <w:rPr>
                <w:sz w:val="18"/>
                <w:szCs w:val="18"/>
              </w:rPr>
              <w:t>need for catheterisation</w:t>
            </w:r>
          </w:p>
        </w:tc>
        <w:tc>
          <w:tcPr>
            <w:tcW w:w="1213" w:type="pct"/>
            <w:tcBorders>
              <w:top w:val="nil"/>
              <w:bottom w:val="nil"/>
            </w:tcBorders>
            <w:shd w:val="clear" w:color="auto" w:fill="auto"/>
          </w:tcPr>
          <w:p w14:paraId="09561C79" w14:textId="77777777" w:rsidR="00753A8D" w:rsidRPr="005D71A4" w:rsidRDefault="00753A8D" w:rsidP="00770C93">
            <w:pPr>
              <w:pStyle w:val="051Tabletext228pt"/>
              <w:rPr>
                <w:sz w:val="18"/>
                <w:szCs w:val="18"/>
              </w:rPr>
            </w:pPr>
            <w:r w:rsidRPr="005D71A4">
              <w:rPr>
                <w:sz w:val="18"/>
                <w:szCs w:val="18"/>
              </w:rPr>
              <w:t>4, N=320 (S)</w:t>
            </w:r>
          </w:p>
        </w:tc>
        <w:tc>
          <w:tcPr>
            <w:tcW w:w="787" w:type="pct"/>
            <w:tcBorders>
              <w:top w:val="nil"/>
              <w:bottom w:val="nil"/>
            </w:tcBorders>
          </w:tcPr>
          <w:p w14:paraId="478F0541"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54C96A66" w14:textId="77777777" w:rsidR="00753A8D" w:rsidRPr="005D71A4" w:rsidRDefault="00753A8D" w:rsidP="00770C93">
            <w:pPr>
              <w:pStyle w:val="051Tabletext228pt"/>
              <w:rPr>
                <w:sz w:val="18"/>
                <w:szCs w:val="18"/>
              </w:rPr>
            </w:pPr>
            <w:r w:rsidRPr="005D71A4">
              <w:rPr>
                <w:sz w:val="18"/>
                <w:szCs w:val="18"/>
              </w:rPr>
              <w:t>No difference (S)</w:t>
            </w:r>
          </w:p>
        </w:tc>
        <w:tc>
          <w:tcPr>
            <w:tcW w:w="1000" w:type="pct"/>
            <w:tcBorders>
              <w:top w:val="nil"/>
              <w:bottom w:val="nil"/>
            </w:tcBorders>
          </w:tcPr>
          <w:p w14:paraId="4E03B873" w14:textId="77777777" w:rsidR="00753A8D" w:rsidRPr="005D71A4" w:rsidRDefault="00753A8D" w:rsidP="00770C9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753A8D" w14:paraId="13DC5ADD" w14:textId="77777777" w:rsidTr="00770C93">
        <w:tc>
          <w:tcPr>
            <w:tcW w:w="1000" w:type="pct"/>
            <w:tcBorders>
              <w:top w:val="nil"/>
              <w:bottom w:val="nil"/>
            </w:tcBorders>
          </w:tcPr>
          <w:p w14:paraId="35130B24" w14:textId="77777777" w:rsidR="00753A8D" w:rsidRPr="005D71A4" w:rsidRDefault="00753A8D" w:rsidP="00770C93">
            <w:pPr>
              <w:pStyle w:val="051Tabletext228pt"/>
              <w:rPr>
                <w:sz w:val="18"/>
                <w:szCs w:val="18"/>
              </w:rPr>
            </w:pPr>
          </w:p>
        </w:tc>
        <w:tc>
          <w:tcPr>
            <w:tcW w:w="1213" w:type="pct"/>
            <w:tcBorders>
              <w:top w:val="nil"/>
              <w:bottom w:val="nil"/>
            </w:tcBorders>
            <w:shd w:val="clear" w:color="auto" w:fill="auto"/>
          </w:tcPr>
          <w:p w14:paraId="369F2125" w14:textId="77777777" w:rsidR="00753A8D" w:rsidRPr="005D71A4" w:rsidRDefault="00753A8D" w:rsidP="00770C93">
            <w:pPr>
              <w:pStyle w:val="051Tabletext228pt"/>
              <w:rPr>
                <w:sz w:val="18"/>
                <w:szCs w:val="18"/>
              </w:rPr>
            </w:pPr>
            <w:r w:rsidRPr="005D71A4">
              <w:rPr>
                <w:sz w:val="18"/>
                <w:szCs w:val="18"/>
              </w:rPr>
              <w:t>1, N=124 (L)</w:t>
            </w:r>
          </w:p>
        </w:tc>
        <w:tc>
          <w:tcPr>
            <w:tcW w:w="787" w:type="pct"/>
            <w:tcBorders>
              <w:top w:val="nil"/>
              <w:bottom w:val="nil"/>
            </w:tcBorders>
            <w:shd w:val="clear" w:color="auto" w:fill="F4B083" w:themeFill="accent2" w:themeFillTint="99"/>
          </w:tcPr>
          <w:p w14:paraId="11C763B5"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nil"/>
            </w:tcBorders>
          </w:tcPr>
          <w:p w14:paraId="2948D35F" w14:textId="77777777" w:rsidR="00753A8D" w:rsidRPr="005D71A4" w:rsidRDefault="00753A8D" w:rsidP="00770C93">
            <w:pPr>
              <w:pStyle w:val="051Tabletext228pt"/>
              <w:rPr>
                <w:sz w:val="18"/>
                <w:szCs w:val="18"/>
              </w:rPr>
            </w:pPr>
            <w:r w:rsidRPr="005D71A4">
              <w:rPr>
                <w:sz w:val="18"/>
                <w:szCs w:val="18"/>
              </w:rPr>
              <w:t>No difference (L)</w:t>
            </w:r>
          </w:p>
        </w:tc>
        <w:tc>
          <w:tcPr>
            <w:tcW w:w="1000" w:type="pct"/>
            <w:tcBorders>
              <w:top w:val="nil"/>
              <w:bottom w:val="nil"/>
            </w:tcBorders>
          </w:tcPr>
          <w:p w14:paraId="69E1BB53" w14:textId="77777777" w:rsidR="00753A8D" w:rsidRPr="005D71A4" w:rsidRDefault="00753A8D" w:rsidP="00770C93">
            <w:pPr>
              <w:pStyle w:val="051Tabletext228pt"/>
              <w:rPr>
                <w:sz w:val="18"/>
                <w:szCs w:val="18"/>
              </w:rPr>
            </w:pPr>
            <w:r w:rsidRPr="005D71A4">
              <w:rPr>
                <w:sz w:val="18"/>
                <w:szCs w:val="18"/>
              </w:rPr>
              <w:t>No difference (L)</w:t>
            </w:r>
          </w:p>
        </w:tc>
      </w:tr>
      <w:tr w:rsidR="00753A8D" w14:paraId="5F3F1EBC" w14:textId="77777777" w:rsidTr="00770C93">
        <w:tc>
          <w:tcPr>
            <w:tcW w:w="1000" w:type="pct"/>
            <w:tcBorders>
              <w:top w:val="nil"/>
              <w:bottom w:val="single" w:sz="4" w:space="0" w:color="auto"/>
            </w:tcBorders>
          </w:tcPr>
          <w:p w14:paraId="07967F7E" w14:textId="77777777" w:rsidR="00753A8D" w:rsidRPr="005D71A4" w:rsidRDefault="00753A8D" w:rsidP="00770C93">
            <w:pPr>
              <w:pStyle w:val="051Tabletext228pt"/>
              <w:rPr>
                <w:sz w:val="18"/>
                <w:szCs w:val="18"/>
              </w:rPr>
            </w:pPr>
            <w:r w:rsidRPr="005D71A4">
              <w:rPr>
                <w:sz w:val="18"/>
                <w:szCs w:val="18"/>
              </w:rPr>
              <w:t>de novo urgency</w:t>
            </w:r>
          </w:p>
        </w:tc>
        <w:tc>
          <w:tcPr>
            <w:tcW w:w="1213" w:type="pct"/>
            <w:tcBorders>
              <w:top w:val="nil"/>
              <w:bottom w:val="single" w:sz="4" w:space="0" w:color="auto"/>
            </w:tcBorders>
            <w:shd w:val="clear" w:color="auto" w:fill="auto"/>
          </w:tcPr>
          <w:p w14:paraId="33A5C8E2" w14:textId="77777777" w:rsidR="00753A8D" w:rsidRPr="005D71A4" w:rsidRDefault="00753A8D" w:rsidP="00770C93">
            <w:pPr>
              <w:pStyle w:val="051Tabletext228pt"/>
              <w:rPr>
                <w:sz w:val="18"/>
                <w:szCs w:val="18"/>
              </w:rPr>
            </w:pPr>
            <w:r w:rsidRPr="005D71A4">
              <w:rPr>
                <w:sz w:val="18"/>
                <w:szCs w:val="18"/>
              </w:rPr>
              <w:t>2, N=65 (M); 2, N=193 (L)</w:t>
            </w:r>
          </w:p>
        </w:tc>
        <w:tc>
          <w:tcPr>
            <w:tcW w:w="787" w:type="pct"/>
            <w:tcBorders>
              <w:top w:val="nil"/>
              <w:bottom w:val="single" w:sz="4" w:space="0" w:color="auto"/>
            </w:tcBorders>
            <w:shd w:val="clear" w:color="auto" w:fill="F4B083" w:themeFill="accent2" w:themeFillTint="99"/>
          </w:tcPr>
          <w:p w14:paraId="7A186435"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14C94ADB" w14:textId="77777777" w:rsidR="00753A8D" w:rsidRPr="005D71A4" w:rsidRDefault="00753A8D" w:rsidP="00770C93">
            <w:pPr>
              <w:pStyle w:val="051Tabletext228pt"/>
              <w:rPr>
                <w:sz w:val="18"/>
                <w:szCs w:val="18"/>
              </w:rPr>
            </w:pPr>
            <w:r w:rsidRPr="005D71A4">
              <w:rPr>
                <w:sz w:val="18"/>
                <w:szCs w:val="18"/>
              </w:rPr>
              <w:t>No difference (M, L)</w:t>
            </w:r>
          </w:p>
        </w:tc>
        <w:tc>
          <w:tcPr>
            <w:tcW w:w="1000" w:type="pct"/>
            <w:tcBorders>
              <w:top w:val="nil"/>
              <w:bottom w:val="single" w:sz="4" w:space="0" w:color="auto"/>
            </w:tcBorders>
          </w:tcPr>
          <w:p w14:paraId="094961F1" w14:textId="77777777" w:rsidR="00753A8D" w:rsidRPr="005D71A4" w:rsidRDefault="00753A8D" w:rsidP="00770C93">
            <w:pPr>
              <w:pStyle w:val="051Tabletext228pt"/>
              <w:rPr>
                <w:sz w:val="18"/>
                <w:szCs w:val="18"/>
              </w:rPr>
            </w:pPr>
            <w:r w:rsidRPr="005D71A4">
              <w:rPr>
                <w:sz w:val="18"/>
                <w:szCs w:val="18"/>
              </w:rPr>
              <w:t>No difference (M, L)</w:t>
            </w:r>
          </w:p>
        </w:tc>
      </w:tr>
      <w:tr w:rsidR="00753A8D" w14:paraId="49177973" w14:textId="77777777" w:rsidTr="00770C93">
        <w:tc>
          <w:tcPr>
            <w:tcW w:w="1000" w:type="pct"/>
            <w:tcBorders>
              <w:top w:val="nil"/>
              <w:bottom w:val="single" w:sz="4" w:space="0" w:color="auto"/>
            </w:tcBorders>
          </w:tcPr>
          <w:p w14:paraId="138AF761" w14:textId="77777777" w:rsidR="00753A8D" w:rsidRPr="005D71A4" w:rsidRDefault="00753A8D" w:rsidP="00770C93">
            <w:pPr>
              <w:pStyle w:val="051Tabletext228pt"/>
              <w:rPr>
                <w:b/>
                <w:bCs/>
                <w:sz w:val="18"/>
                <w:szCs w:val="18"/>
              </w:rPr>
            </w:pPr>
          </w:p>
        </w:tc>
        <w:tc>
          <w:tcPr>
            <w:tcW w:w="1213" w:type="pct"/>
            <w:tcBorders>
              <w:top w:val="nil"/>
              <w:bottom w:val="single" w:sz="4" w:space="0" w:color="auto"/>
            </w:tcBorders>
            <w:shd w:val="clear" w:color="auto" w:fill="auto"/>
          </w:tcPr>
          <w:p w14:paraId="5540F8FD" w14:textId="77777777" w:rsidR="00753A8D" w:rsidRPr="005D71A4" w:rsidRDefault="00753A8D" w:rsidP="00770C93">
            <w:pPr>
              <w:pStyle w:val="051Tabletext228pt"/>
              <w:rPr>
                <w:sz w:val="18"/>
                <w:szCs w:val="18"/>
              </w:rPr>
            </w:pPr>
            <w:r w:rsidRPr="005D71A4">
              <w:rPr>
                <w:sz w:val="18"/>
                <w:szCs w:val="18"/>
              </w:rPr>
              <w:t>2, N=256 (L)</w:t>
            </w:r>
          </w:p>
        </w:tc>
        <w:tc>
          <w:tcPr>
            <w:tcW w:w="787" w:type="pct"/>
            <w:tcBorders>
              <w:top w:val="nil"/>
              <w:bottom w:val="single" w:sz="4" w:space="0" w:color="auto"/>
            </w:tcBorders>
            <w:shd w:val="clear" w:color="auto" w:fill="F4B083" w:themeFill="accent2" w:themeFillTint="99"/>
          </w:tcPr>
          <w:p w14:paraId="389CD6F4"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73EF2EB2" w14:textId="77777777" w:rsidR="00753A8D" w:rsidRPr="005D71A4" w:rsidRDefault="00753A8D" w:rsidP="00770C93">
            <w:pPr>
              <w:pStyle w:val="051Tabletext228pt"/>
              <w:rPr>
                <w:sz w:val="18"/>
                <w:szCs w:val="18"/>
              </w:rPr>
            </w:pPr>
            <w:r w:rsidRPr="005D71A4">
              <w:rPr>
                <w:sz w:val="18"/>
                <w:szCs w:val="18"/>
              </w:rPr>
              <w:t>No difference (L)</w:t>
            </w:r>
          </w:p>
        </w:tc>
        <w:tc>
          <w:tcPr>
            <w:tcW w:w="1000" w:type="pct"/>
            <w:tcBorders>
              <w:top w:val="nil"/>
              <w:bottom w:val="single" w:sz="4" w:space="0" w:color="auto"/>
            </w:tcBorders>
          </w:tcPr>
          <w:p w14:paraId="39DF5D9F" w14:textId="77777777" w:rsidR="00753A8D" w:rsidRPr="005D71A4" w:rsidRDefault="00753A8D" w:rsidP="00770C93">
            <w:pPr>
              <w:pStyle w:val="051Tabletext228pt"/>
              <w:rPr>
                <w:sz w:val="18"/>
                <w:szCs w:val="18"/>
              </w:rPr>
            </w:pPr>
            <w:r w:rsidRPr="005D71A4">
              <w:rPr>
                <w:sz w:val="18"/>
                <w:szCs w:val="18"/>
              </w:rPr>
              <w:t>No difference (L)</w:t>
            </w:r>
          </w:p>
        </w:tc>
      </w:tr>
      <w:tr w:rsidR="00753A8D" w14:paraId="7A914327" w14:textId="77777777" w:rsidTr="00770C93">
        <w:tc>
          <w:tcPr>
            <w:tcW w:w="1000" w:type="pct"/>
            <w:tcBorders>
              <w:bottom w:val="nil"/>
            </w:tcBorders>
            <w:shd w:val="clear" w:color="auto" w:fill="D9D9D9" w:themeFill="background1" w:themeFillShade="D9"/>
          </w:tcPr>
          <w:p w14:paraId="249AFEB4" w14:textId="77777777" w:rsidR="00753A8D" w:rsidRPr="005D71A4" w:rsidRDefault="00753A8D" w:rsidP="00770C93">
            <w:pPr>
              <w:pStyle w:val="051Tabletext228pt"/>
              <w:rPr>
                <w:b/>
                <w:bCs/>
                <w:sz w:val="18"/>
                <w:szCs w:val="18"/>
              </w:rPr>
            </w:pPr>
            <w:r w:rsidRPr="005D71A4">
              <w:rPr>
                <w:b/>
                <w:bCs/>
                <w:sz w:val="18"/>
                <w:szCs w:val="18"/>
              </w:rPr>
              <w:t>Repeat surgery</w:t>
            </w:r>
          </w:p>
        </w:tc>
        <w:tc>
          <w:tcPr>
            <w:tcW w:w="1213" w:type="pct"/>
            <w:tcBorders>
              <w:bottom w:val="nil"/>
            </w:tcBorders>
            <w:shd w:val="clear" w:color="auto" w:fill="D9D9D9" w:themeFill="background1" w:themeFillShade="D9"/>
          </w:tcPr>
          <w:p w14:paraId="692A15A2" w14:textId="77777777" w:rsidR="00753A8D" w:rsidRPr="005D71A4" w:rsidRDefault="00753A8D" w:rsidP="00770C93">
            <w:pPr>
              <w:pStyle w:val="051Tabletext228pt"/>
              <w:rPr>
                <w:sz w:val="18"/>
                <w:szCs w:val="18"/>
              </w:rPr>
            </w:pPr>
          </w:p>
        </w:tc>
        <w:tc>
          <w:tcPr>
            <w:tcW w:w="787" w:type="pct"/>
            <w:tcBorders>
              <w:bottom w:val="nil"/>
            </w:tcBorders>
            <w:shd w:val="clear" w:color="auto" w:fill="D9D9D9" w:themeFill="background1" w:themeFillShade="D9"/>
          </w:tcPr>
          <w:p w14:paraId="0E8CC451" w14:textId="77777777" w:rsidR="00753A8D" w:rsidRPr="005D71A4" w:rsidRDefault="00753A8D" w:rsidP="00770C93">
            <w:pPr>
              <w:pStyle w:val="051Tabletext228pt"/>
              <w:rPr>
                <w:sz w:val="18"/>
                <w:szCs w:val="18"/>
              </w:rPr>
            </w:pPr>
          </w:p>
        </w:tc>
        <w:tc>
          <w:tcPr>
            <w:tcW w:w="1000" w:type="pct"/>
            <w:tcBorders>
              <w:bottom w:val="nil"/>
            </w:tcBorders>
            <w:shd w:val="clear" w:color="auto" w:fill="D9D9D9" w:themeFill="background1" w:themeFillShade="D9"/>
          </w:tcPr>
          <w:p w14:paraId="49541072" w14:textId="77777777" w:rsidR="00753A8D" w:rsidRPr="005D71A4" w:rsidRDefault="00753A8D" w:rsidP="00770C93">
            <w:pPr>
              <w:pStyle w:val="051Tabletext228pt"/>
              <w:rPr>
                <w:sz w:val="18"/>
                <w:szCs w:val="18"/>
              </w:rPr>
            </w:pPr>
          </w:p>
        </w:tc>
        <w:tc>
          <w:tcPr>
            <w:tcW w:w="1000" w:type="pct"/>
            <w:tcBorders>
              <w:bottom w:val="nil"/>
            </w:tcBorders>
            <w:shd w:val="clear" w:color="auto" w:fill="D9D9D9" w:themeFill="background1" w:themeFillShade="D9"/>
          </w:tcPr>
          <w:p w14:paraId="3907C805" w14:textId="77777777" w:rsidR="00753A8D" w:rsidRPr="005D71A4" w:rsidRDefault="00753A8D" w:rsidP="00770C93">
            <w:pPr>
              <w:pStyle w:val="051Tabletext228pt"/>
              <w:rPr>
                <w:sz w:val="18"/>
                <w:szCs w:val="18"/>
              </w:rPr>
            </w:pPr>
          </w:p>
        </w:tc>
      </w:tr>
      <w:tr w:rsidR="00753A8D" w14:paraId="50868359" w14:textId="77777777" w:rsidTr="00770C93">
        <w:tc>
          <w:tcPr>
            <w:tcW w:w="1000" w:type="pct"/>
            <w:tcBorders>
              <w:top w:val="nil"/>
              <w:bottom w:val="single" w:sz="4" w:space="0" w:color="auto"/>
            </w:tcBorders>
          </w:tcPr>
          <w:p w14:paraId="31CA191E" w14:textId="77777777" w:rsidR="00753A8D" w:rsidRPr="005D71A4" w:rsidRDefault="00753A8D" w:rsidP="00770C93">
            <w:pPr>
              <w:pStyle w:val="051Tabletext228pt"/>
              <w:rPr>
                <w:sz w:val="18"/>
                <w:szCs w:val="18"/>
                <w:highlight w:val="yellow"/>
              </w:rPr>
            </w:pPr>
            <w:r w:rsidRPr="005D71A4">
              <w:rPr>
                <w:sz w:val="18"/>
                <w:szCs w:val="18"/>
              </w:rPr>
              <w:t>for any reason</w:t>
            </w:r>
          </w:p>
        </w:tc>
        <w:tc>
          <w:tcPr>
            <w:tcW w:w="1213" w:type="pct"/>
            <w:tcBorders>
              <w:top w:val="nil"/>
              <w:bottom w:val="single" w:sz="4" w:space="0" w:color="auto"/>
            </w:tcBorders>
            <w:shd w:val="clear" w:color="auto" w:fill="auto"/>
          </w:tcPr>
          <w:p w14:paraId="313267BF" w14:textId="77777777" w:rsidR="00753A8D" w:rsidRPr="005D71A4" w:rsidRDefault="00753A8D" w:rsidP="00770C93">
            <w:pPr>
              <w:pStyle w:val="051Tabletext228pt"/>
              <w:rPr>
                <w:sz w:val="18"/>
                <w:szCs w:val="18"/>
              </w:rPr>
            </w:pPr>
            <w:r w:rsidRPr="005D71A4">
              <w:rPr>
                <w:sz w:val="18"/>
                <w:szCs w:val="18"/>
              </w:rPr>
              <w:t>2, N=197 (S); 1, N=69 (L)</w:t>
            </w:r>
          </w:p>
        </w:tc>
        <w:tc>
          <w:tcPr>
            <w:tcW w:w="787" w:type="pct"/>
            <w:tcBorders>
              <w:top w:val="nil"/>
              <w:bottom w:val="single" w:sz="4" w:space="0" w:color="auto"/>
            </w:tcBorders>
            <w:shd w:val="clear" w:color="auto" w:fill="F4B083" w:themeFill="accent2" w:themeFillTint="99"/>
          </w:tcPr>
          <w:p w14:paraId="75C2C7AD" w14:textId="77777777" w:rsidR="00753A8D" w:rsidRPr="005D71A4" w:rsidRDefault="00753A8D" w:rsidP="00770C9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4C732804" w14:textId="77777777" w:rsidR="00753A8D" w:rsidRPr="005D71A4" w:rsidRDefault="00753A8D" w:rsidP="00770C93">
            <w:pPr>
              <w:pStyle w:val="051Tabletext228pt"/>
              <w:rPr>
                <w:sz w:val="18"/>
                <w:szCs w:val="18"/>
              </w:rPr>
            </w:pPr>
            <w:r w:rsidRPr="005D71A4">
              <w:rPr>
                <w:sz w:val="18"/>
                <w:szCs w:val="18"/>
              </w:rPr>
              <w:t>No difference (S, L)</w:t>
            </w:r>
          </w:p>
        </w:tc>
        <w:tc>
          <w:tcPr>
            <w:tcW w:w="1000" w:type="pct"/>
            <w:tcBorders>
              <w:top w:val="nil"/>
              <w:bottom w:val="single" w:sz="4" w:space="0" w:color="auto"/>
            </w:tcBorders>
          </w:tcPr>
          <w:p w14:paraId="78D2F824" w14:textId="77777777" w:rsidR="00753A8D" w:rsidRPr="005D71A4" w:rsidRDefault="00753A8D" w:rsidP="00770C93">
            <w:pPr>
              <w:pStyle w:val="051Tabletext228pt"/>
              <w:rPr>
                <w:sz w:val="18"/>
                <w:szCs w:val="18"/>
              </w:rPr>
            </w:pPr>
            <w:r w:rsidRPr="005D71A4">
              <w:rPr>
                <w:sz w:val="18"/>
                <w:szCs w:val="18"/>
              </w:rPr>
              <w:t>No difference (S, L)</w:t>
            </w:r>
          </w:p>
        </w:tc>
      </w:tr>
    </w:tbl>
    <w:p w14:paraId="40048148" w14:textId="643753D5" w:rsidR="000773B1" w:rsidRDefault="000773B1" w:rsidP="000773B1">
      <w:pPr>
        <w:pStyle w:val="101Tablefootnotes8pt"/>
      </w:pPr>
      <w:r>
        <w:t xml:space="preserve">Source: based on data from NICE Evidence review </w:t>
      </w:r>
      <w:r w:rsidR="00245CE2">
        <w:rPr>
          <w:noProof/>
        </w:rPr>
        <w:t>(NICE 2019b)</w:t>
      </w:r>
    </w:p>
    <w:p w14:paraId="66DDBACA" w14:textId="78D282CE" w:rsidR="00610BBA" w:rsidRDefault="00610BBA" w:rsidP="00610BBA">
      <w:pPr>
        <w:pStyle w:val="101Tablefootnotes8pt"/>
      </w:pPr>
      <w:r>
        <w:t>Abbreviations: L, long-term; M, medium-term; MUS, mid-urethral sling; NR, not reported; RP, retropubic; S, short-term.</w:t>
      </w:r>
    </w:p>
    <w:p w14:paraId="6353C633" w14:textId="77777777" w:rsidR="00610BBA" w:rsidRDefault="00610BBA" w:rsidP="00610BBA">
      <w:pPr>
        <w:pStyle w:val="101Tablefootnotes8pt"/>
      </w:pPr>
      <w:r>
        <w:rPr>
          <w:vertAlign w:val="superscript"/>
        </w:rPr>
        <w:t xml:space="preserve">1 </w:t>
      </w:r>
      <w:r>
        <w:t>Sub-group comparison: r</w:t>
      </w:r>
      <w:r w:rsidRPr="00442B6A">
        <w:t>ectus</w:t>
      </w:r>
      <w:r>
        <w:t xml:space="preserve"> fascial sling versus RP-MUS</w:t>
      </w:r>
    </w:p>
    <w:p w14:paraId="1FE7852B" w14:textId="77777777" w:rsidR="00610BBA" w:rsidRPr="006B5F89" w:rsidRDefault="00610BBA" w:rsidP="00353235">
      <w:pPr>
        <w:pStyle w:val="101Tablefootnotes8pt"/>
      </w:pPr>
      <w:r>
        <w:rPr>
          <w:vertAlign w:val="superscript"/>
        </w:rPr>
        <w:t xml:space="preserve">2 </w:t>
      </w:r>
      <w:r>
        <w:t>Quality of evidence and clinical significance not available in NICE report for sub-set of studies excluding single-incision mini-slings</w:t>
      </w:r>
    </w:p>
    <w:p w14:paraId="6C5D5D8F" w14:textId="77777777" w:rsidR="002C7249" w:rsidRPr="00083412" w:rsidRDefault="002C7249" w:rsidP="002C7249">
      <w:pPr>
        <w:pStyle w:val="101Tablefootnotes8pt"/>
      </w:pPr>
      <w:r>
        <w:rPr>
          <w:vertAlign w:val="superscript"/>
        </w:rPr>
        <w:t xml:space="preserve">3 </w:t>
      </w:r>
      <w:r>
        <w:t>NICE defined c</w:t>
      </w:r>
      <w:r w:rsidRPr="002E44EE">
        <w:t>linically important outcomes based on published literature and consultation with the Guideline Committee. If no published or acceptable minimally important difference (MID) was identified, the committee considered whether to use GRADE defaults.</w:t>
      </w:r>
    </w:p>
    <w:p w14:paraId="4C042541" w14:textId="3E41F508" w:rsidR="00753A8D" w:rsidRDefault="00753A8D" w:rsidP="002C7249">
      <w:pPr>
        <w:pStyle w:val="111Tablefootnoteslast-nostick8pt"/>
      </w:pPr>
      <w:r>
        <w:t>Key:</w:t>
      </w:r>
      <w:r w:rsidR="00E2078F">
        <w:t xml:space="preserve"> orange = very </w:t>
      </w:r>
      <w:proofErr w:type="gramStart"/>
      <w:r w:rsidR="00E2078F">
        <w:t>low quality</w:t>
      </w:r>
      <w:proofErr w:type="gramEnd"/>
      <w:r w:rsidR="00E2078F">
        <w:t xml:space="preserve"> evidence; </w:t>
      </w:r>
      <w:r w:rsidR="009438D1">
        <w:t xml:space="preserve">purple = </w:t>
      </w:r>
      <w:proofErr w:type="spellStart"/>
      <w:r w:rsidR="009438D1">
        <w:t>favours</w:t>
      </w:r>
      <w:proofErr w:type="spellEnd"/>
      <w:r w:rsidR="009438D1">
        <w:t xml:space="preserve"> RP-MUS; light purple = may favour RP-MUS</w:t>
      </w:r>
    </w:p>
    <w:p w14:paraId="13E6C9F0" w14:textId="77777777" w:rsidR="00B55D37" w:rsidRDefault="007A01E1" w:rsidP="007A01E1">
      <w:pPr>
        <w:pStyle w:val="ExecSumHeading3"/>
        <w:rPr>
          <w:lang w:val="en-US"/>
        </w:rPr>
      </w:pPr>
      <w:r>
        <w:rPr>
          <w:lang w:val="en-US"/>
        </w:rPr>
        <w:t xml:space="preserve">Clinical effectiveness </w:t>
      </w:r>
      <w:r w:rsidR="00B55D37">
        <w:rPr>
          <w:lang w:val="en-US"/>
        </w:rPr>
        <w:t>–</w:t>
      </w:r>
      <w:r>
        <w:rPr>
          <w:lang w:val="en-US"/>
        </w:rPr>
        <w:t xml:space="preserve"> </w:t>
      </w:r>
      <w:r w:rsidR="00B55D37">
        <w:rPr>
          <w:lang w:val="en-US"/>
        </w:rPr>
        <w:t>TO-MUS versus RP-MUS</w:t>
      </w:r>
    </w:p>
    <w:p w14:paraId="265BC140" w14:textId="1FD9E5A4" w:rsidR="001D2D23" w:rsidRDefault="001D2D23" w:rsidP="000D0244">
      <w:pPr>
        <w:pStyle w:val="BodyText"/>
        <w:rPr>
          <w:b/>
          <w:bCs/>
        </w:rPr>
      </w:pPr>
      <w:r>
        <w:t>The findings by outcome and follow-up time for TO-MUS versus RP-MUS are summarised in</w:t>
      </w:r>
      <w:r>
        <w:rPr>
          <w:b/>
          <w:bCs/>
        </w:rPr>
        <w:t xml:space="preserve"> </w:t>
      </w:r>
      <w:r w:rsidR="00AF12DF">
        <w:rPr>
          <w:b/>
          <w:bCs/>
        </w:rPr>
        <w:fldChar w:fldCharType="begin"/>
      </w:r>
      <w:r w:rsidR="00AF12DF">
        <w:rPr>
          <w:b/>
          <w:bCs/>
        </w:rPr>
        <w:instrText xml:space="preserve"> REF _Ref134180592 \h </w:instrText>
      </w:r>
      <w:r w:rsidR="00AF12DF">
        <w:rPr>
          <w:b/>
          <w:bCs/>
        </w:rPr>
      </w:r>
      <w:r w:rsidR="00AF12DF">
        <w:rPr>
          <w:b/>
          <w:bCs/>
        </w:rPr>
        <w:fldChar w:fldCharType="separate"/>
      </w:r>
      <w:r w:rsidR="007105D3">
        <w:t xml:space="preserve">Table ES </w:t>
      </w:r>
      <w:r w:rsidR="007105D3">
        <w:rPr>
          <w:noProof/>
        </w:rPr>
        <w:t>3</w:t>
      </w:r>
      <w:r w:rsidR="00AF12DF">
        <w:rPr>
          <w:b/>
          <w:bCs/>
        </w:rPr>
        <w:fldChar w:fldCharType="end"/>
      </w:r>
      <w:r w:rsidR="00AF12DF">
        <w:rPr>
          <w:b/>
          <w:bCs/>
        </w:rPr>
        <w:t>.</w:t>
      </w:r>
    </w:p>
    <w:p w14:paraId="3CB61707" w14:textId="5BC9FEC7" w:rsidR="00702F7B" w:rsidRPr="000D0244" w:rsidRDefault="00702F7B" w:rsidP="000D0244">
      <w:pPr>
        <w:pStyle w:val="BodyText"/>
        <w:rPr>
          <w:lang w:val="en-US"/>
        </w:rPr>
      </w:pPr>
      <w:r>
        <w:t xml:space="preserve">Although the NICE direct comparison showed no clinically important differences in subjective cure or objective cure in the short, </w:t>
      </w:r>
      <w:proofErr w:type="gramStart"/>
      <w:r>
        <w:t>medium</w:t>
      </w:r>
      <w:proofErr w:type="gramEnd"/>
      <w:r>
        <w:t xml:space="preserve"> or long-term, a network meta-analysis (NMA) </w:t>
      </w:r>
      <w:r w:rsidR="00245CE2">
        <w:rPr>
          <w:noProof/>
        </w:rPr>
        <w:t>(Brazzelli 2019)</w:t>
      </w:r>
      <w:r>
        <w:t xml:space="preserve"> did show a statistically significant difference in </w:t>
      </w:r>
      <w:r w:rsidRPr="00B0485F">
        <w:t xml:space="preserve">favour of </w:t>
      </w:r>
      <w:r>
        <w:t xml:space="preserve">RP-MUS in both </w:t>
      </w:r>
      <w:r w:rsidRPr="00B0485F">
        <w:t xml:space="preserve">objective cure </w:t>
      </w:r>
      <w:r>
        <w:t>and the number of women improved.</w:t>
      </w:r>
    </w:p>
    <w:p w14:paraId="75475A7F" w14:textId="6EDE7258" w:rsidR="007A01E1" w:rsidRDefault="00B55D37" w:rsidP="009D584D">
      <w:pPr>
        <w:pStyle w:val="Caption"/>
      </w:pPr>
      <w:r>
        <w:rPr>
          <w:lang w:val="en-US"/>
        </w:rPr>
        <w:lastRenderedPageBreak/>
        <w:t xml:space="preserve"> </w:t>
      </w:r>
      <w:bookmarkStart w:id="10" w:name="_Ref134180592"/>
      <w:r w:rsidR="009D584D">
        <w:t xml:space="preserve">Table ES </w:t>
      </w:r>
      <w:fldSimple w:instr=" SEQ Table_ES \* ARABIC ">
        <w:r w:rsidR="007105D3">
          <w:rPr>
            <w:noProof/>
          </w:rPr>
          <w:t>3</w:t>
        </w:r>
      </w:fldSimple>
      <w:bookmarkEnd w:id="10"/>
      <w:r w:rsidR="009D584D">
        <w:tab/>
      </w:r>
      <w:r w:rsidR="00674822" w:rsidRPr="00AF12DF">
        <w:t>Summary of findings for clinical effectiveness – TO-MUS vs. RP-MUS</w:t>
      </w:r>
    </w:p>
    <w:tbl>
      <w:tblPr>
        <w:tblStyle w:val="TableGrid"/>
        <w:tblW w:w="5001" w:type="pct"/>
        <w:tblLook w:val="04A0" w:firstRow="1" w:lastRow="0" w:firstColumn="1" w:lastColumn="0" w:noHBand="0" w:noVBand="1"/>
        <w:tblCaption w:val="Summary of findings for clinical effectiveness of transobturator mid-urethral sling versus retro-pubic mid-urethral sling"/>
        <w:tblDescription w:val="This table shows the number of randomised controlled trials, number of participants, quality of evidence, and statistical significance and clinical importance of the findings for transobturator mid-urethral sling versus retropubic mid-urethral sling, by outcome."/>
      </w:tblPr>
      <w:tblGrid>
        <w:gridCol w:w="1928"/>
        <w:gridCol w:w="2302"/>
        <w:gridCol w:w="1554"/>
        <w:gridCol w:w="1928"/>
        <w:gridCol w:w="1928"/>
      </w:tblGrid>
      <w:tr w:rsidR="00674822" w14:paraId="670582F1" w14:textId="77777777" w:rsidTr="00770C93">
        <w:trPr>
          <w:cnfStyle w:val="100000000000" w:firstRow="1" w:lastRow="0" w:firstColumn="0" w:lastColumn="0" w:oddVBand="0" w:evenVBand="0" w:oddHBand="0" w:evenHBand="0" w:firstRowFirstColumn="0" w:firstRowLastColumn="0" w:lastRowFirstColumn="0" w:lastRowLastColumn="0"/>
        </w:trPr>
        <w:tc>
          <w:tcPr>
            <w:tcW w:w="1000" w:type="pct"/>
          </w:tcPr>
          <w:p w14:paraId="21D5801A" w14:textId="77777777" w:rsidR="00674822" w:rsidRPr="005D71A4" w:rsidRDefault="00674822" w:rsidP="00770C93">
            <w:pPr>
              <w:pStyle w:val="011TableHeading8pt"/>
              <w:rPr>
                <w:sz w:val="18"/>
                <w:szCs w:val="18"/>
              </w:rPr>
            </w:pPr>
            <w:r w:rsidRPr="005D71A4">
              <w:rPr>
                <w:sz w:val="18"/>
                <w:szCs w:val="18"/>
              </w:rPr>
              <w:t>Outcome</w:t>
            </w:r>
          </w:p>
        </w:tc>
        <w:tc>
          <w:tcPr>
            <w:tcW w:w="1194" w:type="pct"/>
          </w:tcPr>
          <w:p w14:paraId="16A01806" w14:textId="77777777" w:rsidR="00674822" w:rsidRPr="005D71A4" w:rsidRDefault="00674822" w:rsidP="00770C93">
            <w:pPr>
              <w:pStyle w:val="011TableHeading8pt"/>
              <w:rPr>
                <w:sz w:val="18"/>
                <w:szCs w:val="18"/>
              </w:rPr>
            </w:pPr>
            <w:r w:rsidRPr="005D71A4">
              <w:rPr>
                <w:sz w:val="18"/>
                <w:szCs w:val="18"/>
              </w:rPr>
              <w:t>No. of RCTs, No. participants</w:t>
            </w:r>
          </w:p>
        </w:tc>
        <w:tc>
          <w:tcPr>
            <w:tcW w:w="806" w:type="pct"/>
          </w:tcPr>
          <w:p w14:paraId="16C668F6" w14:textId="77777777" w:rsidR="00674822" w:rsidRPr="005D71A4" w:rsidRDefault="00674822" w:rsidP="00770C93">
            <w:pPr>
              <w:pStyle w:val="011TableHeading8pt"/>
              <w:rPr>
                <w:sz w:val="18"/>
                <w:szCs w:val="18"/>
              </w:rPr>
            </w:pPr>
            <w:r w:rsidRPr="005D71A4">
              <w:rPr>
                <w:sz w:val="18"/>
                <w:szCs w:val="18"/>
              </w:rPr>
              <w:t>Quality of evidence</w:t>
            </w:r>
          </w:p>
        </w:tc>
        <w:tc>
          <w:tcPr>
            <w:tcW w:w="1000" w:type="pct"/>
          </w:tcPr>
          <w:p w14:paraId="54B5637B" w14:textId="77777777" w:rsidR="00674822" w:rsidRPr="005D71A4" w:rsidRDefault="00674822" w:rsidP="00770C93">
            <w:pPr>
              <w:pStyle w:val="011TableHeading8pt"/>
              <w:rPr>
                <w:sz w:val="18"/>
                <w:szCs w:val="18"/>
              </w:rPr>
            </w:pPr>
            <w:r w:rsidRPr="005D71A4">
              <w:rPr>
                <w:sz w:val="18"/>
                <w:szCs w:val="18"/>
              </w:rPr>
              <w:t>Statistical significance</w:t>
            </w:r>
          </w:p>
        </w:tc>
        <w:tc>
          <w:tcPr>
            <w:tcW w:w="1000" w:type="pct"/>
          </w:tcPr>
          <w:p w14:paraId="4DB655C7" w14:textId="7E631ECE" w:rsidR="00674822" w:rsidRPr="00083412" w:rsidRDefault="00674822" w:rsidP="00770C93">
            <w:pPr>
              <w:pStyle w:val="011TableHeading8pt"/>
              <w:rPr>
                <w:sz w:val="18"/>
                <w:szCs w:val="18"/>
                <w:vertAlign w:val="superscript"/>
              </w:rPr>
            </w:pPr>
            <w:r w:rsidRPr="005D71A4">
              <w:rPr>
                <w:sz w:val="18"/>
                <w:szCs w:val="18"/>
              </w:rPr>
              <w:t>Clinical importance</w:t>
            </w:r>
            <w:r w:rsidR="001D1769">
              <w:rPr>
                <w:sz w:val="18"/>
                <w:szCs w:val="18"/>
                <w:vertAlign w:val="superscript"/>
              </w:rPr>
              <w:t>1</w:t>
            </w:r>
          </w:p>
        </w:tc>
      </w:tr>
      <w:tr w:rsidR="00674822" w14:paraId="45AD5B8F" w14:textId="77777777" w:rsidTr="00770C93">
        <w:tc>
          <w:tcPr>
            <w:tcW w:w="1000" w:type="pct"/>
            <w:tcBorders>
              <w:bottom w:val="nil"/>
            </w:tcBorders>
            <w:shd w:val="clear" w:color="auto" w:fill="E7E6E6" w:themeFill="background2"/>
          </w:tcPr>
          <w:p w14:paraId="597D349C" w14:textId="77777777" w:rsidR="00674822" w:rsidRPr="005D71A4" w:rsidRDefault="00674822" w:rsidP="00770C93">
            <w:pPr>
              <w:pStyle w:val="051Tabletext228pt"/>
              <w:rPr>
                <w:b/>
                <w:bCs/>
                <w:sz w:val="18"/>
                <w:szCs w:val="18"/>
                <w:highlight w:val="yellow"/>
              </w:rPr>
            </w:pPr>
            <w:r w:rsidRPr="005D71A4">
              <w:rPr>
                <w:b/>
                <w:bCs/>
                <w:sz w:val="18"/>
                <w:szCs w:val="18"/>
              </w:rPr>
              <w:t>Change in continence status</w:t>
            </w:r>
          </w:p>
        </w:tc>
        <w:tc>
          <w:tcPr>
            <w:tcW w:w="1194" w:type="pct"/>
            <w:tcBorders>
              <w:bottom w:val="nil"/>
            </w:tcBorders>
            <w:shd w:val="clear" w:color="auto" w:fill="E7E6E6" w:themeFill="background2"/>
          </w:tcPr>
          <w:p w14:paraId="33583571" w14:textId="77777777" w:rsidR="00674822" w:rsidRPr="005D71A4" w:rsidRDefault="00674822" w:rsidP="00770C93">
            <w:pPr>
              <w:pStyle w:val="051Tabletext228pt"/>
              <w:rPr>
                <w:sz w:val="18"/>
                <w:szCs w:val="18"/>
              </w:rPr>
            </w:pPr>
          </w:p>
        </w:tc>
        <w:tc>
          <w:tcPr>
            <w:tcW w:w="806" w:type="pct"/>
            <w:tcBorders>
              <w:bottom w:val="nil"/>
            </w:tcBorders>
            <w:shd w:val="clear" w:color="auto" w:fill="E7E6E6" w:themeFill="background2"/>
          </w:tcPr>
          <w:p w14:paraId="5A06F1B0"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5772CB45"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69ED0A34" w14:textId="77777777" w:rsidR="00674822" w:rsidRPr="005D71A4" w:rsidRDefault="00674822" w:rsidP="00770C93">
            <w:pPr>
              <w:pStyle w:val="051Tabletext228pt"/>
              <w:rPr>
                <w:sz w:val="18"/>
                <w:szCs w:val="18"/>
              </w:rPr>
            </w:pPr>
          </w:p>
        </w:tc>
      </w:tr>
      <w:tr w:rsidR="00674822" w14:paraId="2EE68B73" w14:textId="77777777" w:rsidTr="00770C93">
        <w:tc>
          <w:tcPr>
            <w:tcW w:w="1000" w:type="pct"/>
            <w:tcBorders>
              <w:top w:val="nil"/>
              <w:bottom w:val="nil"/>
            </w:tcBorders>
          </w:tcPr>
          <w:p w14:paraId="269E61A8" w14:textId="77777777" w:rsidR="00674822" w:rsidRPr="005D71A4" w:rsidRDefault="00674822" w:rsidP="00770C93">
            <w:pPr>
              <w:pStyle w:val="051Tabletext228pt"/>
              <w:rPr>
                <w:sz w:val="18"/>
                <w:szCs w:val="18"/>
              </w:rPr>
            </w:pPr>
            <w:r w:rsidRPr="005D71A4">
              <w:rPr>
                <w:sz w:val="18"/>
                <w:szCs w:val="18"/>
              </w:rPr>
              <w:t xml:space="preserve">Subject cure </w:t>
            </w:r>
          </w:p>
        </w:tc>
        <w:tc>
          <w:tcPr>
            <w:tcW w:w="1194" w:type="pct"/>
            <w:tcBorders>
              <w:top w:val="nil"/>
              <w:bottom w:val="nil"/>
            </w:tcBorders>
            <w:shd w:val="clear" w:color="auto" w:fill="auto"/>
          </w:tcPr>
          <w:p w14:paraId="2515224E" w14:textId="77777777" w:rsidR="00674822" w:rsidRPr="005D71A4" w:rsidRDefault="00674822" w:rsidP="00770C93">
            <w:pPr>
              <w:pStyle w:val="051Tabletext228pt"/>
              <w:rPr>
                <w:sz w:val="18"/>
                <w:szCs w:val="18"/>
              </w:rPr>
            </w:pPr>
            <w:r w:rsidRPr="005D71A4">
              <w:rPr>
                <w:sz w:val="18"/>
                <w:szCs w:val="18"/>
              </w:rPr>
              <w:t>15, N=2,638 (S); 6, N=1,340 (M)</w:t>
            </w:r>
          </w:p>
        </w:tc>
        <w:tc>
          <w:tcPr>
            <w:tcW w:w="806" w:type="pct"/>
            <w:tcBorders>
              <w:top w:val="nil"/>
              <w:bottom w:val="nil"/>
            </w:tcBorders>
            <w:shd w:val="clear" w:color="auto" w:fill="FFE599" w:themeFill="accent4" w:themeFillTint="66"/>
          </w:tcPr>
          <w:p w14:paraId="36D1CD9F"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nil"/>
            </w:tcBorders>
            <w:shd w:val="clear" w:color="auto" w:fill="auto"/>
          </w:tcPr>
          <w:p w14:paraId="29CA2AF3" w14:textId="77777777" w:rsidR="00674822" w:rsidRPr="005D71A4" w:rsidRDefault="00674822" w:rsidP="00770C9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4BDE6C1E" w14:textId="77777777" w:rsidR="00674822" w:rsidRPr="005D71A4" w:rsidRDefault="00674822" w:rsidP="00770C93">
            <w:pPr>
              <w:pStyle w:val="051Tabletext228pt"/>
              <w:rPr>
                <w:sz w:val="18"/>
                <w:szCs w:val="18"/>
              </w:rPr>
            </w:pPr>
            <w:r w:rsidRPr="005D71A4">
              <w:rPr>
                <w:sz w:val="18"/>
                <w:szCs w:val="18"/>
              </w:rPr>
              <w:t>No difference (S, M)</w:t>
            </w:r>
          </w:p>
        </w:tc>
      </w:tr>
      <w:tr w:rsidR="00674822" w14:paraId="5D550B8C" w14:textId="77777777" w:rsidTr="00770C93">
        <w:tc>
          <w:tcPr>
            <w:tcW w:w="1000" w:type="pct"/>
            <w:tcBorders>
              <w:top w:val="nil"/>
              <w:bottom w:val="nil"/>
            </w:tcBorders>
          </w:tcPr>
          <w:p w14:paraId="5D80785E"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249693D4" w14:textId="77777777" w:rsidR="00674822" w:rsidRPr="005D71A4" w:rsidRDefault="00674822" w:rsidP="00770C93">
            <w:pPr>
              <w:pStyle w:val="051Tabletext228pt"/>
              <w:rPr>
                <w:sz w:val="18"/>
                <w:szCs w:val="18"/>
              </w:rPr>
            </w:pPr>
            <w:r w:rsidRPr="005D71A4">
              <w:rPr>
                <w:sz w:val="18"/>
                <w:szCs w:val="18"/>
              </w:rPr>
              <w:t>2, N=288 (L)</w:t>
            </w:r>
          </w:p>
        </w:tc>
        <w:tc>
          <w:tcPr>
            <w:tcW w:w="806" w:type="pct"/>
            <w:tcBorders>
              <w:top w:val="nil"/>
              <w:bottom w:val="nil"/>
            </w:tcBorders>
            <w:shd w:val="clear" w:color="auto" w:fill="F4B083" w:themeFill="accent2" w:themeFillTint="99"/>
          </w:tcPr>
          <w:p w14:paraId="3FB1F226"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28A3763F" w14:textId="77777777" w:rsidR="00674822" w:rsidRPr="005D71A4" w:rsidRDefault="00674822" w:rsidP="00770C9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21FC0B95" w14:textId="77777777" w:rsidR="00674822" w:rsidRPr="005D71A4" w:rsidRDefault="00674822" w:rsidP="00770C93">
            <w:pPr>
              <w:pStyle w:val="051Tabletext228pt"/>
              <w:rPr>
                <w:sz w:val="18"/>
                <w:szCs w:val="18"/>
              </w:rPr>
            </w:pPr>
            <w:r w:rsidRPr="005D71A4">
              <w:rPr>
                <w:sz w:val="18"/>
                <w:szCs w:val="18"/>
              </w:rPr>
              <w:t>No difference (L)</w:t>
            </w:r>
          </w:p>
        </w:tc>
      </w:tr>
      <w:tr w:rsidR="00674822" w14:paraId="0C5F2794" w14:textId="77777777" w:rsidTr="00770C93">
        <w:tc>
          <w:tcPr>
            <w:tcW w:w="1000" w:type="pct"/>
            <w:tcBorders>
              <w:top w:val="nil"/>
              <w:bottom w:val="nil"/>
            </w:tcBorders>
          </w:tcPr>
          <w:p w14:paraId="22A8F172" w14:textId="77777777" w:rsidR="00674822" w:rsidRPr="005D71A4" w:rsidRDefault="00674822" w:rsidP="00770C93">
            <w:pPr>
              <w:pStyle w:val="051Tabletext228pt"/>
              <w:rPr>
                <w:sz w:val="18"/>
                <w:szCs w:val="18"/>
              </w:rPr>
            </w:pPr>
            <w:r w:rsidRPr="005D71A4">
              <w:rPr>
                <w:sz w:val="18"/>
                <w:szCs w:val="18"/>
              </w:rPr>
              <w:t>Objective cure</w:t>
            </w:r>
          </w:p>
        </w:tc>
        <w:tc>
          <w:tcPr>
            <w:tcW w:w="1194" w:type="pct"/>
            <w:tcBorders>
              <w:top w:val="nil"/>
              <w:bottom w:val="nil"/>
            </w:tcBorders>
            <w:shd w:val="clear" w:color="auto" w:fill="auto"/>
          </w:tcPr>
          <w:p w14:paraId="4643785B" w14:textId="77777777" w:rsidR="00674822" w:rsidRPr="005D71A4" w:rsidRDefault="00674822" w:rsidP="00770C93">
            <w:pPr>
              <w:pStyle w:val="051Tabletext228pt"/>
              <w:rPr>
                <w:sz w:val="18"/>
                <w:szCs w:val="18"/>
              </w:rPr>
            </w:pPr>
            <w:r w:rsidRPr="005D71A4">
              <w:rPr>
                <w:sz w:val="18"/>
                <w:szCs w:val="18"/>
              </w:rPr>
              <w:t>15, N=2,176 (S)</w:t>
            </w:r>
          </w:p>
        </w:tc>
        <w:tc>
          <w:tcPr>
            <w:tcW w:w="806" w:type="pct"/>
            <w:tcBorders>
              <w:top w:val="nil"/>
              <w:bottom w:val="nil"/>
            </w:tcBorders>
            <w:shd w:val="clear" w:color="auto" w:fill="FFE599" w:themeFill="accent4" w:themeFillTint="66"/>
          </w:tcPr>
          <w:p w14:paraId="256D2203"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nil"/>
            </w:tcBorders>
            <w:shd w:val="clear" w:color="auto" w:fill="E5DDEB"/>
          </w:tcPr>
          <w:p w14:paraId="66BE9698" w14:textId="77777777" w:rsidR="00674822" w:rsidRPr="005D71A4" w:rsidRDefault="00674822" w:rsidP="00770C93">
            <w:pPr>
              <w:pStyle w:val="051Tabletext228pt"/>
              <w:rPr>
                <w:sz w:val="18"/>
                <w:szCs w:val="18"/>
              </w:rPr>
            </w:pPr>
            <w:r w:rsidRPr="005D71A4">
              <w:rPr>
                <w:sz w:val="18"/>
                <w:szCs w:val="18"/>
              </w:rPr>
              <w:t>Favours RP-MUS (S)</w:t>
            </w:r>
          </w:p>
        </w:tc>
        <w:tc>
          <w:tcPr>
            <w:tcW w:w="1000" w:type="pct"/>
            <w:tcBorders>
              <w:top w:val="nil"/>
              <w:bottom w:val="nil"/>
            </w:tcBorders>
            <w:shd w:val="clear" w:color="auto" w:fill="auto"/>
          </w:tcPr>
          <w:p w14:paraId="38A42654" w14:textId="77777777" w:rsidR="00674822" w:rsidRPr="005D71A4" w:rsidRDefault="00674822" w:rsidP="00770C93">
            <w:pPr>
              <w:pStyle w:val="051Tabletext228pt"/>
              <w:rPr>
                <w:sz w:val="18"/>
                <w:szCs w:val="18"/>
              </w:rPr>
            </w:pPr>
            <w:r w:rsidRPr="005D71A4">
              <w:rPr>
                <w:sz w:val="18"/>
                <w:szCs w:val="18"/>
              </w:rPr>
              <w:t>No difference (S)</w:t>
            </w:r>
          </w:p>
        </w:tc>
      </w:tr>
      <w:tr w:rsidR="00674822" w14:paraId="046CE02E" w14:textId="77777777" w:rsidTr="00770C93">
        <w:tc>
          <w:tcPr>
            <w:tcW w:w="1000" w:type="pct"/>
            <w:tcBorders>
              <w:top w:val="nil"/>
              <w:bottom w:val="nil"/>
            </w:tcBorders>
          </w:tcPr>
          <w:p w14:paraId="397E220C"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36ECF290" w14:textId="77777777" w:rsidR="00674822" w:rsidRPr="005D71A4" w:rsidRDefault="00674822" w:rsidP="00770C93">
            <w:pPr>
              <w:pStyle w:val="051Tabletext228pt"/>
              <w:rPr>
                <w:sz w:val="18"/>
                <w:szCs w:val="18"/>
              </w:rPr>
            </w:pPr>
            <w:r w:rsidRPr="005D71A4">
              <w:rPr>
                <w:sz w:val="18"/>
                <w:szCs w:val="18"/>
              </w:rPr>
              <w:t>10, N=2,057 (M)</w:t>
            </w:r>
          </w:p>
        </w:tc>
        <w:tc>
          <w:tcPr>
            <w:tcW w:w="806" w:type="pct"/>
            <w:tcBorders>
              <w:top w:val="nil"/>
              <w:bottom w:val="nil"/>
            </w:tcBorders>
            <w:shd w:val="clear" w:color="auto" w:fill="FFE599" w:themeFill="accent4" w:themeFillTint="66"/>
          </w:tcPr>
          <w:p w14:paraId="3B224DBD"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nil"/>
            </w:tcBorders>
            <w:shd w:val="clear" w:color="auto" w:fill="auto"/>
          </w:tcPr>
          <w:p w14:paraId="2E0D13D1" w14:textId="77777777" w:rsidR="00674822" w:rsidRPr="005D71A4" w:rsidRDefault="00674822" w:rsidP="00770C93">
            <w:pPr>
              <w:pStyle w:val="051Tabletext228pt"/>
              <w:rPr>
                <w:sz w:val="18"/>
                <w:szCs w:val="18"/>
              </w:rPr>
            </w:pPr>
            <w:r w:rsidRPr="005D71A4">
              <w:rPr>
                <w:sz w:val="18"/>
                <w:szCs w:val="18"/>
              </w:rPr>
              <w:t>No difference (M)</w:t>
            </w:r>
          </w:p>
        </w:tc>
        <w:tc>
          <w:tcPr>
            <w:tcW w:w="1000" w:type="pct"/>
            <w:tcBorders>
              <w:top w:val="nil"/>
              <w:bottom w:val="nil"/>
            </w:tcBorders>
            <w:shd w:val="clear" w:color="auto" w:fill="auto"/>
          </w:tcPr>
          <w:p w14:paraId="46BE0FB1" w14:textId="77777777" w:rsidR="00674822" w:rsidRPr="005D71A4" w:rsidRDefault="00674822" w:rsidP="00770C93">
            <w:pPr>
              <w:pStyle w:val="051Tabletext228pt"/>
              <w:rPr>
                <w:sz w:val="18"/>
                <w:szCs w:val="18"/>
              </w:rPr>
            </w:pPr>
            <w:r w:rsidRPr="005D71A4">
              <w:rPr>
                <w:sz w:val="18"/>
                <w:szCs w:val="18"/>
              </w:rPr>
              <w:t>No difference (M)</w:t>
            </w:r>
          </w:p>
        </w:tc>
      </w:tr>
      <w:tr w:rsidR="00674822" w14:paraId="0FCF81A4" w14:textId="77777777" w:rsidTr="00770C93">
        <w:tc>
          <w:tcPr>
            <w:tcW w:w="1000" w:type="pct"/>
            <w:tcBorders>
              <w:top w:val="nil"/>
              <w:bottom w:val="nil"/>
            </w:tcBorders>
          </w:tcPr>
          <w:p w14:paraId="5FE1073F"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56DFE11D" w14:textId="77777777" w:rsidR="00674822" w:rsidRPr="005D71A4" w:rsidRDefault="00674822" w:rsidP="00770C93">
            <w:pPr>
              <w:pStyle w:val="051Tabletext228pt"/>
              <w:rPr>
                <w:sz w:val="18"/>
                <w:szCs w:val="18"/>
              </w:rPr>
            </w:pPr>
            <w:r w:rsidRPr="005D71A4">
              <w:rPr>
                <w:sz w:val="18"/>
                <w:szCs w:val="18"/>
              </w:rPr>
              <w:t>2, N=288 (L)</w:t>
            </w:r>
          </w:p>
        </w:tc>
        <w:tc>
          <w:tcPr>
            <w:tcW w:w="806" w:type="pct"/>
            <w:tcBorders>
              <w:top w:val="nil"/>
              <w:bottom w:val="nil"/>
            </w:tcBorders>
            <w:shd w:val="clear" w:color="auto" w:fill="F4B083" w:themeFill="accent2" w:themeFillTint="99"/>
          </w:tcPr>
          <w:p w14:paraId="65CBFE95"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5DF28D4B" w14:textId="77777777" w:rsidR="00674822" w:rsidRPr="005D71A4" w:rsidRDefault="00674822" w:rsidP="00770C9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3D23570E" w14:textId="77777777" w:rsidR="00674822" w:rsidRPr="005D71A4" w:rsidRDefault="00674822" w:rsidP="00770C93">
            <w:pPr>
              <w:pStyle w:val="051Tabletext228pt"/>
              <w:rPr>
                <w:sz w:val="18"/>
                <w:szCs w:val="18"/>
              </w:rPr>
            </w:pPr>
            <w:r w:rsidRPr="005D71A4">
              <w:rPr>
                <w:sz w:val="18"/>
                <w:szCs w:val="18"/>
              </w:rPr>
              <w:t>No difference (L)</w:t>
            </w:r>
          </w:p>
        </w:tc>
      </w:tr>
      <w:tr w:rsidR="00674822" w14:paraId="193E5B10" w14:textId="77777777" w:rsidTr="00770C93">
        <w:tc>
          <w:tcPr>
            <w:tcW w:w="1000" w:type="pct"/>
            <w:tcBorders>
              <w:top w:val="nil"/>
              <w:bottom w:val="nil"/>
            </w:tcBorders>
          </w:tcPr>
          <w:p w14:paraId="26AD23FB" w14:textId="77777777" w:rsidR="00674822" w:rsidRPr="005D71A4" w:rsidRDefault="00674822" w:rsidP="00770C93">
            <w:pPr>
              <w:pStyle w:val="051Tabletext228pt"/>
              <w:rPr>
                <w:sz w:val="18"/>
                <w:szCs w:val="18"/>
              </w:rPr>
            </w:pPr>
            <w:r w:rsidRPr="005D71A4">
              <w:rPr>
                <w:sz w:val="18"/>
                <w:szCs w:val="18"/>
              </w:rPr>
              <w:t>Negative cough stress test</w:t>
            </w:r>
          </w:p>
        </w:tc>
        <w:tc>
          <w:tcPr>
            <w:tcW w:w="1194" w:type="pct"/>
            <w:tcBorders>
              <w:top w:val="nil"/>
              <w:bottom w:val="nil"/>
            </w:tcBorders>
            <w:shd w:val="clear" w:color="auto" w:fill="auto"/>
          </w:tcPr>
          <w:p w14:paraId="5B4A1EE3" w14:textId="77777777" w:rsidR="00674822" w:rsidRPr="005D71A4" w:rsidRDefault="00674822" w:rsidP="00770C93">
            <w:pPr>
              <w:pStyle w:val="051Tabletext228pt"/>
              <w:rPr>
                <w:sz w:val="18"/>
                <w:szCs w:val="18"/>
              </w:rPr>
            </w:pPr>
            <w:r w:rsidRPr="005D71A4">
              <w:rPr>
                <w:sz w:val="18"/>
                <w:szCs w:val="18"/>
              </w:rPr>
              <w:t>9, N=2,292 (S); 5, N=1,352 (M)</w:t>
            </w:r>
          </w:p>
        </w:tc>
        <w:tc>
          <w:tcPr>
            <w:tcW w:w="806" w:type="pct"/>
            <w:tcBorders>
              <w:top w:val="nil"/>
              <w:bottom w:val="nil"/>
            </w:tcBorders>
            <w:shd w:val="clear" w:color="auto" w:fill="FFE599" w:themeFill="accent4" w:themeFillTint="66"/>
          </w:tcPr>
          <w:p w14:paraId="458FC7FA"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nil"/>
            </w:tcBorders>
            <w:shd w:val="clear" w:color="auto" w:fill="auto"/>
          </w:tcPr>
          <w:p w14:paraId="37F78FAC" w14:textId="77777777" w:rsidR="00674822" w:rsidRPr="005D71A4" w:rsidRDefault="00674822" w:rsidP="00770C9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2F4F88C3" w14:textId="77777777" w:rsidR="00674822" w:rsidRPr="005D71A4" w:rsidRDefault="00674822" w:rsidP="00770C93">
            <w:pPr>
              <w:pStyle w:val="051Tabletext228pt"/>
              <w:rPr>
                <w:sz w:val="18"/>
                <w:szCs w:val="18"/>
              </w:rPr>
            </w:pPr>
            <w:r w:rsidRPr="005D71A4">
              <w:rPr>
                <w:sz w:val="18"/>
                <w:szCs w:val="18"/>
              </w:rPr>
              <w:t>No difference (S, M)</w:t>
            </w:r>
          </w:p>
        </w:tc>
      </w:tr>
      <w:tr w:rsidR="00674822" w14:paraId="435B55C9" w14:textId="77777777" w:rsidTr="00770C93">
        <w:tc>
          <w:tcPr>
            <w:tcW w:w="1000" w:type="pct"/>
            <w:tcBorders>
              <w:top w:val="nil"/>
              <w:bottom w:val="single" w:sz="4" w:space="0" w:color="auto"/>
            </w:tcBorders>
          </w:tcPr>
          <w:p w14:paraId="08382D76" w14:textId="77777777" w:rsidR="00674822" w:rsidRPr="005D71A4" w:rsidRDefault="00674822" w:rsidP="00770C93">
            <w:pPr>
              <w:pStyle w:val="051Tabletext228pt"/>
              <w:rPr>
                <w:sz w:val="18"/>
                <w:szCs w:val="18"/>
              </w:rPr>
            </w:pPr>
            <w:r w:rsidRPr="005D71A4">
              <w:rPr>
                <w:sz w:val="18"/>
                <w:szCs w:val="18"/>
              </w:rPr>
              <w:t>Number of incontinence episodes per day</w:t>
            </w:r>
          </w:p>
        </w:tc>
        <w:tc>
          <w:tcPr>
            <w:tcW w:w="1194" w:type="pct"/>
            <w:tcBorders>
              <w:top w:val="nil"/>
              <w:bottom w:val="single" w:sz="4" w:space="0" w:color="auto"/>
            </w:tcBorders>
            <w:shd w:val="clear" w:color="auto" w:fill="auto"/>
          </w:tcPr>
          <w:p w14:paraId="6E34C7A1" w14:textId="77777777" w:rsidR="00674822" w:rsidRPr="005D71A4" w:rsidRDefault="00674822" w:rsidP="00770C93">
            <w:pPr>
              <w:pStyle w:val="051Tabletext228pt"/>
              <w:rPr>
                <w:sz w:val="18"/>
                <w:szCs w:val="18"/>
              </w:rPr>
            </w:pPr>
            <w:r w:rsidRPr="005D71A4">
              <w:rPr>
                <w:sz w:val="18"/>
                <w:szCs w:val="18"/>
              </w:rPr>
              <w:t>1, N=36 (M)</w:t>
            </w:r>
          </w:p>
        </w:tc>
        <w:tc>
          <w:tcPr>
            <w:tcW w:w="806" w:type="pct"/>
            <w:tcBorders>
              <w:top w:val="nil"/>
              <w:bottom w:val="single" w:sz="4" w:space="0" w:color="auto"/>
            </w:tcBorders>
            <w:shd w:val="clear" w:color="auto" w:fill="FFE599" w:themeFill="accent4" w:themeFillTint="66"/>
          </w:tcPr>
          <w:p w14:paraId="79DB5B6E"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single" w:sz="4" w:space="0" w:color="auto"/>
            </w:tcBorders>
            <w:shd w:val="clear" w:color="auto" w:fill="auto"/>
          </w:tcPr>
          <w:p w14:paraId="6F4F732F" w14:textId="77777777" w:rsidR="00674822" w:rsidRPr="005D71A4" w:rsidRDefault="00674822" w:rsidP="00770C93">
            <w:pPr>
              <w:pStyle w:val="051Tabletext228pt"/>
              <w:rPr>
                <w:sz w:val="18"/>
                <w:szCs w:val="18"/>
              </w:rPr>
            </w:pPr>
            <w:r w:rsidRPr="005D71A4">
              <w:rPr>
                <w:sz w:val="18"/>
                <w:szCs w:val="18"/>
              </w:rPr>
              <w:t>No difference (M)</w:t>
            </w:r>
          </w:p>
        </w:tc>
        <w:tc>
          <w:tcPr>
            <w:tcW w:w="1000" w:type="pct"/>
            <w:tcBorders>
              <w:top w:val="nil"/>
              <w:bottom w:val="single" w:sz="4" w:space="0" w:color="auto"/>
            </w:tcBorders>
            <w:shd w:val="clear" w:color="auto" w:fill="auto"/>
          </w:tcPr>
          <w:p w14:paraId="5602C563" w14:textId="77777777" w:rsidR="00674822" w:rsidRPr="005D71A4" w:rsidRDefault="00674822" w:rsidP="00770C93">
            <w:pPr>
              <w:pStyle w:val="051Tabletext228pt"/>
              <w:rPr>
                <w:sz w:val="18"/>
                <w:szCs w:val="18"/>
              </w:rPr>
            </w:pPr>
            <w:r w:rsidRPr="005D71A4">
              <w:rPr>
                <w:sz w:val="18"/>
                <w:szCs w:val="18"/>
              </w:rPr>
              <w:t>No difference (M)</w:t>
            </w:r>
          </w:p>
        </w:tc>
      </w:tr>
      <w:tr w:rsidR="00674822" w14:paraId="561BE79C" w14:textId="77777777" w:rsidTr="00770C93">
        <w:tc>
          <w:tcPr>
            <w:tcW w:w="1000" w:type="pct"/>
            <w:tcBorders>
              <w:bottom w:val="nil"/>
            </w:tcBorders>
            <w:shd w:val="clear" w:color="auto" w:fill="E7E6E6" w:themeFill="background2"/>
          </w:tcPr>
          <w:p w14:paraId="21F6CC4C" w14:textId="77777777" w:rsidR="00674822" w:rsidRPr="005D71A4" w:rsidRDefault="00674822" w:rsidP="00770C93">
            <w:pPr>
              <w:pStyle w:val="051Tabletext228pt"/>
              <w:rPr>
                <w:b/>
                <w:bCs/>
                <w:sz w:val="18"/>
                <w:szCs w:val="18"/>
                <w:highlight w:val="yellow"/>
              </w:rPr>
            </w:pPr>
            <w:r w:rsidRPr="005D71A4">
              <w:rPr>
                <w:b/>
                <w:bCs/>
                <w:sz w:val="18"/>
                <w:szCs w:val="18"/>
              </w:rPr>
              <w:t xml:space="preserve">Continence-specific </w:t>
            </w:r>
            <w:proofErr w:type="spellStart"/>
            <w:r w:rsidRPr="005D71A4">
              <w:rPr>
                <w:b/>
                <w:bCs/>
                <w:sz w:val="18"/>
                <w:szCs w:val="18"/>
              </w:rPr>
              <w:t>HRQoL</w:t>
            </w:r>
            <w:proofErr w:type="spellEnd"/>
          </w:p>
        </w:tc>
        <w:tc>
          <w:tcPr>
            <w:tcW w:w="1194" w:type="pct"/>
            <w:tcBorders>
              <w:bottom w:val="nil"/>
            </w:tcBorders>
            <w:shd w:val="clear" w:color="auto" w:fill="E7E6E6" w:themeFill="background2"/>
          </w:tcPr>
          <w:p w14:paraId="14085601" w14:textId="77777777" w:rsidR="00674822" w:rsidRPr="005D71A4" w:rsidRDefault="00674822" w:rsidP="00770C93">
            <w:pPr>
              <w:pStyle w:val="051Tabletext228pt"/>
              <w:rPr>
                <w:sz w:val="18"/>
                <w:szCs w:val="18"/>
              </w:rPr>
            </w:pPr>
          </w:p>
        </w:tc>
        <w:tc>
          <w:tcPr>
            <w:tcW w:w="806" w:type="pct"/>
            <w:tcBorders>
              <w:bottom w:val="nil"/>
            </w:tcBorders>
            <w:shd w:val="clear" w:color="auto" w:fill="E7E6E6" w:themeFill="background2"/>
          </w:tcPr>
          <w:p w14:paraId="1ED82867"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6592A832"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464B6985" w14:textId="77777777" w:rsidR="00674822" w:rsidRPr="005D71A4" w:rsidRDefault="00674822" w:rsidP="00770C93">
            <w:pPr>
              <w:pStyle w:val="051Tabletext228pt"/>
              <w:rPr>
                <w:sz w:val="18"/>
                <w:szCs w:val="18"/>
              </w:rPr>
            </w:pPr>
          </w:p>
        </w:tc>
      </w:tr>
      <w:tr w:rsidR="00674822" w14:paraId="470625B9" w14:textId="77777777" w:rsidTr="00770C93">
        <w:tc>
          <w:tcPr>
            <w:tcW w:w="1000" w:type="pct"/>
            <w:tcBorders>
              <w:top w:val="nil"/>
              <w:bottom w:val="nil"/>
            </w:tcBorders>
          </w:tcPr>
          <w:p w14:paraId="079132C7" w14:textId="77777777" w:rsidR="00674822" w:rsidRPr="005D71A4" w:rsidRDefault="00674822" w:rsidP="00770C93">
            <w:pPr>
              <w:pStyle w:val="051Tabletext228pt"/>
              <w:rPr>
                <w:sz w:val="18"/>
                <w:szCs w:val="18"/>
              </w:rPr>
            </w:pPr>
            <w:r w:rsidRPr="005D71A4">
              <w:rPr>
                <w:sz w:val="18"/>
                <w:szCs w:val="18"/>
              </w:rPr>
              <w:t>ICIQ-UI-QoL score (M)</w:t>
            </w:r>
          </w:p>
        </w:tc>
        <w:tc>
          <w:tcPr>
            <w:tcW w:w="1194" w:type="pct"/>
            <w:tcBorders>
              <w:top w:val="nil"/>
              <w:bottom w:val="nil"/>
            </w:tcBorders>
            <w:shd w:val="clear" w:color="auto" w:fill="auto"/>
          </w:tcPr>
          <w:p w14:paraId="6855AD5E" w14:textId="77777777" w:rsidR="00674822" w:rsidRPr="005D71A4" w:rsidRDefault="00674822" w:rsidP="00770C93">
            <w:pPr>
              <w:pStyle w:val="051Tabletext228pt"/>
              <w:rPr>
                <w:sz w:val="18"/>
                <w:szCs w:val="18"/>
              </w:rPr>
            </w:pPr>
            <w:r w:rsidRPr="005D71A4">
              <w:rPr>
                <w:sz w:val="18"/>
                <w:szCs w:val="18"/>
              </w:rPr>
              <w:t>1, N=100 (M)</w:t>
            </w:r>
          </w:p>
        </w:tc>
        <w:tc>
          <w:tcPr>
            <w:tcW w:w="806" w:type="pct"/>
            <w:tcBorders>
              <w:top w:val="nil"/>
              <w:bottom w:val="nil"/>
            </w:tcBorders>
            <w:shd w:val="clear" w:color="auto" w:fill="F4B083" w:themeFill="accent2" w:themeFillTint="99"/>
          </w:tcPr>
          <w:p w14:paraId="39E8EE61"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380DC30D" w14:textId="77777777" w:rsidR="00674822" w:rsidRPr="005D71A4" w:rsidRDefault="00674822" w:rsidP="00770C93">
            <w:pPr>
              <w:pStyle w:val="051Tabletext228pt"/>
              <w:rPr>
                <w:sz w:val="18"/>
                <w:szCs w:val="18"/>
              </w:rPr>
            </w:pPr>
            <w:r w:rsidRPr="005D71A4">
              <w:rPr>
                <w:sz w:val="18"/>
                <w:szCs w:val="18"/>
              </w:rPr>
              <w:t>Favours RP-MUS (M)</w:t>
            </w:r>
          </w:p>
        </w:tc>
        <w:tc>
          <w:tcPr>
            <w:tcW w:w="1000" w:type="pct"/>
            <w:tcBorders>
              <w:top w:val="nil"/>
              <w:bottom w:val="nil"/>
            </w:tcBorders>
            <w:shd w:val="clear" w:color="auto" w:fill="E5DDEB"/>
          </w:tcPr>
          <w:p w14:paraId="03008BF7" w14:textId="77777777" w:rsidR="00674822" w:rsidRPr="005D71A4" w:rsidRDefault="00674822" w:rsidP="00770C93">
            <w:pPr>
              <w:pStyle w:val="051Tabletext228pt"/>
              <w:rPr>
                <w:sz w:val="18"/>
                <w:szCs w:val="18"/>
              </w:rPr>
            </w:pPr>
            <w:r w:rsidRPr="005D71A4">
              <w:rPr>
                <w:sz w:val="18"/>
                <w:szCs w:val="18"/>
              </w:rPr>
              <w:t>Favours RP-MUS (M)</w:t>
            </w:r>
          </w:p>
        </w:tc>
      </w:tr>
      <w:tr w:rsidR="00674822" w14:paraId="3A154777" w14:textId="77777777" w:rsidTr="00770C93">
        <w:tc>
          <w:tcPr>
            <w:tcW w:w="1000" w:type="pct"/>
            <w:tcBorders>
              <w:top w:val="nil"/>
              <w:bottom w:val="nil"/>
            </w:tcBorders>
          </w:tcPr>
          <w:p w14:paraId="51E1FD61" w14:textId="77777777" w:rsidR="00674822" w:rsidRPr="005D71A4" w:rsidRDefault="00674822" w:rsidP="00770C93">
            <w:pPr>
              <w:pStyle w:val="051Tabletext228pt"/>
              <w:rPr>
                <w:b/>
                <w:bCs/>
                <w:sz w:val="18"/>
                <w:szCs w:val="18"/>
                <w:highlight w:val="yellow"/>
              </w:rPr>
            </w:pPr>
            <w:r w:rsidRPr="005D71A4">
              <w:rPr>
                <w:sz w:val="18"/>
                <w:szCs w:val="18"/>
              </w:rPr>
              <w:t>I-QoL score (S)</w:t>
            </w:r>
          </w:p>
        </w:tc>
        <w:tc>
          <w:tcPr>
            <w:tcW w:w="1194" w:type="pct"/>
            <w:tcBorders>
              <w:top w:val="nil"/>
              <w:bottom w:val="nil"/>
            </w:tcBorders>
            <w:shd w:val="clear" w:color="auto" w:fill="auto"/>
          </w:tcPr>
          <w:p w14:paraId="65C2548B" w14:textId="77777777" w:rsidR="00674822" w:rsidRPr="005D71A4" w:rsidRDefault="00674822" w:rsidP="00770C93">
            <w:pPr>
              <w:pStyle w:val="051Tabletext228pt"/>
              <w:rPr>
                <w:sz w:val="18"/>
                <w:szCs w:val="18"/>
              </w:rPr>
            </w:pPr>
            <w:r w:rsidRPr="005D71A4">
              <w:rPr>
                <w:sz w:val="18"/>
                <w:szCs w:val="18"/>
              </w:rPr>
              <w:t>1, N=125 (S)</w:t>
            </w:r>
          </w:p>
        </w:tc>
        <w:tc>
          <w:tcPr>
            <w:tcW w:w="806" w:type="pct"/>
            <w:tcBorders>
              <w:top w:val="nil"/>
              <w:bottom w:val="nil"/>
            </w:tcBorders>
            <w:shd w:val="clear" w:color="auto" w:fill="F4B083" w:themeFill="accent2" w:themeFillTint="99"/>
          </w:tcPr>
          <w:p w14:paraId="6B323E52"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018DCA3A" w14:textId="77777777" w:rsidR="00674822" w:rsidRPr="005D71A4" w:rsidRDefault="00674822" w:rsidP="00770C9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3793BF0E" w14:textId="77777777" w:rsidR="00674822" w:rsidRPr="005D71A4" w:rsidRDefault="00674822" w:rsidP="00770C93">
            <w:pPr>
              <w:pStyle w:val="051Tabletext228pt"/>
              <w:rPr>
                <w:sz w:val="18"/>
                <w:szCs w:val="18"/>
              </w:rPr>
            </w:pPr>
            <w:r w:rsidRPr="005D71A4">
              <w:rPr>
                <w:sz w:val="18"/>
                <w:szCs w:val="18"/>
              </w:rPr>
              <w:t>Favours RP-MUS (S)</w:t>
            </w:r>
          </w:p>
        </w:tc>
      </w:tr>
      <w:tr w:rsidR="00674822" w14:paraId="2855FB23" w14:textId="77777777" w:rsidTr="00770C93">
        <w:tc>
          <w:tcPr>
            <w:tcW w:w="1000" w:type="pct"/>
            <w:tcBorders>
              <w:top w:val="nil"/>
              <w:bottom w:val="nil"/>
            </w:tcBorders>
          </w:tcPr>
          <w:p w14:paraId="5D637B31" w14:textId="77777777" w:rsidR="00674822" w:rsidRPr="005D71A4" w:rsidRDefault="00674822" w:rsidP="00770C93">
            <w:pPr>
              <w:pStyle w:val="051Tabletext228pt"/>
              <w:rPr>
                <w:sz w:val="18"/>
                <w:szCs w:val="18"/>
              </w:rPr>
            </w:pPr>
            <w:r w:rsidRPr="005D71A4">
              <w:rPr>
                <w:sz w:val="18"/>
                <w:szCs w:val="18"/>
              </w:rPr>
              <w:t>ICIQ-UI-QoL score (S)</w:t>
            </w:r>
          </w:p>
        </w:tc>
        <w:tc>
          <w:tcPr>
            <w:tcW w:w="1194" w:type="pct"/>
            <w:tcBorders>
              <w:top w:val="nil"/>
              <w:bottom w:val="nil"/>
            </w:tcBorders>
            <w:shd w:val="clear" w:color="auto" w:fill="auto"/>
          </w:tcPr>
          <w:p w14:paraId="4C79F445" w14:textId="77777777" w:rsidR="00674822" w:rsidRPr="005D71A4" w:rsidRDefault="00674822" w:rsidP="00770C93">
            <w:pPr>
              <w:pStyle w:val="051Tabletext228pt"/>
              <w:rPr>
                <w:sz w:val="18"/>
                <w:szCs w:val="18"/>
              </w:rPr>
            </w:pPr>
            <w:r w:rsidRPr="005D71A4">
              <w:rPr>
                <w:sz w:val="18"/>
                <w:szCs w:val="18"/>
              </w:rPr>
              <w:t>1, N=100 (S)</w:t>
            </w:r>
          </w:p>
        </w:tc>
        <w:tc>
          <w:tcPr>
            <w:tcW w:w="806" w:type="pct"/>
            <w:tcBorders>
              <w:top w:val="nil"/>
              <w:bottom w:val="nil"/>
            </w:tcBorders>
            <w:shd w:val="clear" w:color="auto" w:fill="F4B083" w:themeFill="accent2" w:themeFillTint="99"/>
          </w:tcPr>
          <w:p w14:paraId="7D9CE35D"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06CB60FF" w14:textId="77777777" w:rsidR="00674822" w:rsidRPr="005D71A4" w:rsidRDefault="00674822" w:rsidP="00770C93">
            <w:pPr>
              <w:pStyle w:val="051Tabletext228pt"/>
              <w:rPr>
                <w:sz w:val="18"/>
                <w:szCs w:val="18"/>
              </w:rPr>
            </w:pPr>
            <w:r w:rsidRPr="005D71A4">
              <w:rPr>
                <w:sz w:val="18"/>
                <w:szCs w:val="18"/>
              </w:rPr>
              <w:t>No difference</w:t>
            </w:r>
          </w:p>
        </w:tc>
        <w:tc>
          <w:tcPr>
            <w:tcW w:w="1000" w:type="pct"/>
            <w:tcBorders>
              <w:top w:val="nil"/>
              <w:bottom w:val="nil"/>
            </w:tcBorders>
            <w:shd w:val="clear" w:color="auto" w:fill="F1ECF4"/>
          </w:tcPr>
          <w:p w14:paraId="4354D401" w14:textId="77777777" w:rsidR="00674822" w:rsidRPr="005D71A4" w:rsidRDefault="00674822" w:rsidP="00770C93">
            <w:pPr>
              <w:pStyle w:val="051Tabletext228pt"/>
              <w:rPr>
                <w:sz w:val="18"/>
                <w:szCs w:val="18"/>
              </w:rPr>
            </w:pPr>
            <w:r w:rsidRPr="005D71A4">
              <w:rPr>
                <w:sz w:val="18"/>
                <w:szCs w:val="18"/>
              </w:rPr>
              <w:t>May favour RP-MUS (S)</w:t>
            </w:r>
          </w:p>
        </w:tc>
      </w:tr>
      <w:tr w:rsidR="00674822" w14:paraId="71D8DEA2" w14:textId="77777777" w:rsidTr="00770C93">
        <w:tc>
          <w:tcPr>
            <w:tcW w:w="1000" w:type="pct"/>
            <w:tcBorders>
              <w:top w:val="nil"/>
              <w:bottom w:val="nil"/>
            </w:tcBorders>
          </w:tcPr>
          <w:p w14:paraId="05904037" w14:textId="77777777" w:rsidR="00674822" w:rsidRPr="005D71A4" w:rsidRDefault="00674822" w:rsidP="00770C93">
            <w:pPr>
              <w:pStyle w:val="051Tabletext228pt"/>
              <w:rPr>
                <w:b/>
                <w:bCs/>
                <w:sz w:val="18"/>
                <w:szCs w:val="18"/>
                <w:highlight w:val="yellow"/>
              </w:rPr>
            </w:pPr>
            <w:r w:rsidRPr="005D71A4">
              <w:rPr>
                <w:sz w:val="18"/>
                <w:szCs w:val="18"/>
              </w:rPr>
              <w:t>King’s Health Questionnaire – Intercourse score (M)</w:t>
            </w:r>
          </w:p>
        </w:tc>
        <w:tc>
          <w:tcPr>
            <w:tcW w:w="1194" w:type="pct"/>
            <w:tcBorders>
              <w:top w:val="nil"/>
              <w:bottom w:val="nil"/>
            </w:tcBorders>
            <w:shd w:val="clear" w:color="auto" w:fill="auto"/>
          </w:tcPr>
          <w:p w14:paraId="09FC30EF" w14:textId="77777777" w:rsidR="00674822" w:rsidRPr="005D71A4" w:rsidRDefault="00674822" w:rsidP="00770C93">
            <w:pPr>
              <w:pStyle w:val="051Tabletext228pt"/>
              <w:rPr>
                <w:sz w:val="18"/>
                <w:szCs w:val="18"/>
              </w:rPr>
            </w:pPr>
            <w:r w:rsidRPr="005D71A4">
              <w:rPr>
                <w:sz w:val="18"/>
                <w:szCs w:val="18"/>
              </w:rPr>
              <w:t>1, N=331 (M)</w:t>
            </w:r>
          </w:p>
        </w:tc>
        <w:tc>
          <w:tcPr>
            <w:tcW w:w="806" w:type="pct"/>
            <w:tcBorders>
              <w:top w:val="nil"/>
              <w:bottom w:val="nil"/>
            </w:tcBorders>
            <w:shd w:val="clear" w:color="auto" w:fill="F4B083" w:themeFill="accent2" w:themeFillTint="99"/>
          </w:tcPr>
          <w:p w14:paraId="2AEE0815"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FFCCCC"/>
          </w:tcPr>
          <w:p w14:paraId="08B8DD82" w14:textId="77777777" w:rsidR="00674822" w:rsidRPr="005D71A4" w:rsidRDefault="00674822" w:rsidP="00770C93">
            <w:pPr>
              <w:pStyle w:val="051Tabletext228pt"/>
              <w:rPr>
                <w:sz w:val="18"/>
                <w:szCs w:val="18"/>
              </w:rPr>
            </w:pPr>
            <w:r w:rsidRPr="005D71A4">
              <w:rPr>
                <w:sz w:val="18"/>
                <w:szCs w:val="18"/>
              </w:rPr>
              <w:t>Favours TO-MUS (M)</w:t>
            </w:r>
          </w:p>
        </w:tc>
        <w:tc>
          <w:tcPr>
            <w:tcW w:w="1000" w:type="pct"/>
            <w:tcBorders>
              <w:top w:val="nil"/>
              <w:bottom w:val="nil"/>
            </w:tcBorders>
            <w:shd w:val="clear" w:color="auto" w:fill="FFCCCC"/>
          </w:tcPr>
          <w:p w14:paraId="37166978" w14:textId="77777777" w:rsidR="00674822" w:rsidRPr="005D71A4" w:rsidRDefault="00674822" w:rsidP="00770C93">
            <w:pPr>
              <w:pStyle w:val="051Tabletext228pt"/>
              <w:rPr>
                <w:sz w:val="18"/>
                <w:szCs w:val="18"/>
              </w:rPr>
            </w:pPr>
            <w:r w:rsidRPr="005D71A4">
              <w:rPr>
                <w:sz w:val="18"/>
                <w:szCs w:val="18"/>
              </w:rPr>
              <w:t>Favours TO-MUS (M)</w:t>
            </w:r>
          </w:p>
        </w:tc>
      </w:tr>
      <w:tr w:rsidR="00674822" w14:paraId="4CB70B26" w14:textId="77777777" w:rsidTr="00770C93">
        <w:tc>
          <w:tcPr>
            <w:tcW w:w="1000" w:type="pct"/>
            <w:tcBorders>
              <w:top w:val="nil"/>
              <w:bottom w:val="single" w:sz="4" w:space="0" w:color="auto"/>
            </w:tcBorders>
          </w:tcPr>
          <w:p w14:paraId="27E1D5FA" w14:textId="77777777" w:rsidR="00674822" w:rsidRPr="005D71A4" w:rsidRDefault="00674822" w:rsidP="00770C93">
            <w:pPr>
              <w:pStyle w:val="051Tabletext228pt"/>
              <w:rPr>
                <w:sz w:val="18"/>
                <w:szCs w:val="18"/>
              </w:rPr>
            </w:pPr>
            <w:r w:rsidRPr="005D71A4">
              <w:rPr>
                <w:sz w:val="18"/>
                <w:szCs w:val="18"/>
              </w:rPr>
              <w:t xml:space="preserve">All other </w:t>
            </w:r>
            <w:proofErr w:type="gramStart"/>
            <w:r w:rsidRPr="005D71A4">
              <w:rPr>
                <w:sz w:val="18"/>
                <w:szCs w:val="18"/>
              </w:rPr>
              <w:t>health-related</w:t>
            </w:r>
            <w:proofErr w:type="gramEnd"/>
            <w:r w:rsidRPr="005D71A4">
              <w:rPr>
                <w:sz w:val="18"/>
                <w:szCs w:val="18"/>
              </w:rPr>
              <w:t xml:space="preserve"> QoL measures</w:t>
            </w:r>
          </w:p>
        </w:tc>
        <w:tc>
          <w:tcPr>
            <w:tcW w:w="1194" w:type="pct"/>
            <w:tcBorders>
              <w:top w:val="nil"/>
              <w:bottom w:val="single" w:sz="4" w:space="0" w:color="auto"/>
            </w:tcBorders>
            <w:shd w:val="clear" w:color="auto" w:fill="auto"/>
          </w:tcPr>
          <w:p w14:paraId="1DDAABAB" w14:textId="77777777" w:rsidR="00674822" w:rsidRPr="005D71A4" w:rsidRDefault="00674822" w:rsidP="00770C93">
            <w:pPr>
              <w:pStyle w:val="051Tabletext228pt"/>
              <w:rPr>
                <w:sz w:val="18"/>
                <w:szCs w:val="18"/>
              </w:rPr>
            </w:pPr>
            <w:r w:rsidRPr="005D71A4">
              <w:rPr>
                <w:sz w:val="18"/>
                <w:szCs w:val="18"/>
              </w:rPr>
              <w:t>1 to 5, N= 100 to 887</w:t>
            </w:r>
          </w:p>
        </w:tc>
        <w:tc>
          <w:tcPr>
            <w:tcW w:w="806" w:type="pct"/>
            <w:tcBorders>
              <w:top w:val="nil"/>
              <w:bottom w:val="single" w:sz="4" w:space="0" w:color="auto"/>
            </w:tcBorders>
            <w:shd w:val="clear" w:color="auto" w:fill="F4B083" w:themeFill="accent2" w:themeFillTint="99"/>
          </w:tcPr>
          <w:p w14:paraId="68F87C69" w14:textId="77777777" w:rsidR="00674822" w:rsidRPr="005D71A4" w:rsidRDefault="00674822" w:rsidP="00770C93">
            <w:pPr>
              <w:pStyle w:val="051Tabletext228pt"/>
              <w:rPr>
                <w:sz w:val="18"/>
                <w:szCs w:val="18"/>
              </w:rPr>
            </w:pPr>
            <w:r w:rsidRPr="005D71A4">
              <w:rPr>
                <w:sz w:val="18"/>
                <w:szCs w:val="18"/>
              </w:rPr>
              <w:t>Very low or Low</w:t>
            </w:r>
          </w:p>
        </w:tc>
        <w:tc>
          <w:tcPr>
            <w:tcW w:w="1000" w:type="pct"/>
            <w:tcBorders>
              <w:top w:val="nil"/>
              <w:bottom w:val="single" w:sz="4" w:space="0" w:color="auto"/>
            </w:tcBorders>
            <w:shd w:val="clear" w:color="auto" w:fill="auto"/>
          </w:tcPr>
          <w:p w14:paraId="1FC9B851" w14:textId="77777777" w:rsidR="00674822" w:rsidRPr="005D71A4" w:rsidRDefault="00674822" w:rsidP="00770C93">
            <w:pPr>
              <w:pStyle w:val="051Tabletext228pt"/>
              <w:rPr>
                <w:sz w:val="18"/>
                <w:szCs w:val="18"/>
              </w:rPr>
            </w:pPr>
            <w:r w:rsidRPr="005D71A4">
              <w:rPr>
                <w:sz w:val="18"/>
                <w:szCs w:val="18"/>
              </w:rPr>
              <w:t>Variable</w:t>
            </w:r>
          </w:p>
        </w:tc>
        <w:tc>
          <w:tcPr>
            <w:tcW w:w="1000" w:type="pct"/>
            <w:tcBorders>
              <w:top w:val="nil"/>
              <w:bottom w:val="single" w:sz="4" w:space="0" w:color="auto"/>
            </w:tcBorders>
            <w:shd w:val="clear" w:color="auto" w:fill="auto"/>
          </w:tcPr>
          <w:p w14:paraId="18B0ABAF" w14:textId="77777777" w:rsidR="00674822" w:rsidRPr="005D71A4" w:rsidRDefault="00674822" w:rsidP="00770C93">
            <w:pPr>
              <w:pStyle w:val="051Tabletext228pt"/>
              <w:rPr>
                <w:sz w:val="18"/>
                <w:szCs w:val="18"/>
              </w:rPr>
            </w:pPr>
            <w:r w:rsidRPr="005D71A4">
              <w:rPr>
                <w:sz w:val="18"/>
                <w:szCs w:val="18"/>
              </w:rPr>
              <w:t>No difference</w:t>
            </w:r>
          </w:p>
        </w:tc>
      </w:tr>
      <w:tr w:rsidR="00674822" w14:paraId="3D45C3A9" w14:textId="77777777" w:rsidTr="00770C93">
        <w:tc>
          <w:tcPr>
            <w:tcW w:w="1000" w:type="pct"/>
            <w:tcBorders>
              <w:bottom w:val="single" w:sz="4" w:space="0" w:color="auto"/>
            </w:tcBorders>
            <w:shd w:val="clear" w:color="auto" w:fill="E7E6E6" w:themeFill="background2"/>
          </w:tcPr>
          <w:p w14:paraId="2533A1F3" w14:textId="77777777" w:rsidR="00674822" w:rsidRPr="00FD16B7" w:rsidRDefault="00674822" w:rsidP="00770C93">
            <w:pPr>
              <w:pStyle w:val="051Tabletext228pt"/>
              <w:rPr>
                <w:b/>
                <w:bCs/>
                <w:sz w:val="18"/>
                <w:szCs w:val="18"/>
              </w:rPr>
            </w:pPr>
            <w:r w:rsidRPr="00FD16B7">
              <w:rPr>
                <w:b/>
                <w:bCs/>
                <w:sz w:val="18"/>
                <w:szCs w:val="18"/>
              </w:rPr>
              <w:t>Other patient-reported outcomes</w:t>
            </w:r>
          </w:p>
        </w:tc>
        <w:tc>
          <w:tcPr>
            <w:tcW w:w="1194" w:type="pct"/>
            <w:tcBorders>
              <w:bottom w:val="single" w:sz="4" w:space="0" w:color="auto"/>
            </w:tcBorders>
            <w:shd w:val="clear" w:color="auto" w:fill="E7E6E6" w:themeFill="background2"/>
          </w:tcPr>
          <w:p w14:paraId="48D8A565" w14:textId="77777777" w:rsidR="00674822" w:rsidRPr="005D71A4" w:rsidRDefault="00674822" w:rsidP="00770C93">
            <w:pPr>
              <w:pStyle w:val="051Tabletext228pt"/>
              <w:rPr>
                <w:sz w:val="18"/>
                <w:szCs w:val="18"/>
              </w:rPr>
            </w:pPr>
          </w:p>
        </w:tc>
        <w:tc>
          <w:tcPr>
            <w:tcW w:w="806" w:type="pct"/>
            <w:tcBorders>
              <w:bottom w:val="single" w:sz="4" w:space="0" w:color="auto"/>
            </w:tcBorders>
            <w:shd w:val="clear" w:color="auto" w:fill="E7E6E6" w:themeFill="background2"/>
          </w:tcPr>
          <w:p w14:paraId="3A4DDD6C" w14:textId="77777777" w:rsidR="00674822" w:rsidRPr="005D71A4" w:rsidRDefault="00674822" w:rsidP="00770C93">
            <w:pPr>
              <w:pStyle w:val="051Tabletext228pt"/>
              <w:rPr>
                <w:sz w:val="18"/>
                <w:szCs w:val="18"/>
              </w:rPr>
            </w:pPr>
          </w:p>
        </w:tc>
        <w:tc>
          <w:tcPr>
            <w:tcW w:w="1000" w:type="pct"/>
            <w:tcBorders>
              <w:bottom w:val="single" w:sz="4" w:space="0" w:color="auto"/>
            </w:tcBorders>
            <w:shd w:val="clear" w:color="auto" w:fill="E7E6E6" w:themeFill="background2"/>
          </w:tcPr>
          <w:p w14:paraId="583447E2" w14:textId="77777777" w:rsidR="00674822" w:rsidRPr="005D71A4" w:rsidRDefault="00674822" w:rsidP="00770C93">
            <w:pPr>
              <w:pStyle w:val="051Tabletext228pt"/>
              <w:rPr>
                <w:sz w:val="18"/>
                <w:szCs w:val="18"/>
              </w:rPr>
            </w:pPr>
          </w:p>
        </w:tc>
        <w:tc>
          <w:tcPr>
            <w:tcW w:w="1000" w:type="pct"/>
            <w:tcBorders>
              <w:bottom w:val="single" w:sz="4" w:space="0" w:color="auto"/>
            </w:tcBorders>
            <w:shd w:val="clear" w:color="auto" w:fill="E7E6E6" w:themeFill="background2"/>
          </w:tcPr>
          <w:p w14:paraId="68B68629" w14:textId="77777777" w:rsidR="00674822" w:rsidRPr="005D71A4" w:rsidRDefault="00674822" w:rsidP="00770C93">
            <w:pPr>
              <w:pStyle w:val="051Tabletext228pt"/>
              <w:rPr>
                <w:sz w:val="18"/>
                <w:szCs w:val="18"/>
              </w:rPr>
            </w:pPr>
          </w:p>
        </w:tc>
      </w:tr>
      <w:tr w:rsidR="00674822" w14:paraId="707355DE" w14:textId="77777777" w:rsidTr="00770C93">
        <w:tc>
          <w:tcPr>
            <w:tcW w:w="1000" w:type="pct"/>
            <w:tcBorders>
              <w:bottom w:val="single" w:sz="4" w:space="0" w:color="auto"/>
            </w:tcBorders>
          </w:tcPr>
          <w:p w14:paraId="38701265" w14:textId="77777777" w:rsidR="00674822" w:rsidRPr="000B2070" w:rsidRDefault="00674822" w:rsidP="00770C93">
            <w:pPr>
              <w:pStyle w:val="051Tabletext228pt"/>
              <w:rPr>
                <w:sz w:val="18"/>
                <w:szCs w:val="18"/>
                <w:highlight w:val="yellow"/>
              </w:rPr>
            </w:pPr>
            <w:r w:rsidRPr="000B2070">
              <w:rPr>
                <w:sz w:val="18"/>
                <w:szCs w:val="18"/>
              </w:rPr>
              <w:t>Patient-satisfaction/patient-reported improvement</w:t>
            </w:r>
          </w:p>
        </w:tc>
        <w:tc>
          <w:tcPr>
            <w:tcW w:w="1194" w:type="pct"/>
            <w:tcBorders>
              <w:bottom w:val="single" w:sz="4" w:space="0" w:color="auto"/>
            </w:tcBorders>
            <w:shd w:val="clear" w:color="auto" w:fill="auto"/>
          </w:tcPr>
          <w:p w14:paraId="3E7E8B07" w14:textId="77777777" w:rsidR="00674822" w:rsidRPr="005D71A4" w:rsidRDefault="00674822" w:rsidP="00770C93">
            <w:pPr>
              <w:pStyle w:val="051Tabletext228pt"/>
              <w:rPr>
                <w:sz w:val="18"/>
                <w:szCs w:val="18"/>
              </w:rPr>
            </w:pPr>
            <w:r w:rsidRPr="005D71A4">
              <w:rPr>
                <w:sz w:val="18"/>
                <w:szCs w:val="18"/>
              </w:rPr>
              <w:t>13, N=2,771 (M); 1, N=140 (L)</w:t>
            </w:r>
          </w:p>
        </w:tc>
        <w:tc>
          <w:tcPr>
            <w:tcW w:w="806" w:type="pct"/>
            <w:tcBorders>
              <w:bottom w:val="single" w:sz="4" w:space="0" w:color="auto"/>
            </w:tcBorders>
            <w:shd w:val="clear" w:color="auto" w:fill="FFE599" w:themeFill="accent4" w:themeFillTint="66"/>
          </w:tcPr>
          <w:p w14:paraId="17A85952" w14:textId="77777777" w:rsidR="00674822" w:rsidRPr="005D71A4" w:rsidRDefault="00674822" w:rsidP="00770C93">
            <w:pPr>
              <w:pStyle w:val="051Tabletext228pt"/>
              <w:rPr>
                <w:sz w:val="18"/>
                <w:szCs w:val="18"/>
              </w:rPr>
            </w:pPr>
            <w:r w:rsidRPr="005D71A4">
              <w:rPr>
                <w:sz w:val="18"/>
                <w:szCs w:val="18"/>
              </w:rPr>
              <w:t>Low</w:t>
            </w:r>
          </w:p>
        </w:tc>
        <w:tc>
          <w:tcPr>
            <w:tcW w:w="1000" w:type="pct"/>
            <w:tcBorders>
              <w:bottom w:val="single" w:sz="4" w:space="0" w:color="auto"/>
            </w:tcBorders>
            <w:shd w:val="clear" w:color="auto" w:fill="auto"/>
          </w:tcPr>
          <w:p w14:paraId="30776719" w14:textId="77777777" w:rsidR="00674822" w:rsidRPr="005D71A4" w:rsidRDefault="00674822" w:rsidP="00770C93">
            <w:pPr>
              <w:pStyle w:val="051Tabletext228pt"/>
              <w:rPr>
                <w:sz w:val="18"/>
                <w:szCs w:val="18"/>
              </w:rPr>
            </w:pPr>
            <w:r w:rsidRPr="005D71A4">
              <w:rPr>
                <w:sz w:val="18"/>
                <w:szCs w:val="18"/>
              </w:rPr>
              <w:t>No difference (M, L)</w:t>
            </w:r>
          </w:p>
        </w:tc>
        <w:tc>
          <w:tcPr>
            <w:tcW w:w="1000" w:type="pct"/>
            <w:tcBorders>
              <w:bottom w:val="single" w:sz="4" w:space="0" w:color="auto"/>
            </w:tcBorders>
            <w:shd w:val="clear" w:color="auto" w:fill="auto"/>
          </w:tcPr>
          <w:p w14:paraId="6FBAE86B" w14:textId="77777777" w:rsidR="00674822" w:rsidRPr="005D71A4" w:rsidRDefault="00674822" w:rsidP="00770C93">
            <w:pPr>
              <w:pStyle w:val="051Tabletext228pt"/>
              <w:rPr>
                <w:sz w:val="18"/>
                <w:szCs w:val="18"/>
              </w:rPr>
            </w:pPr>
            <w:r w:rsidRPr="005D71A4">
              <w:rPr>
                <w:sz w:val="18"/>
                <w:szCs w:val="18"/>
              </w:rPr>
              <w:t>No difference (M, L)</w:t>
            </w:r>
          </w:p>
        </w:tc>
      </w:tr>
      <w:tr w:rsidR="00674822" w14:paraId="300B8743" w14:textId="77777777" w:rsidTr="00770C93">
        <w:tc>
          <w:tcPr>
            <w:tcW w:w="1000" w:type="pct"/>
            <w:tcBorders>
              <w:bottom w:val="nil"/>
            </w:tcBorders>
            <w:shd w:val="clear" w:color="auto" w:fill="E7E6E6" w:themeFill="background2"/>
          </w:tcPr>
          <w:p w14:paraId="13B20F60" w14:textId="77777777" w:rsidR="00674822" w:rsidRPr="005D71A4" w:rsidRDefault="00674822" w:rsidP="00770C93">
            <w:pPr>
              <w:pStyle w:val="051Tabletext228pt"/>
              <w:rPr>
                <w:b/>
                <w:bCs/>
                <w:sz w:val="18"/>
                <w:szCs w:val="18"/>
                <w:highlight w:val="yellow"/>
              </w:rPr>
            </w:pPr>
            <w:r w:rsidRPr="005D71A4">
              <w:rPr>
                <w:b/>
                <w:bCs/>
                <w:sz w:val="18"/>
                <w:szCs w:val="18"/>
              </w:rPr>
              <w:t>Adverse events</w:t>
            </w:r>
          </w:p>
        </w:tc>
        <w:tc>
          <w:tcPr>
            <w:tcW w:w="1194" w:type="pct"/>
            <w:tcBorders>
              <w:bottom w:val="nil"/>
            </w:tcBorders>
            <w:shd w:val="clear" w:color="auto" w:fill="E7E6E6" w:themeFill="background2"/>
          </w:tcPr>
          <w:p w14:paraId="310494BE" w14:textId="77777777" w:rsidR="00674822" w:rsidRPr="005D71A4" w:rsidRDefault="00674822" w:rsidP="00770C93">
            <w:pPr>
              <w:pStyle w:val="051Tabletext228pt"/>
              <w:rPr>
                <w:b/>
                <w:bCs/>
                <w:sz w:val="18"/>
                <w:szCs w:val="18"/>
              </w:rPr>
            </w:pPr>
          </w:p>
        </w:tc>
        <w:tc>
          <w:tcPr>
            <w:tcW w:w="806" w:type="pct"/>
            <w:tcBorders>
              <w:bottom w:val="nil"/>
            </w:tcBorders>
            <w:shd w:val="clear" w:color="auto" w:fill="E7E6E6" w:themeFill="background2"/>
          </w:tcPr>
          <w:p w14:paraId="17CAFFB6" w14:textId="77777777" w:rsidR="00674822" w:rsidRPr="005D71A4" w:rsidRDefault="00674822" w:rsidP="00770C93">
            <w:pPr>
              <w:pStyle w:val="051Tabletext228pt"/>
              <w:rPr>
                <w:b/>
                <w:bCs/>
                <w:sz w:val="18"/>
                <w:szCs w:val="18"/>
              </w:rPr>
            </w:pPr>
          </w:p>
        </w:tc>
        <w:tc>
          <w:tcPr>
            <w:tcW w:w="1000" w:type="pct"/>
            <w:tcBorders>
              <w:bottom w:val="nil"/>
            </w:tcBorders>
            <w:shd w:val="clear" w:color="auto" w:fill="E7E6E6" w:themeFill="background2"/>
          </w:tcPr>
          <w:p w14:paraId="61C0B5EB" w14:textId="77777777" w:rsidR="00674822" w:rsidRPr="005D71A4" w:rsidRDefault="00674822" w:rsidP="00770C93">
            <w:pPr>
              <w:pStyle w:val="051Tabletext228pt"/>
              <w:rPr>
                <w:b/>
                <w:bCs/>
                <w:sz w:val="18"/>
                <w:szCs w:val="18"/>
              </w:rPr>
            </w:pPr>
          </w:p>
        </w:tc>
        <w:tc>
          <w:tcPr>
            <w:tcW w:w="1000" w:type="pct"/>
            <w:tcBorders>
              <w:bottom w:val="nil"/>
            </w:tcBorders>
            <w:shd w:val="clear" w:color="auto" w:fill="E7E6E6" w:themeFill="background2"/>
          </w:tcPr>
          <w:p w14:paraId="390FD92E" w14:textId="77777777" w:rsidR="00674822" w:rsidRPr="005D71A4" w:rsidRDefault="00674822" w:rsidP="00770C93">
            <w:pPr>
              <w:pStyle w:val="051Tabletext228pt"/>
              <w:rPr>
                <w:b/>
                <w:bCs/>
                <w:sz w:val="18"/>
                <w:szCs w:val="18"/>
              </w:rPr>
            </w:pPr>
          </w:p>
        </w:tc>
      </w:tr>
      <w:tr w:rsidR="00674822" w14:paraId="6FCFC78D" w14:textId="77777777" w:rsidTr="00770C93">
        <w:tc>
          <w:tcPr>
            <w:tcW w:w="1000" w:type="pct"/>
            <w:tcBorders>
              <w:top w:val="nil"/>
              <w:bottom w:val="nil"/>
            </w:tcBorders>
          </w:tcPr>
          <w:p w14:paraId="4550EF1B" w14:textId="77777777" w:rsidR="00674822" w:rsidRPr="005D71A4" w:rsidRDefault="00674822" w:rsidP="00770C93">
            <w:pPr>
              <w:pStyle w:val="051Tabletext228pt"/>
              <w:rPr>
                <w:sz w:val="18"/>
                <w:szCs w:val="18"/>
              </w:rPr>
            </w:pPr>
            <w:r w:rsidRPr="005D71A4">
              <w:rPr>
                <w:sz w:val="18"/>
                <w:szCs w:val="18"/>
              </w:rPr>
              <w:t>bladder injury</w:t>
            </w:r>
          </w:p>
        </w:tc>
        <w:tc>
          <w:tcPr>
            <w:tcW w:w="1194" w:type="pct"/>
            <w:tcBorders>
              <w:top w:val="nil"/>
              <w:bottom w:val="nil"/>
            </w:tcBorders>
            <w:shd w:val="clear" w:color="auto" w:fill="auto"/>
          </w:tcPr>
          <w:p w14:paraId="4CF1A983" w14:textId="77777777" w:rsidR="00674822" w:rsidRPr="005D71A4" w:rsidRDefault="00674822" w:rsidP="00770C93">
            <w:pPr>
              <w:pStyle w:val="051Tabletext228pt"/>
              <w:rPr>
                <w:sz w:val="18"/>
                <w:szCs w:val="18"/>
              </w:rPr>
            </w:pPr>
            <w:r w:rsidRPr="005D71A4">
              <w:rPr>
                <w:sz w:val="18"/>
                <w:szCs w:val="18"/>
              </w:rPr>
              <w:t>40, N=6,654</w:t>
            </w:r>
          </w:p>
        </w:tc>
        <w:tc>
          <w:tcPr>
            <w:tcW w:w="806" w:type="pct"/>
            <w:tcBorders>
              <w:top w:val="nil"/>
              <w:bottom w:val="nil"/>
            </w:tcBorders>
            <w:shd w:val="clear" w:color="auto" w:fill="ACB9CA" w:themeFill="text2" w:themeFillTint="66"/>
          </w:tcPr>
          <w:p w14:paraId="6E00E419" w14:textId="77777777" w:rsidR="00674822" w:rsidRPr="005D71A4" w:rsidRDefault="00674822" w:rsidP="00770C93">
            <w:pPr>
              <w:pStyle w:val="051Tabletext228pt"/>
              <w:rPr>
                <w:sz w:val="18"/>
                <w:szCs w:val="18"/>
              </w:rPr>
            </w:pPr>
            <w:r w:rsidRPr="005D71A4">
              <w:rPr>
                <w:sz w:val="18"/>
                <w:szCs w:val="18"/>
              </w:rPr>
              <w:t>Moderate</w:t>
            </w:r>
          </w:p>
        </w:tc>
        <w:tc>
          <w:tcPr>
            <w:tcW w:w="1000" w:type="pct"/>
            <w:tcBorders>
              <w:top w:val="nil"/>
              <w:bottom w:val="nil"/>
            </w:tcBorders>
            <w:shd w:val="clear" w:color="auto" w:fill="FFCCCC"/>
          </w:tcPr>
          <w:p w14:paraId="333B874C" w14:textId="77777777" w:rsidR="00674822" w:rsidRPr="005D71A4" w:rsidRDefault="00674822" w:rsidP="00770C93">
            <w:pPr>
              <w:pStyle w:val="051Tabletext228pt"/>
              <w:rPr>
                <w:sz w:val="18"/>
                <w:szCs w:val="18"/>
              </w:rPr>
            </w:pPr>
            <w:r w:rsidRPr="005D71A4">
              <w:rPr>
                <w:sz w:val="18"/>
                <w:szCs w:val="18"/>
              </w:rPr>
              <w:t>Favours TO-MUS</w:t>
            </w:r>
          </w:p>
        </w:tc>
        <w:tc>
          <w:tcPr>
            <w:tcW w:w="1000" w:type="pct"/>
            <w:tcBorders>
              <w:top w:val="nil"/>
              <w:bottom w:val="nil"/>
            </w:tcBorders>
            <w:shd w:val="clear" w:color="auto" w:fill="FFCCCC"/>
          </w:tcPr>
          <w:p w14:paraId="0DC23DF6" w14:textId="77777777" w:rsidR="00674822" w:rsidRPr="005D71A4" w:rsidRDefault="00674822" w:rsidP="00770C93">
            <w:pPr>
              <w:pStyle w:val="051Tabletext228pt"/>
              <w:rPr>
                <w:sz w:val="18"/>
                <w:szCs w:val="18"/>
              </w:rPr>
            </w:pPr>
            <w:r w:rsidRPr="005D71A4">
              <w:rPr>
                <w:sz w:val="18"/>
                <w:szCs w:val="18"/>
              </w:rPr>
              <w:t>Favours TO-MUS</w:t>
            </w:r>
          </w:p>
        </w:tc>
      </w:tr>
      <w:tr w:rsidR="00674822" w14:paraId="0DCCC1D9" w14:textId="77777777" w:rsidTr="00770C93">
        <w:tc>
          <w:tcPr>
            <w:tcW w:w="1000" w:type="pct"/>
            <w:tcBorders>
              <w:top w:val="nil"/>
              <w:bottom w:val="nil"/>
            </w:tcBorders>
          </w:tcPr>
          <w:p w14:paraId="11276D7A" w14:textId="77777777" w:rsidR="00674822" w:rsidRPr="005D71A4" w:rsidRDefault="00674822" w:rsidP="00770C93">
            <w:pPr>
              <w:pStyle w:val="051Tabletext228pt"/>
              <w:rPr>
                <w:sz w:val="18"/>
                <w:szCs w:val="18"/>
              </w:rPr>
            </w:pPr>
            <w:r w:rsidRPr="005D71A4">
              <w:rPr>
                <w:sz w:val="18"/>
                <w:szCs w:val="18"/>
              </w:rPr>
              <w:t>severe bleeding requiring blood transfusion</w:t>
            </w:r>
          </w:p>
        </w:tc>
        <w:tc>
          <w:tcPr>
            <w:tcW w:w="1194" w:type="pct"/>
            <w:tcBorders>
              <w:top w:val="nil"/>
              <w:bottom w:val="nil"/>
            </w:tcBorders>
            <w:shd w:val="clear" w:color="auto" w:fill="auto"/>
          </w:tcPr>
          <w:p w14:paraId="309FA189" w14:textId="77777777" w:rsidR="00674822" w:rsidRPr="005D71A4" w:rsidRDefault="00674822" w:rsidP="00770C93">
            <w:pPr>
              <w:pStyle w:val="051Tabletext228pt"/>
              <w:rPr>
                <w:sz w:val="18"/>
                <w:szCs w:val="18"/>
              </w:rPr>
            </w:pPr>
            <w:r w:rsidRPr="005D71A4">
              <w:rPr>
                <w:sz w:val="18"/>
                <w:szCs w:val="18"/>
              </w:rPr>
              <w:t>10, N=2,041</w:t>
            </w:r>
          </w:p>
        </w:tc>
        <w:tc>
          <w:tcPr>
            <w:tcW w:w="806" w:type="pct"/>
            <w:tcBorders>
              <w:top w:val="nil"/>
              <w:bottom w:val="nil"/>
            </w:tcBorders>
            <w:shd w:val="clear" w:color="auto" w:fill="F4B083" w:themeFill="accent2" w:themeFillTint="99"/>
          </w:tcPr>
          <w:p w14:paraId="7704D1CB"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0EF14E76" w14:textId="77777777" w:rsidR="00674822" w:rsidRPr="005D71A4" w:rsidRDefault="00674822" w:rsidP="00770C93">
            <w:pPr>
              <w:pStyle w:val="051Tabletext228pt"/>
              <w:rPr>
                <w:sz w:val="18"/>
                <w:szCs w:val="18"/>
              </w:rPr>
            </w:pPr>
            <w:r w:rsidRPr="005D71A4">
              <w:rPr>
                <w:sz w:val="18"/>
                <w:szCs w:val="18"/>
              </w:rPr>
              <w:t>No difference</w:t>
            </w:r>
          </w:p>
        </w:tc>
        <w:tc>
          <w:tcPr>
            <w:tcW w:w="1000" w:type="pct"/>
            <w:tcBorders>
              <w:top w:val="nil"/>
              <w:bottom w:val="nil"/>
            </w:tcBorders>
            <w:shd w:val="clear" w:color="auto" w:fill="auto"/>
          </w:tcPr>
          <w:p w14:paraId="5A5BC621" w14:textId="77777777" w:rsidR="00674822" w:rsidRPr="005D71A4" w:rsidRDefault="00674822" w:rsidP="00770C93">
            <w:pPr>
              <w:pStyle w:val="051Tabletext228pt"/>
              <w:rPr>
                <w:sz w:val="18"/>
                <w:szCs w:val="18"/>
              </w:rPr>
            </w:pPr>
            <w:r w:rsidRPr="005D71A4">
              <w:rPr>
                <w:sz w:val="18"/>
                <w:szCs w:val="18"/>
              </w:rPr>
              <w:t>No difference</w:t>
            </w:r>
          </w:p>
        </w:tc>
      </w:tr>
      <w:tr w:rsidR="00674822" w14:paraId="070EBAEA" w14:textId="77777777" w:rsidTr="00770C93">
        <w:tc>
          <w:tcPr>
            <w:tcW w:w="1000" w:type="pct"/>
            <w:tcBorders>
              <w:top w:val="nil"/>
              <w:bottom w:val="single" w:sz="4" w:space="0" w:color="auto"/>
            </w:tcBorders>
          </w:tcPr>
          <w:p w14:paraId="03355DDB" w14:textId="77777777" w:rsidR="00674822" w:rsidRPr="005D71A4" w:rsidRDefault="00674822" w:rsidP="00770C93">
            <w:pPr>
              <w:pStyle w:val="051Tabletext228pt"/>
              <w:rPr>
                <w:sz w:val="18"/>
                <w:szCs w:val="18"/>
              </w:rPr>
            </w:pPr>
            <w:r w:rsidRPr="005D71A4">
              <w:rPr>
                <w:sz w:val="18"/>
                <w:szCs w:val="18"/>
              </w:rPr>
              <w:t>bowel injury</w:t>
            </w:r>
          </w:p>
        </w:tc>
        <w:tc>
          <w:tcPr>
            <w:tcW w:w="1194" w:type="pct"/>
            <w:tcBorders>
              <w:top w:val="nil"/>
              <w:bottom w:val="single" w:sz="4" w:space="0" w:color="auto"/>
            </w:tcBorders>
            <w:shd w:val="clear" w:color="auto" w:fill="auto"/>
          </w:tcPr>
          <w:p w14:paraId="315E3AA1" w14:textId="77777777" w:rsidR="00674822" w:rsidRPr="005D71A4" w:rsidRDefault="00674822" w:rsidP="00770C93">
            <w:pPr>
              <w:pStyle w:val="051Tabletext228pt"/>
              <w:rPr>
                <w:sz w:val="18"/>
                <w:szCs w:val="18"/>
              </w:rPr>
            </w:pPr>
            <w:r w:rsidRPr="005D71A4">
              <w:rPr>
                <w:sz w:val="18"/>
                <w:szCs w:val="18"/>
              </w:rPr>
              <w:t>12, N=1,455</w:t>
            </w:r>
          </w:p>
        </w:tc>
        <w:tc>
          <w:tcPr>
            <w:tcW w:w="806" w:type="pct"/>
            <w:tcBorders>
              <w:top w:val="nil"/>
              <w:bottom w:val="single" w:sz="4" w:space="0" w:color="auto"/>
            </w:tcBorders>
            <w:shd w:val="clear" w:color="auto" w:fill="ACB9CA" w:themeFill="text2" w:themeFillTint="66"/>
          </w:tcPr>
          <w:p w14:paraId="06FC0271" w14:textId="77777777" w:rsidR="00674822" w:rsidRPr="005D71A4" w:rsidRDefault="00674822" w:rsidP="00770C93">
            <w:pPr>
              <w:pStyle w:val="051Tabletext228pt"/>
              <w:rPr>
                <w:sz w:val="18"/>
                <w:szCs w:val="18"/>
              </w:rPr>
            </w:pPr>
            <w:r w:rsidRPr="005D71A4">
              <w:rPr>
                <w:sz w:val="18"/>
                <w:szCs w:val="18"/>
              </w:rPr>
              <w:t>Moderate</w:t>
            </w:r>
          </w:p>
        </w:tc>
        <w:tc>
          <w:tcPr>
            <w:tcW w:w="1000" w:type="pct"/>
            <w:tcBorders>
              <w:top w:val="nil"/>
              <w:bottom w:val="single" w:sz="4" w:space="0" w:color="auto"/>
            </w:tcBorders>
            <w:shd w:val="clear" w:color="auto" w:fill="auto"/>
          </w:tcPr>
          <w:p w14:paraId="0CF66C44" w14:textId="77777777" w:rsidR="00674822" w:rsidRPr="005D71A4" w:rsidRDefault="00674822" w:rsidP="00770C93">
            <w:pPr>
              <w:pStyle w:val="051Tabletext228pt"/>
              <w:rPr>
                <w:sz w:val="18"/>
                <w:szCs w:val="18"/>
              </w:rPr>
            </w:pPr>
            <w:r w:rsidRPr="005D71A4">
              <w:rPr>
                <w:sz w:val="18"/>
                <w:szCs w:val="18"/>
              </w:rPr>
              <w:t>No events</w:t>
            </w:r>
          </w:p>
        </w:tc>
        <w:tc>
          <w:tcPr>
            <w:tcW w:w="1000" w:type="pct"/>
            <w:tcBorders>
              <w:top w:val="nil"/>
              <w:bottom w:val="single" w:sz="4" w:space="0" w:color="auto"/>
            </w:tcBorders>
            <w:shd w:val="clear" w:color="auto" w:fill="auto"/>
          </w:tcPr>
          <w:p w14:paraId="64A41D8E" w14:textId="77777777" w:rsidR="00674822" w:rsidRPr="005D71A4" w:rsidRDefault="00674822" w:rsidP="00770C93">
            <w:pPr>
              <w:pStyle w:val="051Tabletext228pt"/>
              <w:rPr>
                <w:sz w:val="18"/>
                <w:szCs w:val="18"/>
              </w:rPr>
            </w:pPr>
            <w:r w:rsidRPr="005D71A4">
              <w:rPr>
                <w:sz w:val="18"/>
                <w:szCs w:val="18"/>
              </w:rPr>
              <w:t>No events</w:t>
            </w:r>
          </w:p>
        </w:tc>
      </w:tr>
      <w:tr w:rsidR="00674822" w14:paraId="73305EDE" w14:textId="77777777" w:rsidTr="00770C93">
        <w:tc>
          <w:tcPr>
            <w:tcW w:w="1000" w:type="pct"/>
            <w:tcBorders>
              <w:bottom w:val="nil"/>
            </w:tcBorders>
            <w:shd w:val="clear" w:color="auto" w:fill="E7E6E6" w:themeFill="background2"/>
          </w:tcPr>
          <w:p w14:paraId="5B254CD1" w14:textId="77777777" w:rsidR="00674822" w:rsidRPr="005D71A4" w:rsidRDefault="00674822" w:rsidP="00770C93">
            <w:pPr>
              <w:pStyle w:val="051Tabletext228pt"/>
              <w:rPr>
                <w:b/>
                <w:bCs/>
                <w:sz w:val="18"/>
                <w:szCs w:val="18"/>
                <w:highlight w:val="yellow"/>
              </w:rPr>
            </w:pPr>
            <w:r w:rsidRPr="005D71A4">
              <w:rPr>
                <w:b/>
                <w:bCs/>
                <w:sz w:val="18"/>
                <w:szCs w:val="18"/>
              </w:rPr>
              <w:t>Complications</w:t>
            </w:r>
          </w:p>
        </w:tc>
        <w:tc>
          <w:tcPr>
            <w:tcW w:w="1194" w:type="pct"/>
            <w:tcBorders>
              <w:bottom w:val="nil"/>
            </w:tcBorders>
            <w:shd w:val="clear" w:color="auto" w:fill="E7E6E6" w:themeFill="background2"/>
          </w:tcPr>
          <w:p w14:paraId="4100D567" w14:textId="77777777" w:rsidR="00674822" w:rsidRPr="005D71A4" w:rsidRDefault="00674822" w:rsidP="00770C93">
            <w:pPr>
              <w:pStyle w:val="051Tabletext228pt"/>
              <w:rPr>
                <w:sz w:val="18"/>
                <w:szCs w:val="18"/>
              </w:rPr>
            </w:pPr>
          </w:p>
        </w:tc>
        <w:tc>
          <w:tcPr>
            <w:tcW w:w="806" w:type="pct"/>
            <w:tcBorders>
              <w:bottom w:val="nil"/>
            </w:tcBorders>
            <w:shd w:val="clear" w:color="auto" w:fill="E7E6E6" w:themeFill="background2"/>
          </w:tcPr>
          <w:p w14:paraId="5807A456"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383861DE"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660F4754" w14:textId="77777777" w:rsidR="00674822" w:rsidRPr="005D71A4" w:rsidRDefault="00674822" w:rsidP="00770C93">
            <w:pPr>
              <w:pStyle w:val="051Tabletext228pt"/>
              <w:rPr>
                <w:sz w:val="18"/>
                <w:szCs w:val="18"/>
              </w:rPr>
            </w:pPr>
          </w:p>
        </w:tc>
      </w:tr>
      <w:tr w:rsidR="00674822" w14:paraId="5A758D58" w14:textId="77777777" w:rsidTr="00770C93">
        <w:tc>
          <w:tcPr>
            <w:tcW w:w="1000" w:type="pct"/>
            <w:tcBorders>
              <w:top w:val="nil"/>
              <w:bottom w:val="nil"/>
            </w:tcBorders>
          </w:tcPr>
          <w:p w14:paraId="21B4666F" w14:textId="77777777" w:rsidR="00674822" w:rsidRPr="005D71A4" w:rsidRDefault="00674822" w:rsidP="00770C93">
            <w:pPr>
              <w:pStyle w:val="051Tabletext228pt"/>
              <w:rPr>
                <w:sz w:val="18"/>
                <w:szCs w:val="18"/>
              </w:rPr>
            </w:pPr>
            <w:r w:rsidRPr="005D71A4">
              <w:rPr>
                <w:sz w:val="18"/>
                <w:szCs w:val="18"/>
              </w:rPr>
              <w:t>infection</w:t>
            </w:r>
          </w:p>
        </w:tc>
        <w:tc>
          <w:tcPr>
            <w:tcW w:w="1194" w:type="pct"/>
            <w:tcBorders>
              <w:top w:val="nil"/>
              <w:bottom w:val="nil"/>
            </w:tcBorders>
            <w:shd w:val="clear" w:color="auto" w:fill="auto"/>
          </w:tcPr>
          <w:p w14:paraId="20CA6680" w14:textId="77777777" w:rsidR="00674822" w:rsidRPr="005D71A4" w:rsidRDefault="00674822" w:rsidP="00770C93">
            <w:pPr>
              <w:pStyle w:val="051Tabletext228pt"/>
              <w:rPr>
                <w:sz w:val="18"/>
                <w:szCs w:val="18"/>
              </w:rPr>
            </w:pPr>
            <w:r w:rsidRPr="005D71A4">
              <w:rPr>
                <w:sz w:val="18"/>
                <w:szCs w:val="18"/>
              </w:rPr>
              <w:t>17, N=3,245 (S); 7, N=1,838 (M); 2, N=268 (L)</w:t>
            </w:r>
          </w:p>
        </w:tc>
        <w:tc>
          <w:tcPr>
            <w:tcW w:w="806" w:type="pct"/>
            <w:tcBorders>
              <w:top w:val="nil"/>
              <w:bottom w:val="nil"/>
            </w:tcBorders>
            <w:shd w:val="clear" w:color="auto" w:fill="F4B083" w:themeFill="accent2" w:themeFillTint="99"/>
          </w:tcPr>
          <w:p w14:paraId="0FCAFC7E"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794525E4" w14:textId="77777777" w:rsidR="00674822" w:rsidRPr="005D71A4" w:rsidRDefault="00674822" w:rsidP="00770C93">
            <w:pPr>
              <w:pStyle w:val="051Tabletext228pt"/>
              <w:rPr>
                <w:sz w:val="18"/>
                <w:szCs w:val="18"/>
              </w:rPr>
            </w:pPr>
            <w:r w:rsidRPr="005D71A4">
              <w:rPr>
                <w:sz w:val="18"/>
                <w:szCs w:val="18"/>
              </w:rPr>
              <w:t>No difference (S, M, L)</w:t>
            </w:r>
          </w:p>
        </w:tc>
        <w:tc>
          <w:tcPr>
            <w:tcW w:w="1000" w:type="pct"/>
            <w:tcBorders>
              <w:top w:val="nil"/>
              <w:bottom w:val="nil"/>
            </w:tcBorders>
            <w:shd w:val="clear" w:color="auto" w:fill="auto"/>
          </w:tcPr>
          <w:p w14:paraId="6CCB9DE7" w14:textId="77777777" w:rsidR="00674822" w:rsidRPr="005D71A4" w:rsidRDefault="00674822" w:rsidP="00770C93">
            <w:pPr>
              <w:pStyle w:val="051Tabletext228pt"/>
              <w:rPr>
                <w:sz w:val="18"/>
                <w:szCs w:val="18"/>
              </w:rPr>
            </w:pPr>
            <w:r w:rsidRPr="005D71A4">
              <w:rPr>
                <w:sz w:val="18"/>
                <w:szCs w:val="18"/>
              </w:rPr>
              <w:t>No difference (S, M, L)</w:t>
            </w:r>
          </w:p>
        </w:tc>
      </w:tr>
      <w:tr w:rsidR="00674822" w14:paraId="04B8980D" w14:textId="77777777" w:rsidTr="00770C93">
        <w:tc>
          <w:tcPr>
            <w:tcW w:w="1000" w:type="pct"/>
            <w:tcBorders>
              <w:top w:val="nil"/>
              <w:bottom w:val="nil"/>
            </w:tcBorders>
          </w:tcPr>
          <w:p w14:paraId="6ABC4E7F" w14:textId="77777777" w:rsidR="00674822" w:rsidRPr="005D71A4" w:rsidRDefault="00674822" w:rsidP="00770C93">
            <w:pPr>
              <w:pStyle w:val="051Tabletext228pt"/>
              <w:rPr>
                <w:sz w:val="18"/>
                <w:szCs w:val="18"/>
              </w:rPr>
            </w:pPr>
            <w:r w:rsidRPr="005D71A4">
              <w:rPr>
                <w:sz w:val="18"/>
                <w:szCs w:val="18"/>
              </w:rPr>
              <w:t>POP</w:t>
            </w:r>
          </w:p>
        </w:tc>
        <w:tc>
          <w:tcPr>
            <w:tcW w:w="1194" w:type="pct"/>
            <w:tcBorders>
              <w:top w:val="nil"/>
              <w:bottom w:val="nil"/>
            </w:tcBorders>
            <w:shd w:val="clear" w:color="auto" w:fill="auto"/>
          </w:tcPr>
          <w:p w14:paraId="551C3CB2" w14:textId="77777777" w:rsidR="00674822" w:rsidRPr="005D71A4" w:rsidRDefault="00674822" w:rsidP="00770C93">
            <w:pPr>
              <w:pStyle w:val="051Tabletext228pt"/>
              <w:rPr>
                <w:sz w:val="18"/>
                <w:szCs w:val="18"/>
              </w:rPr>
            </w:pPr>
            <w:r w:rsidRPr="005D71A4">
              <w:rPr>
                <w:sz w:val="18"/>
                <w:szCs w:val="18"/>
              </w:rPr>
              <w:t>1, N=87 (L)</w:t>
            </w:r>
          </w:p>
        </w:tc>
        <w:tc>
          <w:tcPr>
            <w:tcW w:w="806" w:type="pct"/>
            <w:tcBorders>
              <w:top w:val="nil"/>
              <w:bottom w:val="nil"/>
            </w:tcBorders>
            <w:shd w:val="clear" w:color="auto" w:fill="F4B083" w:themeFill="accent2" w:themeFillTint="99"/>
          </w:tcPr>
          <w:p w14:paraId="37515B58"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472A2146" w14:textId="77777777" w:rsidR="00674822" w:rsidRPr="005D71A4" w:rsidRDefault="00674822" w:rsidP="00770C9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364B6042" w14:textId="77777777" w:rsidR="00674822" w:rsidRPr="005D71A4" w:rsidRDefault="00674822" w:rsidP="00770C93">
            <w:pPr>
              <w:pStyle w:val="051Tabletext228pt"/>
              <w:rPr>
                <w:sz w:val="18"/>
                <w:szCs w:val="18"/>
              </w:rPr>
            </w:pPr>
            <w:r w:rsidRPr="005D71A4">
              <w:rPr>
                <w:sz w:val="18"/>
                <w:szCs w:val="18"/>
              </w:rPr>
              <w:t>No difference (L)</w:t>
            </w:r>
          </w:p>
        </w:tc>
      </w:tr>
      <w:tr w:rsidR="00674822" w14:paraId="28775653" w14:textId="77777777" w:rsidTr="00770C93">
        <w:tc>
          <w:tcPr>
            <w:tcW w:w="1000" w:type="pct"/>
            <w:tcBorders>
              <w:top w:val="nil"/>
              <w:bottom w:val="nil"/>
            </w:tcBorders>
          </w:tcPr>
          <w:p w14:paraId="38ADD68E" w14:textId="77777777" w:rsidR="00674822" w:rsidRPr="005D71A4" w:rsidRDefault="00674822" w:rsidP="00770C93">
            <w:pPr>
              <w:pStyle w:val="051Tabletext228pt"/>
              <w:rPr>
                <w:sz w:val="18"/>
                <w:szCs w:val="18"/>
              </w:rPr>
            </w:pPr>
            <w:r w:rsidRPr="005D71A4">
              <w:rPr>
                <w:sz w:val="18"/>
                <w:szCs w:val="18"/>
              </w:rPr>
              <w:t>pain</w:t>
            </w:r>
          </w:p>
        </w:tc>
        <w:tc>
          <w:tcPr>
            <w:tcW w:w="1194" w:type="pct"/>
            <w:tcBorders>
              <w:top w:val="nil"/>
              <w:bottom w:val="nil"/>
            </w:tcBorders>
            <w:shd w:val="clear" w:color="auto" w:fill="auto"/>
          </w:tcPr>
          <w:p w14:paraId="000CE965" w14:textId="77777777" w:rsidR="00674822" w:rsidRPr="005D71A4" w:rsidRDefault="00674822" w:rsidP="00770C93">
            <w:pPr>
              <w:pStyle w:val="051Tabletext228pt"/>
              <w:rPr>
                <w:sz w:val="18"/>
                <w:szCs w:val="18"/>
              </w:rPr>
            </w:pPr>
            <w:r w:rsidRPr="005D71A4">
              <w:rPr>
                <w:sz w:val="18"/>
                <w:szCs w:val="18"/>
              </w:rPr>
              <w:t>19, N=3618 (S)</w:t>
            </w:r>
          </w:p>
        </w:tc>
        <w:tc>
          <w:tcPr>
            <w:tcW w:w="806" w:type="pct"/>
            <w:tcBorders>
              <w:top w:val="nil"/>
              <w:bottom w:val="nil"/>
            </w:tcBorders>
            <w:shd w:val="clear" w:color="auto" w:fill="ACB9CA" w:themeFill="text2" w:themeFillTint="66"/>
          </w:tcPr>
          <w:p w14:paraId="0A627913" w14:textId="77777777" w:rsidR="00674822" w:rsidRPr="005D71A4" w:rsidRDefault="00674822" w:rsidP="00770C93">
            <w:pPr>
              <w:pStyle w:val="051Tabletext228pt"/>
              <w:rPr>
                <w:sz w:val="18"/>
                <w:szCs w:val="18"/>
              </w:rPr>
            </w:pPr>
            <w:r w:rsidRPr="005D71A4">
              <w:rPr>
                <w:sz w:val="18"/>
                <w:szCs w:val="18"/>
              </w:rPr>
              <w:t>Moderate</w:t>
            </w:r>
          </w:p>
        </w:tc>
        <w:tc>
          <w:tcPr>
            <w:tcW w:w="1000" w:type="pct"/>
            <w:tcBorders>
              <w:top w:val="nil"/>
              <w:bottom w:val="nil"/>
            </w:tcBorders>
            <w:shd w:val="clear" w:color="auto" w:fill="E5DDEB"/>
          </w:tcPr>
          <w:p w14:paraId="7ECB75E9" w14:textId="77777777" w:rsidR="00674822" w:rsidRPr="005D71A4" w:rsidRDefault="00674822" w:rsidP="00770C9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5E77795A" w14:textId="77777777" w:rsidR="00674822" w:rsidRPr="005D71A4" w:rsidRDefault="00674822" w:rsidP="00770C93">
            <w:pPr>
              <w:pStyle w:val="051Tabletext228pt"/>
              <w:rPr>
                <w:sz w:val="18"/>
                <w:szCs w:val="18"/>
              </w:rPr>
            </w:pPr>
            <w:r w:rsidRPr="005D71A4">
              <w:rPr>
                <w:sz w:val="18"/>
                <w:szCs w:val="18"/>
              </w:rPr>
              <w:t>Favours RP-MUS (S)</w:t>
            </w:r>
          </w:p>
        </w:tc>
      </w:tr>
      <w:tr w:rsidR="00674822" w14:paraId="32B1CF04" w14:textId="77777777" w:rsidTr="00770C93">
        <w:tc>
          <w:tcPr>
            <w:tcW w:w="1000" w:type="pct"/>
            <w:tcBorders>
              <w:top w:val="nil"/>
              <w:bottom w:val="nil"/>
            </w:tcBorders>
          </w:tcPr>
          <w:p w14:paraId="053785D3"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3E1590B2" w14:textId="77777777" w:rsidR="00674822" w:rsidRPr="005D71A4" w:rsidRDefault="00674822" w:rsidP="00770C93">
            <w:pPr>
              <w:pStyle w:val="051Tabletext228pt"/>
              <w:rPr>
                <w:sz w:val="18"/>
                <w:szCs w:val="18"/>
              </w:rPr>
            </w:pPr>
            <w:r w:rsidRPr="005D71A4">
              <w:rPr>
                <w:sz w:val="18"/>
                <w:szCs w:val="18"/>
              </w:rPr>
              <w:t>11, N=1,953 (M); 2, N=207 (L)</w:t>
            </w:r>
          </w:p>
        </w:tc>
        <w:tc>
          <w:tcPr>
            <w:tcW w:w="806" w:type="pct"/>
            <w:tcBorders>
              <w:top w:val="nil"/>
              <w:bottom w:val="nil"/>
            </w:tcBorders>
            <w:shd w:val="clear" w:color="auto" w:fill="F4B083" w:themeFill="accent2" w:themeFillTint="99"/>
          </w:tcPr>
          <w:p w14:paraId="5C5CDA79"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FFFFFF" w:themeFill="background1"/>
          </w:tcPr>
          <w:p w14:paraId="71363DAE" w14:textId="77777777" w:rsidR="00674822" w:rsidRPr="005D71A4" w:rsidRDefault="00674822" w:rsidP="00770C93">
            <w:pPr>
              <w:pStyle w:val="051Tabletext228pt"/>
              <w:rPr>
                <w:sz w:val="18"/>
                <w:szCs w:val="18"/>
              </w:rPr>
            </w:pPr>
            <w:r w:rsidRPr="005D71A4">
              <w:rPr>
                <w:sz w:val="18"/>
                <w:szCs w:val="18"/>
              </w:rPr>
              <w:t>No difference (M, L)</w:t>
            </w:r>
          </w:p>
        </w:tc>
        <w:tc>
          <w:tcPr>
            <w:tcW w:w="1000" w:type="pct"/>
            <w:tcBorders>
              <w:top w:val="nil"/>
              <w:bottom w:val="nil"/>
            </w:tcBorders>
            <w:shd w:val="clear" w:color="auto" w:fill="FFFFFF" w:themeFill="background1"/>
          </w:tcPr>
          <w:p w14:paraId="48E9215D" w14:textId="77777777" w:rsidR="00674822" w:rsidRPr="005D71A4" w:rsidRDefault="00674822" w:rsidP="00770C93">
            <w:pPr>
              <w:pStyle w:val="051Tabletext228pt"/>
              <w:rPr>
                <w:sz w:val="18"/>
                <w:szCs w:val="18"/>
              </w:rPr>
            </w:pPr>
            <w:r w:rsidRPr="005D71A4">
              <w:rPr>
                <w:sz w:val="18"/>
                <w:szCs w:val="18"/>
              </w:rPr>
              <w:t>No difference (M, L)</w:t>
            </w:r>
          </w:p>
        </w:tc>
      </w:tr>
      <w:tr w:rsidR="00674822" w14:paraId="1AC57F2C" w14:textId="77777777" w:rsidTr="00770C93">
        <w:tc>
          <w:tcPr>
            <w:tcW w:w="1000" w:type="pct"/>
            <w:tcBorders>
              <w:top w:val="nil"/>
              <w:bottom w:val="nil"/>
            </w:tcBorders>
          </w:tcPr>
          <w:p w14:paraId="6A5FAB4F" w14:textId="77777777" w:rsidR="00674822" w:rsidRPr="005D71A4" w:rsidRDefault="00674822" w:rsidP="00770C93">
            <w:pPr>
              <w:pStyle w:val="051Tabletext228pt"/>
              <w:rPr>
                <w:sz w:val="18"/>
                <w:szCs w:val="18"/>
              </w:rPr>
            </w:pPr>
            <w:r w:rsidRPr="005D71A4">
              <w:rPr>
                <w:sz w:val="18"/>
                <w:szCs w:val="18"/>
              </w:rPr>
              <w:t>mesh extrusion</w:t>
            </w:r>
          </w:p>
        </w:tc>
        <w:tc>
          <w:tcPr>
            <w:tcW w:w="1194" w:type="pct"/>
            <w:tcBorders>
              <w:top w:val="nil"/>
              <w:bottom w:val="nil"/>
            </w:tcBorders>
            <w:shd w:val="clear" w:color="auto" w:fill="auto"/>
          </w:tcPr>
          <w:p w14:paraId="733BF440" w14:textId="77777777" w:rsidR="00674822" w:rsidRPr="005D71A4" w:rsidRDefault="00674822" w:rsidP="00770C93">
            <w:pPr>
              <w:pStyle w:val="051Tabletext228pt"/>
              <w:rPr>
                <w:sz w:val="18"/>
                <w:szCs w:val="18"/>
              </w:rPr>
            </w:pPr>
            <w:r w:rsidRPr="005D71A4">
              <w:rPr>
                <w:sz w:val="18"/>
                <w:szCs w:val="18"/>
              </w:rPr>
              <w:t>22, N=3,829 (S)</w:t>
            </w:r>
          </w:p>
        </w:tc>
        <w:tc>
          <w:tcPr>
            <w:tcW w:w="806" w:type="pct"/>
            <w:tcBorders>
              <w:top w:val="nil"/>
              <w:bottom w:val="nil"/>
            </w:tcBorders>
            <w:shd w:val="clear" w:color="auto" w:fill="FFE599" w:themeFill="accent4" w:themeFillTint="66"/>
          </w:tcPr>
          <w:p w14:paraId="5E16336F"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nil"/>
            </w:tcBorders>
            <w:shd w:val="clear" w:color="auto" w:fill="E5DDEB"/>
          </w:tcPr>
          <w:p w14:paraId="14C010A7" w14:textId="77777777" w:rsidR="00674822" w:rsidRPr="005D71A4" w:rsidRDefault="00674822" w:rsidP="00770C9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274B9CA7" w14:textId="77777777" w:rsidR="00674822" w:rsidRPr="005D71A4" w:rsidRDefault="00674822" w:rsidP="00770C93">
            <w:pPr>
              <w:pStyle w:val="051Tabletext228pt"/>
              <w:rPr>
                <w:sz w:val="18"/>
                <w:szCs w:val="18"/>
              </w:rPr>
            </w:pPr>
            <w:r w:rsidRPr="005D71A4">
              <w:rPr>
                <w:sz w:val="18"/>
                <w:szCs w:val="18"/>
              </w:rPr>
              <w:t>Favours RP-MUS (S)</w:t>
            </w:r>
          </w:p>
        </w:tc>
      </w:tr>
      <w:tr w:rsidR="00674822" w14:paraId="4E63C572" w14:textId="77777777" w:rsidTr="00770C93">
        <w:tc>
          <w:tcPr>
            <w:tcW w:w="1000" w:type="pct"/>
            <w:tcBorders>
              <w:top w:val="nil"/>
              <w:bottom w:val="nil"/>
            </w:tcBorders>
          </w:tcPr>
          <w:p w14:paraId="25AC7FEC"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65B43867" w14:textId="77777777" w:rsidR="00674822" w:rsidRPr="005D71A4" w:rsidRDefault="00674822" w:rsidP="00770C93">
            <w:pPr>
              <w:pStyle w:val="051Tabletext228pt"/>
              <w:rPr>
                <w:sz w:val="18"/>
                <w:szCs w:val="18"/>
              </w:rPr>
            </w:pPr>
            <w:r w:rsidRPr="005D71A4">
              <w:rPr>
                <w:sz w:val="18"/>
                <w:szCs w:val="18"/>
              </w:rPr>
              <w:t>12, N=2,279 (M)</w:t>
            </w:r>
          </w:p>
        </w:tc>
        <w:tc>
          <w:tcPr>
            <w:tcW w:w="806" w:type="pct"/>
            <w:tcBorders>
              <w:top w:val="nil"/>
              <w:bottom w:val="nil"/>
            </w:tcBorders>
            <w:shd w:val="clear" w:color="auto" w:fill="F4B083" w:themeFill="accent2" w:themeFillTint="99"/>
          </w:tcPr>
          <w:p w14:paraId="4DE4C60C"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5C8E9326" w14:textId="77777777" w:rsidR="00674822" w:rsidRPr="005D71A4" w:rsidRDefault="00674822" w:rsidP="00770C93">
            <w:pPr>
              <w:pStyle w:val="051Tabletext228pt"/>
              <w:rPr>
                <w:sz w:val="18"/>
                <w:szCs w:val="18"/>
              </w:rPr>
            </w:pPr>
            <w:r w:rsidRPr="005D71A4">
              <w:rPr>
                <w:sz w:val="18"/>
                <w:szCs w:val="18"/>
              </w:rPr>
              <w:t>Favours RP-MUS (M)</w:t>
            </w:r>
          </w:p>
        </w:tc>
        <w:tc>
          <w:tcPr>
            <w:tcW w:w="1000" w:type="pct"/>
            <w:tcBorders>
              <w:top w:val="nil"/>
              <w:bottom w:val="nil"/>
            </w:tcBorders>
            <w:shd w:val="clear" w:color="auto" w:fill="E5DDEB"/>
          </w:tcPr>
          <w:p w14:paraId="64AFFC02" w14:textId="77777777" w:rsidR="00674822" w:rsidRPr="005D71A4" w:rsidRDefault="00674822" w:rsidP="00770C93">
            <w:pPr>
              <w:pStyle w:val="051Tabletext228pt"/>
              <w:rPr>
                <w:sz w:val="18"/>
                <w:szCs w:val="18"/>
              </w:rPr>
            </w:pPr>
            <w:r w:rsidRPr="005D71A4">
              <w:rPr>
                <w:sz w:val="18"/>
                <w:szCs w:val="18"/>
              </w:rPr>
              <w:t>Favours RP-MUS (M)</w:t>
            </w:r>
          </w:p>
        </w:tc>
      </w:tr>
      <w:tr w:rsidR="00674822" w14:paraId="4E6A4F46" w14:textId="77777777" w:rsidTr="00770C93">
        <w:tc>
          <w:tcPr>
            <w:tcW w:w="1000" w:type="pct"/>
            <w:tcBorders>
              <w:top w:val="nil"/>
              <w:bottom w:val="nil"/>
            </w:tcBorders>
          </w:tcPr>
          <w:p w14:paraId="649A95C1" w14:textId="77777777" w:rsidR="00674822" w:rsidRPr="005D71A4" w:rsidRDefault="00674822" w:rsidP="00770C93">
            <w:pPr>
              <w:pStyle w:val="051Tabletext228pt"/>
              <w:rPr>
                <w:sz w:val="18"/>
                <w:szCs w:val="18"/>
              </w:rPr>
            </w:pPr>
            <w:r w:rsidRPr="005D71A4">
              <w:rPr>
                <w:sz w:val="18"/>
                <w:szCs w:val="18"/>
              </w:rPr>
              <w:t>need for catheterisation</w:t>
            </w:r>
          </w:p>
        </w:tc>
        <w:tc>
          <w:tcPr>
            <w:tcW w:w="1194" w:type="pct"/>
            <w:tcBorders>
              <w:top w:val="nil"/>
              <w:bottom w:val="nil"/>
            </w:tcBorders>
            <w:shd w:val="clear" w:color="auto" w:fill="auto"/>
          </w:tcPr>
          <w:p w14:paraId="19700A2C" w14:textId="77777777" w:rsidR="00674822" w:rsidRPr="005D71A4" w:rsidRDefault="00674822" w:rsidP="00770C93">
            <w:pPr>
              <w:pStyle w:val="051Tabletext228pt"/>
              <w:rPr>
                <w:sz w:val="18"/>
                <w:szCs w:val="18"/>
              </w:rPr>
            </w:pPr>
            <w:r w:rsidRPr="005D71A4">
              <w:rPr>
                <w:sz w:val="18"/>
                <w:szCs w:val="18"/>
              </w:rPr>
              <w:t>16, N=3,039 (S)</w:t>
            </w:r>
          </w:p>
        </w:tc>
        <w:tc>
          <w:tcPr>
            <w:tcW w:w="806" w:type="pct"/>
            <w:tcBorders>
              <w:top w:val="nil"/>
              <w:bottom w:val="nil"/>
            </w:tcBorders>
            <w:shd w:val="clear" w:color="auto" w:fill="FFE599" w:themeFill="accent4" w:themeFillTint="66"/>
          </w:tcPr>
          <w:p w14:paraId="7A42F387"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nil"/>
            </w:tcBorders>
            <w:shd w:val="clear" w:color="auto" w:fill="FFCCCC"/>
          </w:tcPr>
          <w:p w14:paraId="75856F10" w14:textId="77777777" w:rsidR="00674822" w:rsidRPr="005D71A4" w:rsidRDefault="00674822" w:rsidP="00770C93">
            <w:pPr>
              <w:pStyle w:val="051Tabletext228pt"/>
              <w:rPr>
                <w:sz w:val="18"/>
                <w:szCs w:val="18"/>
              </w:rPr>
            </w:pPr>
            <w:r w:rsidRPr="005D71A4">
              <w:rPr>
                <w:sz w:val="18"/>
                <w:szCs w:val="18"/>
              </w:rPr>
              <w:t>Favours TO-MUS (S)</w:t>
            </w:r>
          </w:p>
        </w:tc>
        <w:tc>
          <w:tcPr>
            <w:tcW w:w="1000" w:type="pct"/>
            <w:tcBorders>
              <w:top w:val="nil"/>
              <w:bottom w:val="nil"/>
            </w:tcBorders>
            <w:shd w:val="clear" w:color="auto" w:fill="FFCCCC"/>
          </w:tcPr>
          <w:p w14:paraId="1B029DBE" w14:textId="77777777" w:rsidR="00674822" w:rsidRPr="005D71A4" w:rsidRDefault="00674822" w:rsidP="00770C93">
            <w:pPr>
              <w:pStyle w:val="051Tabletext228pt"/>
              <w:rPr>
                <w:sz w:val="18"/>
                <w:szCs w:val="18"/>
              </w:rPr>
            </w:pPr>
            <w:r w:rsidRPr="005D71A4">
              <w:rPr>
                <w:sz w:val="18"/>
                <w:szCs w:val="18"/>
              </w:rPr>
              <w:t>Favours TO-MUS (S)</w:t>
            </w:r>
          </w:p>
        </w:tc>
      </w:tr>
      <w:tr w:rsidR="00674822" w14:paraId="4F0C76E1" w14:textId="77777777" w:rsidTr="00770C93">
        <w:tc>
          <w:tcPr>
            <w:tcW w:w="1000" w:type="pct"/>
            <w:tcBorders>
              <w:top w:val="nil"/>
              <w:bottom w:val="nil"/>
            </w:tcBorders>
          </w:tcPr>
          <w:p w14:paraId="5F7014AF"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69D658C2" w14:textId="77777777" w:rsidR="00674822" w:rsidRPr="005D71A4" w:rsidRDefault="00674822" w:rsidP="00770C93">
            <w:pPr>
              <w:pStyle w:val="051Tabletext228pt"/>
              <w:rPr>
                <w:sz w:val="18"/>
                <w:szCs w:val="18"/>
              </w:rPr>
            </w:pPr>
            <w:r w:rsidRPr="005D71A4">
              <w:rPr>
                <w:sz w:val="18"/>
                <w:szCs w:val="18"/>
              </w:rPr>
              <w:t>4, N=822 (M)</w:t>
            </w:r>
          </w:p>
        </w:tc>
        <w:tc>
          <w:tcPr>
            <w:tcW w:w="806" w:type="pct"/>
            <w:tcBorders>
              <w:top w:val="nil"/>
              <w:bottom w:val="nil"/>
            </w:tcBorders>
            <w:shd w:val="clear" w:color="auto" w:fill="F4B083" w:themeFill="accent2" w:themeFillTint="99"/>
          </w:tcPr>
          <w:p w14:paraId="5F180CDA"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38B1E322" w14:textId="77777777" w:rsidR="00674822" w:rsidRPr="005D71A4" w:rsidRDefault="00674822" w:rsidP="00770C93">
            <w:pPr>
              <w:pStyle w:val="051Tabletext228pt"/>
              <w:rPr>
                <w:sz w:val="18"/>
                <w:szCs w:val="18"/>
              </w:rPr>
            </w:pPr>
            <w:r w:rsidRPr="005D71A4">
              <w:rPr>
                <w:sz w:val="18"/>
                <w:szCs w:val="18"/>
              </w:rPr>
              <w:t>No difference (M)</w:t>
            </w:r>
          </w:p>
        </w:tc>
        <w:tc>
          <w:tcPr>
            <w:tcW w:w="1000" w:type="pct"/>
            <w:tcBorders>
              <w:top w:val="nil"/>
              <w:bottom w:val="nil"/>
            </w:tcBorders>
            <w:shd w:val="clear" w:color="auto" w:fill="auto"/>
          </w:tcPr>
          <w:p w14:paraId="1B636453" w14:textId="77777777" w:rsidR="00674822" w:rsidRPr="005D71A4" w:rsidRDefault="00674822" w:rsidP="00770C93">
            <w:pPr>
              <w:pStyle w:val="051Tabletext228pt"/>
              <w:rPr>
                <w:sz w:val="18"/>
                <w:szCs w:val="18"/>
              </w:rPr>
            </w:pPr>
            <w:r w:rsidRPr="005D71A4">
              <w:rPr>
                <w:sz w:val="18"/>
                <w:szCs w:val="18"/>
              </w:rPr>
              <w:t>No difference (M)</w:t>
            </w:r>
          </w:p>
        </w:tc>
      </w:tr>
      <w:tr w:rsidR="00674822" w14:paraId="2913056D" w14:textId="77777777" w:rsidTr="00770C93">
        <w:tc>
          <w:tcPr>
            <w:tcW w:w="1000" w:type="pct"/>
            <w:tcBorders>
              <w:top w:val="nil"/>
              <w:bottom w:val="nil"/>
            </w:tcBorders>
          </w:tcPr>
          <w:p w14:paraId="2C396E74" w14:textId="77777777" w:rsidR="00674822" w:rsidRPr="005D71A4" w:rsidRDefault="00674822" w:rsidP="00770C93">
            <w:pPr>
              <w:pStyle w:val="051Tabletext228pt"/>
              <w:rPr>
                <w:sz w:val="18"/>
                <w:szCs w:val="18"/>
              </w:rPr>
            </w:pPr>
            <w:r w:rsidRPr="005D71A4">
              <w:rPr>
                <w:sz w:val="18"/>
                <w:szCs w:val="18"/>
              </w:rPr>
              <w:t>de novo urgency</w:t>
            </w:r>
          </w:p>
        </w:tc>
        <w:tc>
          <w:tcPr>
            <w:tcW w:w="1194" w:type="pct"/>
            <w:tcBorders>
              <w:top w:val="nil"/>
              <w:bottom w:val="nil"/>
            </w:tcBorders>
            <w:shd w:val="clear" w:color="auto" w:fill="auto"/>
          </w:tcPr>
          <w:p w14:paraId="324F3461" w14:textId="77777777" w:rsidR="00674822" w:rsidRPr="005D71A4" w:rsidRDefault="00674822" w:rsidP="00770C93">
            <w:pPr>
              <w:pStyle w:val="051Tabletext228pt"/>
              <w:rPr>
                <w:sz w:val="18"/>
                <w:szCs w:val="18"/>
              </w:rPr>
            </w:pPr>
            <w:r w:rsidRPr="005D71A4">
              <w:rPr>
                <w:sz w:val="18"/>
                <w:szCs w:val="18"/>
              </w:rPr>
              <w:t>8, N=1,164 (S); 7, N=761 (M)</w:t>
            </w:r>
          </w:p>
        </w:tc>
        <w:tc>
          <w:tcPr>
            <w:tcW w:w="806" w:type="pct"/>
            <w:tcBorders>
              <w:top w:val="nil"/>
              <w:bottom w:val="nil"/>
            </w:tcBorders>
            <w:shd w:val="clear" w:color="auto" w:fill="F4B083" w:themeFill="accent2" w:themeFillTint="99"/>
          </w:tcPr>
          <w:p w14:paraId="239937B8"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47FB5673" w14:textId="77777777" w:rsidR="00674822" w:rsidRPr="005D71A4" w:rsidRDefault="00674822" w:rsidP="00770C9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103053FF" w14:textId="77777777" w:rsidR="00674822" w:rsidRPr="005D71A4" w:rsidRDefault="00674822" w:rsidP="00770C93">
            <w:pPr>
              <w:pStyle w:val="051Tabletext228pt"/>
              <w:rPr>
                <w:sz w:val="18"/>
                <w:szCs w:val="18"/>
              </w:rPr>
            </w:pPr>
            <w:r w:rsidRPr="005D71A4">
              <w:rPr>
                <w:sz w:val="18"/>
                <w:szCs w:val="18"/>
              </w:rPr>
              <w:t>No difference (S, M)</w:t>
            </w:r>
          </w:p>
        </w:tc>
      </w:tr>
      <w:tr w:rsidR="00674822" w14:paraId="2C060BDB" w14:textId="77777777" w:rsidTr="00770C93">
        <w:tc>
          <w:tcPr>
            <w:tcW w:w="1000" w:type="pct"/>
            <w:tcBorders>
              <w:top w:val="nil"/>
              <w:bottom w:val="nil"/>
            </w:tcBorders>
          </w:tcPr>
          <w:p w14:paraId="59C3EB61" w14:textId="77777777" w:rsidR="00674822" w:rsidRPr="005D71A4" w:rsidRDefault="00674822" w:rsidP="00770C93">
            <w:pPr>
              <w:pStyle w:val="051Tabletext228pt"/>
              <w:rPr>
                <w:sz w:val="18"/>
                <w:szCs w:val="18"/>
              </w:rPr>
            </w:pPr>
            <w:r w:rsidRPr="005D71A4">
              <w:rPr>
                <w:sz w:val="18"/>
                <w:szCs w:val="18"/>
              </w:rPr>
              <w:t>de novo urge incontinence</w:t>
            </w:r>
          </w:p>
        </w:tc>
        <w:tc>
          <w:tcPr>
            <w:tcW w:w="1194" w:type="pct"/>
            <w:tcBorders>
              <w:top w:val="nil"/>
              <w:bottom w:val="nil"/>
            </w:tcBorders>
            <w:shd w:val="clear" w:color="auto" w:fill="auto"/>
          </w:tcPr>
          <w:p w14:paraId="4C29DEB3" w14:textId="77777777" w:rsidR="00674822" w:rsidRPr="005D71A4" w:rsidRDefault="00674822" w:rsidP="00770C93">
            <w:pPr>
              <w:pStyle w:val="051Tabletext228pt"/>
              <w:rPr>
                <w:sz w:val="18"/>
                <w:szCs w:val="18"/>
              </w:rPr>
            </w:pPr>
            <w:r w:rsidRPr="005D71A4">
              <w:rPr>
                <w:sz w:val="18"/>
                <w:szCs w:val="18"/>
              </w:rPr>
              <w:t>5, N=1,243 (S); 4, N=987 (M)</w:t>
            </w:r>
          </w:p>
        </w:tc>
        <w:tc>
          <w:tcPr>
            <w:tcW w:w="806" w:type="pct"/>
            <w:tcBorders>
              <w:top w:val="nil"/>
              <w:bottom w:val="nil"/>
            </w:tcBorders>
            <w:shd w:val="clear" w:color="auto" w:fill="F4B083" w:themeFill="accent2" w:themeFillTint="99"/>
          </w:tcPr>
          <w:p w14:paraId="7D515988"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34E4B4D0" w14:textId="77777777" w:rsidR="00674822" w:rsidRPr="005D71A4" w:rsidRDefault="00674822" w:rsidP="00770C9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44F95386" w14:textId="77777777" w:rsidR="00674822" w:rsidRPr="005D71A4" w:rsidRDefault="00674822" w:rsidP="00770C93">
            <w:pPr>
              <w:pStyle w:val="051Tabletext228pt"/>
              <w:rPr>
                <w:sz w:val="18"/>
                <w:szCs w:val="18"/>
              </w:rPr>
            </w:pPr>
            <w:r w:rsidRPr="005D71A4">
              <w:rPr>
                <w:sz w:val="18"/>
                <w:szCs w:val="18"/>
              </w:rPr>
              <w:t>No difference (S, M)</w:t>
            </w:r>
          </w:p>
        </w:tc>
      </w:tr>
      <w:tr w:rsidR="00674822" w14:paraId="7CD1C832" w14:textId="77777777" w:rsidTr="00770C93">
        <w:tc>
          <w:tcPr>
            <w:tcW w:w="1000" w:type="pct"/>
            <w:tcBorders>
              <w:top w:val="nil"/>
              <w:bottom w:val="nil"/>
            </w:tcBorders>
          </w:tcPr>
          <w:p w14:paraId="7F0191AB" w14:textId="77777777" w:rsidR="00674822" w:rsidRPr="005D71A4" w:rsidRDefault="00674822" w:rsidP="00770C93">
            <w:pPr>
              <w:pStyle w:val="051Tabletext228pt"/>
              <w:rPr>
                <w:sz w:val="18"/>
                <w:szCs w:val="18"/>
              </w:rPr>
            </w:pPr>
            <w:r w:rsidRPr="005D71A4">
              <w:rPr>
                <w:sz w:val="18"/>
                <w:szCs w:val="18"/>
              </w:rPr>
              <w:t>de novo nocturia</w:t>
            </w:r>
          </w:p>
        </w:tc>
        <w:tc>
          <w:tcPr>
            <w:tcW w:w="1194" w:type="pct"/>
            <w:tcBorders>
              <w:top w:val="nil"/>
              <w:bottom w:val="nil"/>
            </w:tcBorders>
            <w:shd w:val="clear" w:color="auto" w:fill="auto"/>
          </w:tcPr>
          <w:p w14:paraId="7A3E4767" w14:textId="77777777" w:rsidR="00674822" w:rsidRPr="005D71A4" w:rsidRDefault="00674822" w:rsidP="00770C93">
            <w:pPr>
              <w:pStyle w:val="051Tabletext228pt"/>
              <w:rPr>
                <w:sz w:val="18"/>
                <w:szCs w:val="18"/>
              </w:rPr>
            </w:pPr>
            <w:r w:rsidRPr="005D71A4">
              <w:rPr>
                <w:sz w:val="18"/>
                <w:szCs w:val="18"/>
              </w:rPr>
              <w:t>1, N=88 (S)</w:t>
            </w:r>
          </w:p>
        </w:tc>
        <w:tc>
          <w:tcPr>
            <w:tcW w:w="806" w:type="pct"/>
            <w:tcBorders>
              <w:top w:val="nil"/>
              <w:bottom w:val="nil"/>
            </w:tcBorders>
            <w:shd w:val="clear" w:color="auto" w:fill="F4B083" w:themeFill="accent2" w:themeFillTint="99"/>
          </w:tcPr>
          <w:p w14:paraId="4246250B"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1807DCC2" w14:textId="77777777" w:rsidR="00674822" w:rsidRPr="005D71A4" w:rsidRDefault="00674822" w:rsidP="00770C93">
            <w:pPr>
              <w:pStyle w:val="051Tabletext228pt"/>
              <w:rPr>
                <w:sz w:val="18"/>
                <w:szCs w:val="18"/>
              </w:rPr>
            </w:pPr>
            <w:r w:rsidRPr="005D71A4">
              <w:rPr>
                <w:sz w:val="18"/>
                <w:szCs w:val="18"/>
              </w:rPr>
              <w:t>No difference (S)</w:t>
            </w:r>
          </w:p>
        </w:tc>
        <w:tc>
          <w:tcPr>
            <w:tcW w:w="1000" w:type="pct"/>
            <w:tcBorders>
              <w:top w:val="nil"/>
              <w:bottom w:val="nil"/>
            </w:tcBorders>
            <w:shd w:val="clear" w:color="auto" w:fill="auto"/>
          </w:tcPr>
          <w:p w14:paraId="00ACB614" w14:textId="77777777" w:rsidR="00674822" w:rsidRPr="005D71A4" w:rsidRDefault="00674822" w:rsidP="00770C93">
            <w:pPr>
              <w:pStyle w:val="051Tabletext228pt"/>
              <w:rPr>
                <w:sz w:val="18"/>
                <w:szCs w:val="18"/>
              </w:rPr>
            </w:pPr>
            <w:r w:rsidRPr="005D71A4">
              <w:rPr>
                <w:sz w:val="18"/>
                <w:szCs w:val="18"/>
              </w:rPr>
              <w:t>No difference (S)</w:t>
            </w:r>
          </w:p>
        </w:tc>
      </w:tr>
      <w:tr w:rsidR="00674822" w14:paraId="5E24C804" w14:textId="77777777" w:rsidTr="00770C93">
        <w:tc>
          <w:tcPr>
            <w:tcW w:w="1000" w:type="pct"/>
            <w:tcBorders>
              <w:top w:val="nil"/>
              <w:bottom w:val="nil"/>
            </w:tcBorders>
          </w:tcPr>
          <w:p w14:paraId="16FA2971"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16149C0F" w14:textId="77777777" w:rsidR="00674822" w:rsidRPr="005D71A4" w:rsidRDefault="00674822" w:rsidP="00770C93">
            <w:pPr>
              <w:pStyle w:val="051Tabletext228pt"/>
              <w:rPr>
                <w:sz w:val="18"/>
                <w:szCs w:val="18"/>
              </w:rPr>
            </w:pPr>
            <w:r w:rsidRPr="005D71A4">
              <w:rPr>
                <w:sz w:val="18"/>
                <w:szCs w:val="18"/>
              </w:rPr>
              <w:t>1, N=71 (M)</w:t>
            </w:r>
          </w:p>
        </w:tc>
        <w:tc>
          <w:tcPr>
            <w:tcW w:w="806" w:type="pct"/>
            <w:tcBorders>
              <w:top w:val="nil"/>
              <w:bottom w:val="nil"/>
            </w:tcBorders>
            <w:shd w:val="clear" w:color="auto" w:fill="F4B083" w:themeFill="accent2" w:themeFillTint="99"/>
          </w:tcPr>
          <w:p w14:paraId="2FB3B448"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1C17F6EA" w14:textId="77777777" w:rsidR="00674822" w:rsidRPr="005D71A4" w:rsidRDefault="00674822" w:rsidP="00770C93">
            <w:pPr>
              <w:pStyle w:val="051Tabletext228pt"/>
              <w:rPr>
                <w:sz w:val="18"/>
                <w:szCs w:val="18"/>
              </w:rPr>
            </w:pPr>
            <w:r w:rsidRPr="005D71A4">
              <w:rPr>
                <w:sz w:val="18"/>
                <w:szCs w:val="18"/>
              </w:rPr>
              <w:t>Favours RP-MUS (M)</w:t>
            </w:r>
          </w:p>
        </w:tc>
        <w:tc>
          <w:tcPr>
            <w:tcW w:w="1000" w:type="pct"/>
            <w:tcBorders>
              <w:top w:val="nil"/>
              <w:bottom w:val="nil"/>
            </w:tcBorders>
            <w:shd w:val="clear" w:color="auto" w:fill="E5DDEB"/>
          </w:tcPr>
          <w:p w14:paraId="5E6830CB" w14:textId="77777777" w:rsidR="00674822" w:rsidRPr="005D71A4" w:rsidRDefault="00674822" w:rsidP="00770C93">
            <w:pPr>
              <w:pStyle w:val="051Tabletext228pt"/>
              <w:rPr>
                <w:sz w:val="18"/>
                <w:szCs w:val="18"/>
              </w:rPr>
            </w:pPr>
            <w:r w:rsidRPr="005D71A4">
              <w:rPr>
                <w:sz w:val="18"/>
                <w:szCs w:val="18"/>
              </w:rPr>
              <w:t>Favours RP-MUS (M)</w:t>
            </w:r>
          </w:p>
        </w:tc>
      </w:tr>
      <w:tr w:rsidR="00674822" w14:paraId="55D149E4" w14:textId="77777777" w:rsidTr="00770C93">
        <w:tc>
          <w:tcPr>
            <w:tcW w:w="1000" w:type="pct"/>
            <w:tcBorders>
              <w:top w:val="nil"/>
            </w:tcBorders>
          </w:tcPr>
          <w:p w14:paraId="441A2D5A" w14:textId="77777777" w:rsidR="00674822" w:rsidRPr="005D71A4" w:rsidRDefault="00674822" w:rsidP="00770C93">
            <w:pPr>
              <w:pStyle w:val="051Tabletext228pt"/>
              <w:rPr>
                <w:sz w:val="18"/>
                <w:szCs w:val="18"/>
              </w:rPr>
            </w:pPr>
            <w:r w:rsidRPr="005D71A4">
              <w:rPr>
                <w:sz w:val="18"/>
                <w:szCs w:val="18"/>
              </w:rPr>
              <w:t>wound complications</w:t>
            </w:r>
          </w:p>
        </w:tc>
        <w:tc>
          <w:tcPr>
            <w:tcW w:w="1194" w:type="pct"/>
            <w:tcBorders>
              <w:top w:val="nil"/>
            </w:tcBorders>
            <w:shd w:val="clear" w:color="auto" w:fill="auto"/>
          </w:tcPr>
          <w:p w14:paraId="3B4A9EC0" w14:textId="77777777" w:rsidR="00674822" w:rsidRPr="005D71A4" w:rsidRDefault="00674822" w:rsidP="00770C93">
            <w:pPr>
              <w:pStyle w:val="051Tabletext228pt"/>
              <w:rPr>
                <w:sz w:val="18"/>
                <w:szCs w:val="18"/>
              </w:rPr>
            </w:pPr>
            <w:r w:rsidRPr="005D71A4">
              <w:rPr>
                <w:sz w:val="18"/>
                <w:szCs w:val="18"/>
              </w:rPr>
              <w:t>4, N=443 (S); 2, N=248 (M)</w:t>
            </w:r>
          </w:p>
        </w:tc>
        <w:tc>
          <w:tcPr>
            <w:tcW w:w="806" w:type="pct"/>
            <w:tcBorders>
              <w:top w:val="nil"/>
            </w:tcBorders>
            <w:shd w:val="clear" w:color="auto" w:fill="F4B083" w:themeFill="accent2" w:themeFillTint="99"/>
          </w:tcPr>
          <w:p w14:paraId="38B90969"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tcBorders>
            <w:shd w:val="clear" w:color="auto" w:fill="auto"/>
          </w:tcPr>
          <w:p w14:paraId="2DAADCEF" w14:textId="77777777" w:rsidR="00674822" w:rsidRPr="005D71A4" w:rsidRDefault="00674822" w:rsidP="00770C93">
            <w:pPr>
              <w:pStyle w:val="051Tabletext228pt"/>
              <w:rPr>
                <w:sz w:val="18"/>
                <w:szCs w:val="18"/>
              </w:rPr>
            </w:pPr>
            <w:r w:rsidRPr="005D71A4">
              <w:rPr>
                <w:sz w:val="18"/>
                <w:szCs w:val="18"/>
              </w:rPr>
              <w:t>No difference (S, M)</w:t>
            </w:r>
          </w:p>
        </w:tc>
        <w:tc>
          <w:tcPr>
            <w:tcW w:w="1000" w:type="pct"/>
            <w:tcBorders>
              <w:top w:val="nil"/>
            </w:tcBorders>
            <w:shd w:val="clear" w:color="auto" w:fill="auto"/>
          </w:tcPr>
          <w:p w14:paraId="0EEA83DC" w14:textId="77777777" w:rsidR="00674822" w:rsidRPr="005D71A4" w:rsidRDefault="00674822" w:rsidP="00770C93">
            <w:pPr>
              <w:pStyle w:val="051Tabletext228pt"/>
              <w:rPr>
                <w:sz w:val="18"/>
                <w:szCs w:val="18"/>
              </w:rPr>
            </w:pPr>
            <w:r w:rsidRPr="005D71A4">
              <w:rPr>
                <w:sz w:val="18"/>
                <w:szCs w:val="18"/>
              </w:rPr>
              <w:t>No difference (S, M)</w:t>
            </w:r>
          </w:p>
        </w:tc>
      </w:tr>
      <w:tr w:rsidR="00674822" w14:paraId="6E4E73A6" w14:textId="77777777" w:rsidTr="00770C93">
        <w:tc>
          <w:tcPr>
            <w:tcW w:w="1000" w:type="pct"/>
            <w:tcBorders>
              <w:bottom w:val="nil"/>
            </w:tcBorders>
            <w:shd w:val="clear" w:color="auto" w:fill="E7E6E6" w:themeFill="background2"/>
          </w:tcPr>
          <w:p w14:paraId="590C87CB" w14:textId="77777777" w:rsidR="00674822" w:rsidRPr="005D71A4" w:rsidRDefault="00674822" w:rsidP="00770C93">
            <w:pPr>
              <w:pStyle w:val="051Tabletext228pt"/>
              <w:rPr>
                <w:b/>
                <w:bCs/>
                <w:sz w:val="18"/>
                <w:szCs w:val="18"/>
                <w:highlight w:val="yellow"/>
              </w:rPr>
            </w:pPr>
            <w:r w:rsidRPr="005D71A4">
              <w:rPr>
                <w:b/>
                <w:bCs/>
                <w:sz w:val="18"/>
                <w:szCs w:val="18"/>
              </w:rPr>
              <w:t>Repeat surgery</w:t>
            </w:r>
          </w:p>
        </w:tc>
        <w:tc>
          <w:tcPr>
            <w:tcW w:w="1194" w:type="pct"/>
            <w:tcBorders>
              <w:bottom w:val="nil"/>
            </w:tcBorders>
            <w:shd w:val="clear" w:color="auto" w:fill="E7E6E6" w:themeFill="background2"/>
          </w:tcPr>
          <w:p w14:paraId="50C25A06" w14:textId="77777777" w:rsidR="00674822" w:rsidRPr="005D71A4" w:rsidRDefault="00674822" w:rsidP="00770C93">
            <w:pPr>
              <w:pStyle w:val="051Tabletext228pt"/>
              <w:rPr>
                <w:sz w:val="18"/>
                <w:szCs w:val="18"/>
              </w:rPr>
            </w:pPr>
          </w:p>
        </w:tc>
        <w:tc>
          <w:tcPr>
            <w:tcW w:w="806" w:type="pct"/>
            <w:tcBorders>
              <w:bottom w:val="nil"/>
            </w:tcBorders>
            <w:shd w:val="clear" w:color="auto" w:fill="E7E6E6" w:themeFill="background2"/>
          </w:tcPr>
          <w:p w14:paraId="4B048BDE"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0876AEE0" w14:textId="77777777" w:rsidR="00674822" w:rsidRPr="005D71A4" w:rsidRDefault="00674822" w:rsidP="00770C93">
            <w:pPr>
              <w:pStyle w:val="051Tabletext228pt"/>
              <w:rPr>
                <w:sz w:val="18"/>
                <w:szCs w:val="18"/>
              </w:rPr>
            </w:pPr>
          </w:p>
        </w:tc>
        <w:tc>
          <w:tcPr>
            <w:tcW w:w="1000" w:type="pct"/>
            <w:tcBorders>
              <w:bottom w:val="nil"/>
            </w:tcBorders>
            <w:shd w:val="clear" w:color="auto" w:fill="E7E6E6" w:themeFill="background2"/>
          </w:tcPr>
          <w:p w14:paraId="4C1F7814" w14:textId="77777777" w:rsidR="00674822" w:rsidRPr="005D71A4" w:rsidRDefault="00674822" w:rsidP="00770C93">
            <w:pPr>
              <w:pStyle w:val="051Tabletext228pt"/>
              <w:rPr>
                <w:sz w:val="18"/>
                <w:szCs w:val="18"/>
              </w:rPr>
            </w:pPr>
          </w:p>
        </w:tc>
      </w:tr>
      <w:tr w:rsidR="00674822" w14:paraId="4D2A8922" w14:textId="77777777" w:rsidTr="00770C93">
        <w:tc>
          <w:tcPr>
            <w:tcW w:w="1000" w:type="pct"/>
            <w:tcBorders>
              <w:top w:val="nil"/>
              <w:bottom w:val="nil"/>
            </w:tcBorders>
          </w:tcPr>
          <w:p w14:paraId="52B7A615" w14:textId="77777777" w:rsidR="00674822" w:rsidRPr="005D71A4" w:rsidRDefault="00674822" w:rsidP="00770C93">
            <w:pPr>
              <w:pStyle w:val="051Tabletext228pt"/>
              <w:rPr>
                <w:sz w:val="18"/>
                <w:szCs w:val="18"/>
              </w:rPr>
            </w:pPr>
            <w:r w:rsidRPr="005D71A4">
              <w:rPr>
                <w:sz w:val="18"/>
                <w:szCs w:val="18"/>
              </w:rPr>
              <w:t>for SUI</w:t>
            </w:r>
          </w:p>
        </w:tc>
        <w:tc>
          <w:tcPr>
            <w:tcW w:w="1194" w:type="pct"/>
            <w:tcBorders>
              <w:top w:val="nil"/>
              <w:bottom w:val="nil"/>
            </w:tcBorders>
            <w:shd w:val="clear" w:color="auto" w:fill="auto"/>
          </w:tcPr>
          <w:p w14:paraId="6A6B5A5A" w14:textId="77777777" w:rsidR="00674822" w:rsidRPr="005D71A4" w:rsidRDefault="00674822" w:rsidP="00770C93">
            <w:pPr>
              <w:pStyle w:val="051Tabletext228pt"/>
              <w:rPr>
                <w:sz w:val="18"/>
                <w:szCs w:val="18"/>
              </w:rPr>
            </w:pPr>
            <w:r w:rsidRPr="005D71A4">
              <w:rPr>
                <w:sz w:val="18"/>
                <w:szCs w:val="18"/>
              </w:rPr>
              <w:t>5, N=1,114 (S)</w:t>
            </w:r>
          </w:p>
        </w:tc>
        <w:tc>
          <w:tcPr>
            <w:tcW w:w="806" w:type="pct"/>
            <w:tcBorders>
              <w:top w:val="nil"/>
              <w:bottom w:val="nil"/>
            </w:tcBorders>
            <w:shd w:val="clear" w:color="auto" w:fill="FFE599" w:themeFill="accent4" w:themeFillTint="66"/>
          </w:tcPr>
          <w:p w14:paraId="33763006" w14:textId="77777777" w:rsidR="00674822" w:rsidRPr="005D71A4" w:rsidRDefault="00674822" w:rsidP="00770C93">
            <w:pPr>
              <w:pStyle w:val="051Tabletext228pt"/>
              <w:rPr>
                <w:sz w:val="18"/>
                <w:szCs w:val="18"/>
              </w:rPr>
            </w:pPr>
            <w:r w:rsidRPr="005D71A4">
              <w:rPr>
                <w:sz w:val="18"/>
                <w:szCs w:val="18"/>
              </w:rPr>
              <w:t>Low</w:t>
            </w:r>
          </w:p>
        </w:tc>
        <w:tc>
          <w:tcPr>
            <w:tcW w:w="1000" w:type="pct"/>
            <w:tcBorders>
              <w:top w:val="nil"/>
              <w:bottom w:val="nil"/>
            </w:tcBorders>
            <w:shd w:val="clear" w:color="auto" w:fill="E5DDEB"/>
          </w:tcPr>
          <w:p w14:paraId="581D1D49" w14:textId="77777777" w:rsidR="00674822" w:rsidRPr="005D71A4" w:rsidRDefault="00674822" w:rsidP="00770C9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6FF961D1" w14:textId="77777777" w:rsidR="00674822" w:rsidRPr="005D71A4" w:rsidRDefault="00674822" w:rsidP="00770C93">
            <w:pPr>
              <w:pStyle w:val="051Tabletext228pt"/>
              <w:rPr>
                <w:sz w:val="18"/>
                <w:szCs w:val="18"/>
              </w:rPr>
            </w:pPr>
            <w:r w:rsidRPr="005D71A4">
              <w:rPr>
                <w:sz w:val="18"/>
                <w:szCs w:val="18"/>
              </w:rPr>
              <w:t>Favours RP-MUS (S)</w:t>
            </w:r>
          </w:p>
        </w:tc>
      </w:tr>
      <w:tr w:rsidR="00674822" w14:paraId="49EDC06D" w14:textId="77777777" w:rsidTr="00770C93">
        <w:tc>
          <w:tcPr>
            <w:tcW w:w="1000" w:type="pct"/>
            <w:tcBorders>
              <w:top w:val="nil"/>
              <w:bottom w:val="nil"/>
            </w:tcBorders>
          </w:tcPr>
          <w:p w14:paraId="73DBC114"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508B1367" w14:textId="77777777" w:rsidR="00674822" w:rsidRPr="005D71A4" w:rsidRDefault="00674822" w:rsidP="00770C93">
            <w:pPr>
              <w:pStyle w:val="051Tabletext228pt"/>
              <w:rPr>
                <w:sz w:val="18"/>
                <w:szCs w:val="18"/>
              </w:rPr>
            </w:pPr>
            <w:r w:rsidRPr="005D71A4">
              <w:rPr>
                <w:sz w:val="18"/>
                <w:szCs w:val="18"/>
              </w:rPr>
              <w:t>6, N=1,022 (M); 1, N=87 (L)</w:t>
            </w:r>
          </w:p>
        </w:tc>
        <w:tc>
          <w:tcPr>
            <w:tcW w:w="806" w:type="pct"/>
            <w:tcBorders>
              <w:top w:val="nil"/>
              <w:bottom w:val="nil"/>
            </w:tcBorders>
            <w:shd w:val="clear" w:color="auto" w:fill="F4B083" w:themeFill="accent2" w:themeFillTint="99"/>
          </w:tcPr>
          <w:p w14:paraId="02742911"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3D583210" w14:textId="77777777" w:rsidR="00674822" w:rsidRPr="005D71A4" w:rsidRDefault="00674822" w:rsidP="00770C93">
            <w:pPr>
              <w:pStyle w:val="051Tabletext228pt"/>
              <w:rPr>
                <w:sz w:val="18"/>
                <w:szCs w:val="18"/>
              </w:rPr>
            </w:pPr>
            <w:r w:rsidRPr="005D71A4">
              <w:rPr>
                <w:sz w:val="18"/>
                <w:szCs w:val="18"/>
              </w:rPr>
              <w:t>No difference (M, L)</w:t>
            </w:r>
          </w:p>
        </w:tc>
        <w:tc>
          <w:tcPr>
            <w:tcW w:w="1000" w:type="pct"/>
            <w:tcBorders>
              <w:top w:val="nil"/>
              <w:bottom w:val="nil"/>
            </w:tcBorders>
            <w:shd w:val="clear" w:color="auto" w:fill="auto"/>
          </w:tcPr>
          <w:p w14:paraId="7B857531" w14:textId="77777777" w:rsidR="00674822" w:rsidRPr="005D71A4" w:rsidRDefault="00674822" w:rsidP="00770C93">
            <w:pPr>
              <w:pStyle w:val="051Tabletext228pt"/>
              <w:rPr>
                <w:sz w:val="18"/>
                <w:szCs w:val="18"/>
              </w:rPr>
            </w:pPr>
            <w:r w:rsidRPr="005D71A4">
              <w:rPr>
                <w:sz w:val="18"/>
                <w:szCs w:val="18"/>
              </w:rPr>
              <w:t>No difference (M, L)</w:t>
            </w:r>
          </w:p>
        </w:tc>
      </w:tr>
      <w:tr w:rsidR="00674822" w14:paraId="43B319AA" w14:textId="77777777" w:rsidTr="00770C93">
        <w:tc>
          <w:tcPr>
            <w:tcW w:w="1000" w:type="pct"/>
            <w:tcBorders>
              <w:top w:val="nil"/>
              <w:bottom w:val="nil"/>
            </w:tcBorders>
          </w:tcPr>
          <w:p w14:paraId="40FBF787" w14:textId="77777777" w:rsidR="00674822" w:rsidRPr="005D71A4" w:rsidRDefault="00674822" w:rsidP="00770C93">
            <w:pPr>
              <w:pStyle w:val="051Tabletext228pt"/>
              <w:rPr>
                <w:sz w:val="18"/>
                <w:szCs w:val="18"/>
              </w:rPr>
            </w:pPr>
            <w:r w:rsidRPr="005D71A4">
              <w:rPr>
                <w:sz w:val="18"/>
                <w:szCs w:val="18"/>
              </w:rPr>
              <w:t>for POP</w:t>
            </w:r>
          </w:p>
        </w:tc>
        <w:tc>
          <w:tcPr>
            <w:tcW w:w="1194" w:type="pct"/>
            <w:tcBorders>
              <w:top w:val="nil"/>
              <w:bottom w:val="nil"/>
            </w:tcBorders>
            <w:shd w:val="clear" w:color="auto" w:fill="auto"/>
          </w:tcPr>
          <w:p w14:paraId="1D53DF65" w14:textId="77777777" w:rsidR="00674822" w:rsidRPr="005D71A4" w:rsidRDefault="00674822" w:rsidP="00770C93">
            <w:pPr>
              <w:pStyle w:val="051Tabletext228pt"/>
              <w:rPr>
                <w:sz w:val="18"/>
                <w:szCs w:val="18"/>
              </w:rPr>
            </w:pPr>
            <w:r w:rsidRPr="005D71A4">
              <w:rPr>
                <w:sz w:val="18"/>
                <w:szCs w:val="18"/>
              </w:rPr>
              <w:t>1, N=554 (S)</w:t>
            </w:r>
          </w:p>
        </w:tc>
        <w:tc>
          <w:tcPr>
            <w:tcW w:w="806" w:type="pct"/>
            <w:tcBorders>
              <w:top w:val="nil"/>
              <w:bottom w:val="nil"/>
            </w:tcBorders>
            <w:shd w:val="clear" w:color="auto" w:fill="F4B083" w:themeFill="accent2" w:themeFillTint="99"/>
          </w:tcPr>
          <w:p w14:paraId="35ADE801"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6BAA3EAF" w14:textId="77777777" w:rsidR="00674822" w:rsidRPr="005D71A4" w:rsidRDefault="00674822" w:rsidP="00770C93">
            <w:pPr>
              <w:pStyle w:val="051Tabletext228pt"/>
              <w:rPr>
                <w:sz w:val="18"/>
                <w:szCs w:val="18"/>
              </w:rPr>
            </w:pPr>
            <w:r w:rsidRPr="005D71A4">
              <w:rPr>
                <w:sz w:val="18"/>
                <w:szCs w:val="18"/>
              </w:rPr>
              <w:t>No events (S)</w:t>
            </w:r>
          </w:p>
        </w:tc>
        <w:tc>
          <w:tcPr>
            <w:tcW w:w="1000" w:type="pct"/>
            <w:tcBorders>
              <w:top w:val="nil"/>
              <w:bottom w:val="nil"/>
            </w:tcBorders>
            <w:shd w:val="clear" w:color="auto" w:fill="auto"/>
          </w:tcPr>
          <w:p w14:paraId="7D33B4FC" w14:textId="77777777" w:rsidR="00674822" w:rsidRPr="005D71A4" w:rsidRDefault="00674822" w:rsidP="00770C93">
            <w:pPr>
              <w:pStyle w:val="051Tabletext228pt"/>
              <w:rPr>
                <w:sz w:val="18"/>
                <w:szCs w:val="18"/>
              </w:rPr>
            </w:pPr>
            <w:r w:rsidRPr="005D71A4">
              <w:rPr>
                <w:sz w:val="18"/>
                <w:szCs w:val="18"/>
              </w:rPr>
              <w:t>No events (S)</w:t>
            </w:r>
          </w:p>
        </w:tc>
      </w:tr>
      <w:tr w:rsidR="00674822" w14:paraId="64870FF0" w14:textId="77777777" w:rsidTr="00770C93">
        <w:tc>
          <w:tcPr>
            <w:tcW w:w="1000" w:type="pct"/>
            <w:tcBorders>
              <w:top w:val="nil"/>
              <w:bottom w:val="nil"/>
            </w:tcBorders>
          </w:tcPr>
          <w:p w14:paraId="48EC5ACF" w14:textId="77777777" w:rsidR="00674822" w:rsidRPr="005D71A4" w:rsidRDefault="00674822" w:rsidP="00770C93">
            <w:pPr>
              <w:pStyle w:val="051Tabletext228pt"/>
              <w:rPr>
                <w:sz w:val="18"/>
                <w:szCs w:val="18"/>
              </w:rPr>
            </w:pPr>
          </w:p>
        </w:tc>
        <w:tc>
          <w:tcPr>
            <w:tcW w:w="1194" w:type="pct"/>
            <w:tcBorders>
              <w:top w:val="nil"/>
              <w:bottom w:val="nil"/>
            </w:tcBorders>
            <w:shd w:val="clear" w:color="auto" w:fill="auto"/>
          </w:tcPr>
          <w:p w14:paraId="2E649F0D" w14:textId="77777777" w:rsidR="00674822" w:rsidRPr="005D71A4" w:rsidRDefault="00674822" w:rsidP="00770C93">
            <w:pPr>
              <w:pStyle w:val="051Tabletext228pt"/>
              <w:rPr>
                <w:sz w:val="18"/>
                <w:szCs w:val="18"/>
              </w:rPr>
            </w:pPr>
            <w:r w:rsidRPr="005D71A4">
              <w:rPr>
                <w:sz w:val="18"/>
                <w:szCs w:val="18"/>
              </w:rPr>
              <w:t>1, N=87 (L)</w:t>
            </w:r>
          </w:p>
        </w:tc>
        <w:tc>
          <w:tcPr>
            <w:tcW w:w="806" w:type="pct"/>
            <w:tcBorders>
              <w:top w:val="nil"/>
              <w:bottom w:val="nil"/>
            </w:tcBorders>
            <w:shd w:val="clear" w:color="auto" w:fill="F4B083" w:themeFill="accent2" w:themeFillTint="99"/>
          </w:tcPr>
          <w:p w14:paraId="6536861E"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77C42947" w14:textId="77777777" w:rsidR="00674822" w:rsidRPr="005D71A4" w:rsidRDefault="00674822" w:rsidP="00770C9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3B7076B7" w14:textId="77777777" w:rsidR="00674822" w:rsidRPr="005D71A4" w:rsidRDefault="00674822" w:rsidP="00770C93">
            <w:pPr>
              <w:pStyle w:val="051Tabletext228pt"/>
              <w:rPr>
                <w:sz w:val="18"/>
                <w:szCs w:val="18"/>
              </w:rPr>
            </w:pPr>
            <w:r w:rsidRPr="005D71A4">
              <w:rPr>
                <w:sz w:val="18"/>
                <w:szCs w:val="18"/>
              </w:rPr>
              <w:t>No difference (L)</w:t>
            </w:r>
          </w:p>
        </w:tc>
      </w:tr>
      <w:tr w:rsidR="00674822" w14:paraId="3B160A3E" w14:textId="77777777" w:rsidTr="00770C93">
        <w:tc>
          <w:tcPr>
            <w:tcW w:w="1000" w:type="pct"/>
            <w:tcBorders>
              <w:top w:val="nil"/>
            </w:tcBorders>
          </w:tcPr>
          <w:p w14:paraId="2C7B52A4" w14:textId="77777777" w:rsidR="00674822" w:rsidRPr="005D71A4" w:rsidRDefault="00674822" w:rsidP="00770C93">
            <w:pPr>
              <w:pStyle w:val="051Tabletext228pt"/>
              <w:rPr>
                <w:sz w:val="18"/>
                <w:szCs w:val="18"/>
              </w:rPr>
            </w:pPr>
            <w:r w:rsidRPr="005D71A4">
              <w:rPr>
                <w:sz w:val="18"/>
                <w:szCs w:val="18"/>
              </w:rPr>
              <w:t>for mesh complications</w:t>
            </w:r>
          </w:p>
        </w:tc>
        <w:tc>
          <w:tcPr>
            <w:tcW w:w="1194" w:type="pct"/>
            <w:tcBorders>
              <w:top w:val="nil"/>
            </w:tcBorders>
            <w:shd w:val="clear" w:color="auto" w:fill="auto"/>
          </w:tcPr>
          <w:p w14:paraId="121E1900" w14:textId="77777777" w:rsidR="00674822" w:rsidRPr="005D71A4" w:rsidRDefault="00674822" w:rsidP="00770C93">
            <w:pPr>
              <w:pStyle w:val="051Tabletext228pt"/>
              <w:rPr>
                <w:sz w:val="18"/>
                <w:szCs w:val="18"/>
              </w:rPr>
            </w:pPr>
            <w:r w:rsidRPr="005D71A4">
              <w:rPr>
                <w:sz w:val="18"/>
                <w:szCs w:val="18"/>
              </w:rPr>
              <w:t>13, N=2,447 (S); 8, N=1,688 (M); 1, N=87 (L)</w:t>
            </w:r>
          </w:p>
        </w:tc>
        <w:tc>
          <w:tcPr>
            <w:tcW w:w="806" w:type="pct"/>
            <w:tcBorders>
              <w:top w:val="nil"/>
            </w:tcBorders>
            <w:shd w:val="clear" w:color="auto" w:fill="F4B083" w:themeFill="accent2" w:themeFillTint="99"/>
          </w:tcPr>
          <w:p w14:paraId="27B1CA0D" w14:textId="77777777" w:rsidR="00674822" w:rsidRPr="005D71A4" w:rsidRDefault="00674822" w:rsidP="00770C93">
            <w:pPr>
              <w:pStyle w:val="051Tabletext228pt"/>
              <w:rPr>
                <w:sz w:val="18"/>
                <w:szCs w:val="18"/>
              </w:rPr>
            </w:pPr>
            <w:r w:rsidRPr="005D71A4">
              <w:rPr>
                <w:sz w:val="18"/>
                <w:szCs w:val="18"/>
              </w:rPr>
              <w:t>Very low</w:t>
            </w:r>
          </w:p>
        </w:tc>
        <w:tc>
          <w:tcPr>
            <w:tcW w:w="1000" w:type="pct"/>
            <w:tcBorders>
              <w:top w:val="nil"/>
            </w:tcBorders>
            <w:shd w:val="clear" w:color="auto" w:fill="auto"/>
          </w:tcPr>
          <w:p w14:paraId="6AA11F46" w14:textId="77777777" w:rsidR="00674822" w:rsidRPr="005D71A4" w:rsidRDefault="00674822" w:rsidP="00770C93">
            <w:pPr>
              <w:pStyle w:val="051Tabletext228pt"/>
              <w:rPr>
                <w:sz w:val="18"/>
                <w:szCs w:val="18"/>
              </w:rPr>
            </w:pPr>
            <w:r w:rsidRPr="005D71A4">
              <w:rPr>
                <w:sz w:val="18"/>
                <w:szCs w:val="18"/>
              </w:rPr>
              <w:t>No difference (S, M, L)</w:t>
            </w:r>
          </w:p>
        </w:tc>
        <w:tc>
          <w:tcPr>
            <w:tcW w:w="1000" w:type="pct"/>
            <w:tcBorders>
              <w:top w:val="nil"/>
            </w:tcBorders>
            <w:shd w:val="clear" w:color="auto" w:fill="auto"/>
          </w:tcPr>
          <w:p w14:paraId="4239B65E" w14:textId="77777777" w:rsidR="00674822" w:rsidRPr="005D71A4" w:rsidRDefault="00674822" w:rsidP="00770C93">
            <w:pPr>
              <w:pStyle w:val="051Tabletext228pt"/>
              <w:rPr>
                <w:sz w:val="18"/>
                <w:szCs w:val="18"/>
              </w:rPr>
            </w:pPr>
            <w:r w:rsidRPr="005D71A4">
              <w:rPr>
                <w:sz w:val="18"/>
                <w:szCs w:val="18"/>
              </w:rPr>
              <w:t>No difference (S, M, L)</w:t>
            </w:r>
          </w:p>
        </w:tc>
      </w:tr>
    </w:tbl>
    <w:p w14:paraId="520A401B" w14:textId="5BC079D7" w:rsidR="00E34FC6" w:rsidRDefault="00E34FC6" w:rsidP="00E34FC6">
      <w:pPr>
        <w:pStyle w:val="101Tablefootnotes8pt"/>
      </w:pPr>
      <w:r>
        <w:t xml:space="preserve">Source: based on data from NICE Evidence review </w:t>
      </w:r>
      <w:r w:rsidR="00245CE2">
        <w:rPr>
          <w:noProof/>
        </w:rPr>
        <w:t>(NICE 2019b)</w:t>
      </w:r>
    </w:p>
    <w:p w14:paraId="5793BB0C" w14:textId="37993FE7" w:rsidR="00674822" w:rsidRDefault="00674822" w:rsidP="00D27A8C">
      <w:pPr>
        <w:pStyle w:val="101Tablefootnotes8pt"/>
      </w:pPr>
      <w:r>
        <w:t xml:space="preserve">Abbreviations: </w:t>
      </w:r>
      <w:proofErr w:type="spellStart"/>
      <w:r>
        <w:t>HRQoL</w:t>
      </w:r>
      <w:proofErr w:type="spellEnd"/>
      <w:r>
        <w:t xml:space="preserve">, health-related quality of life; L, long-term; M, medium-term; MUS, mid-urethral sling; POP, pelvic organ prolapse; RP, retropubic; S, short-term; SUI, stress urinary incontinence; TO, </w:t>
      </w:r>
      <w:proofErr w:type="spellStart"/>
      <w:r>
        <w:t>transobturator</w:t>
      </w:r>
      <w:proofErr w:type="spellEnd"/>
    </w:p>
    <w:p w14:paraId="43BA0661" w14:textId="77777777" w:rsidR="001D1769" w:rsidRPr="00083412" w:rsidRDefault="001D1769" w:rsidP="001D1769">
      <w:pPr>
        <w:pStyle w:val="101Tablefootnotes8pt"/>
      </w:pPr>
      <w:r>
        <w:rPr>
          <w:vertAlign w:val="superscript"/>
        </w:rPr>
        <w:t xml:space="preserve">1 </w:t>
      </w:r>
      <w:r>
        <w:t>NICE defined c</w:t>
      </w:r>
      <w:r w:rsidRPr="002E44EE">
        <w:t xml:space="preserve">linically important </w:t>
      </w:r>
      <w:proofErr w:type="gramStart"/>
      <w:r w:rsidRPr="002E44EE">
        <w:t>outcomes</w:t>
      </w:r>
      <w:proofErr w:type="gramEnd"/>
      <w:r w:rsidRPr="002E44EE">
        <w:t xml:space="preserve"> based on published literature and consultation with the Guideline Committee. If no published or acceptable minimally important difference (MID) was identified, the committee considered whether to use GRADE defaults.</w:t>
      </w:r>
    </w:p>
    <w:p w14:paraId="4C44C357" w14:textId="337EA4F4" w:rsidR="00D27A8C" w:rsidRDefault="00D27A8C" w:rsidP="001D1769">
      <w:pPr>
        <w:pStyle w:val="111Tablefootnoteslast-nostick8pt"/>
      </w:pPr>
      <w:r>
        <w:t xml:space="preserve">Key: orange = very </w:t>
      </w:r>
      <w:proofErr w:type="gramStart"/>
      <w:r>
        <w:t>low quality</w:t>
      </w:r>
      <w:proofErr w:type="gramEnd"/>
      <w:r>
        <w:t xml:space="preserve"> evidence; yellow = low quality evidence</w:t>
      </w:r>
      <w:r w:rsidR="00902983">
        <w:t xml:space="preserve">; blue = moderate quality evidence; purple = </w:t>
      </w:r>
      <w:proofErr w:type="spellStart"/>
      <w:r w:rsidR="00902983">
        <w:t>favours</w:t>
      </w:r>
      <w:proofErr w:type="spellEnd"/>
      <w:r w:rsidR="00902983">
        <w:t xml:space="preserve"> RP-MUS; pink = </w:t>
      </w:r>
      <w:proofErr w:type="spellStart"/>
      <w:r w:rsidR="00902983">
        <w:t>favours</w:t>
      </w:r>
      <w:proofErr w:type="spellEnd"/>
      <w:r w:rsidR="00902983">
        <w:t xml:space="preserve"> TO-MUS. </w:t>
      </w:r>
    </w:p>
    <w:p w14:paraId="5B17B636" w14:textId="399620CB" w:rsidR="00644611" w:rsidRPr="00C902B6" w:rsidRDefault="00444DBA" w:rsidP="00644611">
      <w:pPr>
        <w:pStyle w:val="ExecSumHeading3"/>
      </w:pPr>
      <w:r w:rsidRPr="00C902B6">
        <w:t>Clinical Practice Guidelines and Regulatory Advice</w:t>
      </w:r>
    </w:p>
    <w:p w14:paraId="39653876" w14:textId="3009794B" w:rsidR="00C334A1" w:rsidRPr="00C902B6" w:rsidRDefault="00C334A1" w:rsidP="00146A88">
      <w:r w:rsidRPr="00C902B6">
        <w:t xml:space="preserve">Ten clinical practice guidelines or position </w:t>
      </w:r>
      <w:r w:rsidRPr="00C902B6">
        <w:rPr>
          <w:rStyle w:val="BodyTextChar"/>
        </w:rPr>
        <w:t xml:space="preserve">statements </w:t>
      </w:r>
      <w:r w:rsidR="00146A88" w:rsidRPr="00C902B6">
        <w:rPr>
          <w:rStyle w:val="BodyTextChar"/>
        </w:rPr>
        <w:t xml:space="preserve">were considered. </w:t>
      </w:r>
      <w:r w:rsidRPr="00C902B6">
        <w:t>All recommend MUS as a surgical option for the treatment of SUI. Those</w:t>
      </w:r>
      <w:r w:rsidRPr="00C902B6" w:rsidDel="003A6747">
        <w:t xml:space="preserve"> </w:t>
      </w:r>
      <w:r w:rsidR="003A6747" w:rsidRPr="00C902B6">
        <w:t xml:space="preserve">that </w:t>
      </w:r>
      <w:r w:rsidRPr="00C902B6">
        <w:t xml:space="preserve">make a statement on the type of MUS recommend </w:t>
      </w:r>
      <w:r w:rsidR="00ED0821" w:rsidRPr="00C902B6">
        <w:t>RP-</w:t>
      </w:r>
      <w:r w:rsidRPr="00C902B6">
        <w:t>MUS over</w:t>
      </w:r>
      <w:r w:rsidR="00D60AEE" w:rsidRPr="00C902B6">
        <w:t xml:space="preserve"> </w:t>
      </w:r>
      <w:r w:rsidRPr="00C902B6">
        <w:t>TO</w:t>
      </w:r>
      <w:r w:rsidR="00ED0821" w:rsidRPr="00C902B6">
        <w:t>-</w:t>
      </w:r>
      <w:r w:rsidRPr="00C902B6">
        <w:t>MUS unless there are specific clinical circumstances.</w:t>
      </w:r>
    </w:p>
    <w:p w14:paraId="5EA9AC19" w14:textId="21CD6090" w:rsidR="00BD2501" w:rsidRPr="00613B3F" w:rsidRDefault="00644611" w:rsidP="00BD2501">
      <w:pPr>
        <w:pStyle w:val="ExecSumHeading3"/>
      </w:pPr>
      <w:r w:rsidRPr="00613B3F">
        <w:t>Cost-effectiveness and cost-analysis</w:t>
      </w:r>
    </w:p>
    <w:p w14:paraId="0BA995EB" w14:textId="1878AEA5" w:rsidR="00146A88" w:rsidRPr="00613B3F" w:rsidRDefault="00146A88" w:rsidP="00146A88">
      <w:pPr>
        <w:pStyle w:val="BodyText"/>
      </w:pPr>
      <w:r w:rsidRPr="00613B3F">
        <w:t>Although cost-effectiveness analyses from other jurisdictions</w:t>
      </w:r>
      <w:r w:rsidR="00445372" w:rsidRPr="00613B3F">
        <w:t xml:space="preserve"> may have limited applicability to the Australian setting, four modelled economic studies </w:t>
      </w:r>
      <w:r w:rsidR="006E01B0" w:rsidRPr="00613B3F">
        <w:t xml:space="preserve">that </w:t>
      </w:r>
      <w:r w:rsidR="00C51E05" w:rsidRPr="00613B3F">
        <w:t xml:space="preserve">compared MUS to alternative surgical interventions all found MUS to be cost-effective. Most of the </w:t>
      </w:r>
      <w:r w:rsidR="00114D47" w:rsidRPr="00613B3F">
        <w:t xml:space="preserve">included </w:t>
      </w:r>
      <w:r w:rsidR="00C51E05" w:rsidRPr="00613B3F">
        <w:t xml:space="preserve">economic studies found that cost-effectiveness was driven by the cost of the device itself or the device </w:t>
      </w:r>
      <w:proofErr w:type="gramStart"/>
      <w:r w:rsidR="00C51E05" w:rsidRPr="00613B3F">
        <w:t>procedure, and</w:t>
      </w:r>
      <w:proofErr w:type="gramEnd"/>
      <w:r w:rsidR="00C51E05" w:rsidRPr="00613B3F">
        <w:t xml:space="preserve"> </w:t>
      </w:r>
      <w:r w:rsidR="00C45403" w:rsidRPr="00613B3F">
        <w:t>were limited by the extrapolation of effectiveness and complication rates over the long-term.</w:t>
      </w:r>
    </w:p>
    <w:p w14:paraId="22FD68FF" w14:textId="4CE636D1" w:rsidR="00C45403" w:rsidRPr="00146A88" w:rsidRDefault="00C45403" w:rsidP="00146A88">
      <w:pPr>
        <w:pStyle w:val="BodyText"/>
      </w:pPr>
      <w:r w:rsidRPr="00613B3F">
        <w:t>In considering the cost of the MUS procedure in the Australian setting, the main costs are for the device ($822 PL benefit) and the procedure</w:t>
      </w:r>
      <w:r w:rsidR="00604B66" w:rsidRPr="00613B3F">
        <w:t>,</w:t>
      </w:r>
      <w:r w:rsidRPr="00613B3F">
        <w:t xml:space="preserve"> which has a total MBS cost of $1,287. Additional costs may include pre-surgical tests such as urodynamic analysis and post-surgical pharmaceutical costs. Estimates of hospital costs are uncertain as there is no specific AR-DRG for the procedure.</w:t>
      </w:r>
    </w:p>
    <w:p w14:paraId="51FE6796" w14:textId="43E4D15B" w:rsidR="00267C8D" w:rsidRPr="00131DED" w:rsidRDefault="00131DED" w:rsidP="00BD2501">
      <w:pPr>
        <w:pStyle w:val="ExecSumHeading2"/>
      </w:pPr>
      <w:bookmarkStart w:id="11" w:name="_Toc165627808"/>
      <w:r w:rsidRPr="00131DED">
        <w:t>Considerations for PLAC</w:t>
      </w:r>
      <w:bookmarkEnd w:id="11"/>
    </w:p>
    <w:p w14:paraId="0A08A80E" w14:textId="7D1DC92F" w:rsidR="00131DED" w:rsidRDefault="00131DED" w:rsidP="00131DED">
      <w:pPr>
        <w:pStyle w:val="BodyText"/>
      </w:pPr>
      <w:r>
        <w:t xml:space="preserve">The evidence base supports the place of MUS in the treatment of SUI, demonstrating comparable effectiveness to alternative surgical interventions. In international analyses, MUS is cost-effective based on lower procedure costs than alternative surgical interventions. Of the two types of MUS device listed on the PL, the evidence base appears to favour RP-MUS over TO-MUS and this is consistently recommended in clinical practice guidelines. However, a role for TO-MUS appears to remain in limited clinical circumstances. Therefore, the comparative clinical effectiveness, long-term outcomes and clinical practice guidelines are all consistent with the care pathway as specified by the ACSQHC (see </w:t>
      </w:r>
      <w:r w:rsidRPr="00EB75A8">
        <w:rPr>
          <w:b/>
          <w:bCs/>
        </w:rPr>
        <w:fldChar w:fldCharType="begin"/>
      </w:r>
      <w:r w:rsidRPr="00EB75A8">
        <w:rPr>
          <w:b/>
          <w:bCs/>
        </w:rPr>
        <w:instrText xml:space="preserve"> REF _Ref129345751 \h </w:instrText>
      </w:r>
      <w:r>
        <w:rPr>
          <w:b/>
          <w:bCs/>
        </w:rPr>
        <w:instrText xml:space="preserve"> \* MERGEFORMAT </w:instrText>
      </w:r>
      <w:r w:rsidRPr="00EB75A8">
        <w:rPr>
          <w:b/>
          <w:bCs/>
        </w:rPr>
      </w:r>
      <w:r w:rsidRPr="00EB75A8">
        <w:rPr>
          <w:b/>
          <w:bCs/>
        </w:rPr>
        <w:fldChar w:fldCharType="separate"/>
      </w:r>
      <w:r w:rsidR="007105D3" w:rsidRPr="007105D3">
        <w:rPr>
          <w:b/>
          <w:bCs/>
        </w:rPr>
        <w:t xml:space="preserve">Figure </w:t>
      </w:r>
      <w:r w:rsidR="007105D3" w:rsidRPr="007105D3">
        <w:rPr>
          <w:b/>
          <w:bCs/>
          <w:noProof/>
        </w:rPr>
        <w:t>1</w:t>
      </w:r>
      <w:r w:rsidRPr="00EB75A8">
        <w:rPr>
          <w:b/>
          <w:bCs/>
        </w:rPr>
        <w:fldChar w:fldCharType="end"/>
      </w:r>
      <w:r>
        <w:t>)</w:t>
      </w:r>
      <w:r w:rsidR="00245CE2">
        <w:rPr>
          <w:noProof/>
        </w:rPr>
        <w:t xml:space="preserve"> (ACSQHC 2018a)</w:t>
      </w:r>
      <w:r>
        <w:t>. On this basis, it is recommended that PLAC:</w:t>
      </w:r>
    </w:p>
    <w:p w14:paraId="0923C79A" w14:textId="77777777" w:rsidR="00131DED" w:rsidRDefault="00131DED" w:rsidP="00131DED">
      <w:pPr>
        <w:pStyle w:val="Bulletpoint"/>
      </w:pPr>
      <w:r w:rsidRPr="00562CAE">
        <w:t>Continue to list both RP-MUS and TO-MUS devices on the PL</w:t>
      </w:r>
      <w:r>
        <w:t>.</w:t>
      </w:r>
    </w:p>
    <w:p w14:paraId="3CAD205C" w14:textId="77777777" w:rsidR="00131DED" w:rsidRDefault="00131DED" w:rsidP="00131DED">
      <w:pPr>
        <w:pStyle w:val="Bulletpoint2ndlevel"/>
      </w:pPr>
      <w:r>
        <w:t>As both approaches are for similar clinical indications and both types of devices have similar technical characteristics there is no justification for listing them in separate groups.</w:t>
      </w:r>
    </w:p>
    <w:p w14:paraId="58BF32DA" w14:textId="77777777" w:rsidR="00131DED" w:rsidRPr="00562CAE" w:rsidRDefault="00131DED" w:rsidP="00131DED">
      <w:pPr>
        <w:pStyle w:val="Bulletpoint2ndlevel"/>
      </w:pPr>
      <w:r>
        <w:t xml:space="preserve">MUS is likely to be cost-effective at the current benefit based on a lower expected procedure cost than the comparators, with similar effectiveness. The annual cost to the PL </w:t>
      </w:r>
      <w:r>
        <w:lastRenderedPageBreak/>
        <w:t>in 2021-22 was $822,000. No evidence was located to support a change to the current benefit.</w:t>
      </w:r>
    </w:p>
    <w:p w14:paraId="3A0EAF56" w14:textId="77777777" w:rsidR="00131DED" w:rsidRPr="00562CAE" w:rsidRDefault="00131DED" w:rsidP="00131DED">
      <w:pPr>
        <w:pStyle w:val="Bulletpoint"/>
      </w:pPr>
      <w:r w:rsidRPr="00562CAE">
        <w:t xml:space="preserve">In collaboration with the TGA, continue to monitor the long-term safety of </w:t>
      </w:r>
      <w:r>
        <w:t>MUS</w:t>
      </w:r>
      <w:r w:rsidRPr="00562CAE">
        <w:t xml:space="preserve"> based on</w:t>
      </w:r>
      <w:r>
        <w:t>:</w:t>
      </w:r>
    </w:p>
    <w:p w14:paraId="60693D6C" w14:textId="4A06E123" w:rsidR="00131DED" w:rsidRPr="00562CAE" w:rsidRDefault="00131DED" w:rsidP="00131DED">
      <w:pPr>
        <w:pStyle w:val="Bulletpoint2ndlevel"/>
      </w:pPr>
      <w:r w:rsidRPr="00562CAE">
        <w:t xml:space="preserve">data collected via the </w:t>
      </w:r>
      <w:r w:rsidR="00020B0C">
        <w:t>Australasian Pelvic Floor Procedure Registry (</w:t>
      </w:r>
      <w:r w:rsidRPr="00562CAE">
        <w:t>APFPR</w:t>
      </w:r>
      <w:r w:rsidR="00020B0C">
        <w:t>)</w:t>
      </w:r>
      <w:r>
        <w:t>,</w:t>
      </w:r>
      <w:r w:rsidRPr="00562CAE">
        <w:t xml:space="preserve"> when data from a sufficiently sized sample </w:t>
      </w:r>
      <w:proofErr w:type="gramStart"/>
      <w:r w:rsidRPr="00562CAE">
        <w:t>is able to</w:t>
      </w:r>
      <w:proofErr w:type="gramEnd"/>
      <w:r w:rsidRPr="00562CAE">
        <w:t xml:space="preserve"> ensure it is representative</w:t>
      </w:r>
    </w:p>
    <w:p w14:paraId="40664781" w14:textId="77777777" w:rsidR="00131DED" w:rsidRDefault="00131DED" w:rsidP="00131DED">
      <w:pPr>
        <w:pStyle w:val="Bulletpoint2ndlevel"/>
      </w:pPr>
      <w:r>
        <w:t>o</w:t>
      </w:r>
      <w:r w:rsidRPr="00562CAE">
        <w:t>ngoing advice from international regulators</w:t>
      </w:r>
      <w:r>
        <w:t>.</w:t>
      </w:r>
    </w:p>
    <w:p w14:paraId="2ED1EF97" w14:textId="00963A36" w:rsidR="00131DED" w:rsidRPr="00304072" w:rsidRDefault="00131DED" w:rsidP="00131DED">
      <w:pPr>
        <w:pStyle w:val="Bulletpoint"/>
      </w:pPr>
      <w:r w:rsidRPr="00801CCE">
        <w:t xml:space="preserve">In collaboration with the TGA and/or </w:t>
      </w:r>
      <w:proofErr w:type="spellStart"/>
      <w:r w:rsidRPr="00801CCE">
        <w:t>D</w:t>
      </w:r>
      <w:r w:rsidR="007337CC">
        <w:t>o</w:t>
      </w:r>
      <w:r w:rsidRPr="00801CCE">
        <w:t>HAC</w:t>
      </w:r>
      <w:proofErr w:type="spellEnd"/>
      <w:r w:rsidRPr="00801CCE">
        <w:t xml:space="preserve">, continue to monitor utilisation data for </w:t>
      </w:r>
      <w:r>
        <w:t>RP</w:t>
      </w:r>
      <w:r w:rsidRPr="00801CCE">
        <w:t xml:space="preserve"> and </w:t>
      </w:r>
      <w:r>
        <w:t>TO</w:t>
      </w:r>
      <w:r w:rsidRPr="00801CCE">
        <w:t xml:space="preserve"> MUS devices</w:t>
      </w:r>
      <w:r>
        <w:t xml:space="preserve"> to ensure use aligns with clinical recommendations in favour of a RP-MUS approach.</w:t>
      </w:r>
    </w:p>
    <w:p w14:paraId="6F40F7CF" w14:textId="5C0EA02D" w:rsidR="008C3478" w:rsidRPr="00B0485F" w:rsidRDefault="00CD34C2" w:rsidP="008C3478">
      <w:pPr>
        <w:pStyle w:val="Heading1"/>
      </w:pPr>
      <w:bookmarkStart w:id="12" w:name="_Ref132708061"/>
      <w:bookmarkStart w:id="13" w:name="_Ref132708069"/>
      <w:bookmarkStart w:id="14" w:name="_Toc165627809"/>
      <w:r w:rsidRPr="00B0485F">
        <w:lastRenderedPageBreak/>
        <w:t>Background</w:t>
      </w:r>
      <w:bookmarkEnd w:id="12"/>
      <w:bookmarkEnd w:id="13"/>
      <w:bookmarkEnd w:id="14"/>
    </w:p>
    <w:p w14:paraId="2A6FB025" w14:textId="31C828A2" w:rsidR="00985E9F" w:rsidRPr="00B0485F" w:rsidRDefault="00CD34C2" w:rsidP="00985E9F">
      <w:pPr>
        <w:pStyle w:val="Heading2"/>
      </w:pPr>
      <w:bookmarkStart w:id="15" w:name="_Toc165627810"/>
      <w:r w:rsidRPr="00B0485F">
        <w:t xml:space="preserve">Context for the </w:t>
      </w:r>
      <w:r w:rsidR="003B3386" w:rsidRPr="00B0485F">
        <w:t>R</w:t>
      </w:r>
      <w:r w:rsidRPr="00B0485F">
        <w:t>eview</w:t>
      </w:r>
      <w:bookmarkEnd w:id="15"/>
    </w:p>
    <w:p w14:paraId="19C53D4E" w14:textId="3B45474A" w:rsidR="00DE642A" w:rsidRPr="00B0485F" w:rsidRDefault="00CD34C2" w:rsidP="00457044">
      <w:pPr>
        <w:pStyle w:val="Heading3"/>
      </w:pPr>
      <w:bookmarkStart w:id="16" w:name="_Toc165627811"/>
      <w:r w:rsidRPr="00B0485F">
        <w:t>Prosthes</w:t>
      </w:r>
      <w:r w:rsidR="00CB7872" w:rsidRPr="00B0485F">
        <w:t>e</w:t>
      </w:r>
      <w:r w:rsidRPr="00B0485F">
        <w:t>s List post</w:t>
      </w:r>
      <w:r w:rsidR="00961B5E" w:rsidRPr="00B0485F">
        <w:t>-</w:t>
      </w:r>
      <w:r w:rsidRPr="00B0485F">
        <w:t>listing review framework</w:t>
      </w:r>
      <w:bookmarkEnd w:id="16"/>
    </w:p>
    <w:p w14:paraId="52A8C478" w14:textId="5D8E9931" w:rsidR="004F1BF8" w:rsidRPr="00B0485F" w:rsidRDefault="004F1BF8" w:rsidP="004F1BF8">
      <w:pPr>
        <w:pStyle w:val="BodyText"/>
      </w:pPr>
      <w:r w:rsidRPr="00B0485F">
        <w:t>The Department of Health and Aged Care (</w:t>
      </w:r>
      <w:proofErr w:type="spellStart"/>
      <w:r w:rsidRPr="00B0485F">
        <w:t>D</w:t>
      </w:r>
      <w:r w:rsidR="001A3BBC">
        <w:t>o</w:t>
      </w:r>
      <w:r w:rsidRPr="00B0485F">
        <w:t>HAC</w:t>
      </w:r>
      <w:proofErr w:type="spellEnd"/>
      <w:r w:rsidRPr="00B0485F">
        <w:t>) has developed a Prostheses List</w:t>
      </w:r>
      <w:r w:rsidR="006B6F92">
        <w:t xml:space="preserve"> (PL)</w:t>
      </w:r>
      <w:r w:rsidRPr="00B0485F">
        <w:t xml:space="preserve"> </w:t>
      </w:r>
      <w:hyperlink r:id="rId16" w:tooltip="This link goes to the Prostheses List post-listing review framework webpage" w:history="1">
        <w:r>
          <w:rPr>
            <w:rStyle w:val="Hyperlink"/>
          </w:rPr>
          <w:t>P</w:t>
        </w:r>
        <w:r w:rsidRPr="00AE5995">
          <w:rPr>
            <w:rStyle w:val="Hyperlink"/>
          </w:rPr>
          <w:t>ost-</w:t>
        </w:r>
        <w:r>
          <w:rPr>
            <w:rStyle w:val="Hyperlink"/>
          </w:rPr>
          <w:t>L</w:t>
        </w:r>
        <w:r w:rsidRPr="00AE5995">
          <w:rPr>
            <w:rStyle w:val="Hyperlink"/>
          </w:rPr>
          <w:t xml:space="preserve">isting </w:t>
        </w:r>
        <w:r>
          <w:rPr>
            <w:rStyle w:val="Hyperlink"/>
          </w:rPr>
          <w:t>R</w:t>
        </w:r>
        <w:r w:rsidRPr="00AE5995">
          <w:rPr>
            <w:rStyle w:val="Hyperlink"/>
          </w:rPr>
          <w:t xml:space="preserve">eview </w:t>
        </w:r>
        <w:r>
          <w:rPr>
            <w:rStyle w:val="Hyperlink"/>
          </w:rPr>
          <w:t>F</w:t>
        </w:r>
        <w:r w:rsidRPr="00AE5995">
          <w:rPr>
            <w:rStyle w:val="Hyperlink"/>
          </w:rPr>
          <w:t>ramework</w:t>
        </w:r>
      </w:hyperlink>
      <w:r w:rsidRPr="00B0485F">
        <w:t xml:space="preserve"> </w:t>
      </w:r>
      <w:r w:rsidR="000B5D45">
        <w:t>(the Framework)</w:t>
      </w:r>
      <w:r w:rsidRPr="00B0485F">
        <w:t xml:space="preserve"> to facilitate the review of post-listing concerns </w:t>
      </w:r>
      <w:r w:rsidR="00CC3105">
        <w:t>as required</w:t>
      </w:r>
      <w:r w:rsidRPr="00B0485F">
        <w:t>.</w:t>
      </w:r>
      <w:r w:rsidR="007F0FC0" w:rsidRPr="00B0485F">
        <w:t xml:space="preserve"> </w:t>
      </w:r>
      <w:r w:rsidR="00662A67" w:rsidRPr="00B0485F">
        <w:t>The Framework was developed as</w:t>
      </w:r>
      <w:r w:rsidR="007F0FC0" w:rsidRPr="00B0485F">
        <w:t xml:space="preserve"> part of the Prostheses List Reforms. </w:t>
      </w:r>
      <w:r w:rsidRPr="00B0485F">
        <w:t xml:space="preserve">This </w:t>
      </w:r>
      <w:r w:rsidR="00804BAF" w:rsidRPr="00B0485F">
        <w:t xml:space="preserve">review </w:t>
      </w:r>
      <w:r w:rsidRPr="00B0485F">
        <w:t xml:space="preserve">is </w:t>
      </w:r>
      <w:r w:rsidR="00804BAF" w:rsidRPr="00B0485F">
        <w:t>b</w:t>
      </w:r>
      <w:r w:rsidRPr="00B0485F">
        <w:t xml:space="preserve">eing conducted to </w:t>
      </w:r>
      <w:r w:rsidR="002B0E04" w:rsidRPr="00B0485F">
        <w:t>trial</w:t>
      </w:r>
      <w:r w:rsidRPr="00B0485F">
        <w:t xml:space="preserve"> the </w:t>
      </w:r>
      <w:r w:rsidR="004F1F12" w:rsidRPr="00B0485F">
        <w:t>F</w:t>
      </w:r>
      <w:r w:rsidRPr="00B0485F">
        <w:t>ramework and inform its further development.</w:t>
      </w:r>
    </w:p>
    <w:p w14:paraId="5DFA1083" w14:textId="39CF65DD" w:rsidR="000B0A31" w:rsidRPr="00B0485F" w:rsidRDefault="000B0A31" w:rsidP="00D81058">
      <w:pPr>
        <w:pStyle w:val="Heading2"/>
        <w:ind w:left="709" w:hanging="709"/>
      </w:pPr>
      <w:bookmarkStart w:id="17" w:name="_Toc165627812"/>
      <w:r w:rsidRPr="00B0485F">
        <w:t xml:space="preserve">About </w:t>
      </w:r>
      <w:r w:rsidR="00D925AA" w:rsidRPr="00B0485F">
        <w:t>th</w:t>
      </w:r>
      <w:r w:rsidR="00363A11">
        <w:t>is</w:t>
      </w:r>
      <w:r w:rsidR="00D925AA" w:rsidRPr="00B0485F">
        <w:t xml:space="preserve"> </w:t>
      </w:r>
      <w:r w:rsidR="00363A11" w:rsidRPr="00B0485F">
        <w:t xml:space="preserve">post-listing review </w:t>
      </w:r>
      <w:r w:rsidR="00363A11">
        <w:t xml:space="preserve">of </w:t>
      </w:r>
      <w:proofErr w:type="spellStart"/>
      <w:r w:rsidRPr="00B0485F">
        <w:t>urogynaecological</w:t>
      </w:r>
      <w:proofErr w:type="spellEnd"/>
      <w:r w:rsidRPr="00B0485F">
        <w:t xml:space="preserve"> mesh devices (mid-urethral slings)</w:t>
      </w:r>
      <w:bookmarkEnd w:id="17"/>
      <w:r w:rsidRPr="00B0485F">
        <w:t xml:space="preserve"> </w:t>
      </w:r>
    </w:p>
    <w:p w14:paraId="4B9AA9AC" w14:textId="60C708FD" w:rsidR="0046434A" w:rsidRPr="00B0485F" w:rsidRDefault="00BB4EE5" w:rsidP="0046434A">
      <w:pPr>
        <w:pStyle w:val="BodyText"/>
      </w:pPr>
      <w:r>
        <w:t>M</w:t>
      </w:r>
      <w:r w:rsidR="002D7A74" w:rsidRPr="00B0485F">
        <w:t>id-urethral slings</w:t>
      </w:r>
      <w:r>
        <w:t xml:space="preserve"> (</w:t>
      </w:r>
      <w:r w:rsidR="005D71A4">
        <w:t>MUS</w:t>
      </w:r>
      <w:r w:rsidR="002D7A74" w:rsidRPr="00B0485F">
        <w:t xml:space="preserve">) for </w:t>
      </w:r>
      <w:r w:rsidR="0056407A">
        <w:t xml:space="preserve">the treatment of </w:t>
      </w:r>
      <w:r w:rsidR="002D7A74" w:rsidRPr="00B0485F">
        <w:t xml:space="preserve">stress urinary incontinence </w:t>
      </w:r>
      <w:r w:rsidR="006248DF">
        <w:t>(SUI)</w:t>
      </w:r>
      <w:r w:rsidR="0056407A">
        <w:t xml:space="preserve"> are </w:t>
      </w:r>
      <w:r w:rsidR="00173A8F" w:rsidRPr="00B0485F">
        <w:t>included in the Prostheses List Group 05.01.03.02</w:t>
      </w:r>
      <w:r w:rsidR="000E4EA9" w:rsidRPr="00B0485F">
        <w:t xml:space="preserve"> </w:t>
      </w:r>
      <w:r w:rsidR="009B3533" w:rsidRPr="00B0485F">
        <w:t>(</w:t>
      </w:r>
      <w:r w:rsidR="009C56DB" w:rsidRPr="00B0485F">
        <w:t>Incontinence Prostheses, Sling, Female)</w:t>
      </w:r>
      <w:r w:rsidR="009F6E04" w:rsidRPr="00B0485F">
        <w:t>.</w:t>
      </w:r>
      <w:r w:rsidR="005C7565" w:rsidRPr="00B0485F">
        <w:t xml:space="preserve"> </w:t>
      </w:r>
      <w:r w:rsidR="00162064" w:rsidRPr="00B0485F">
        <w:t>The</w:t>
      </w:r>
      <w:r w:rsidR="00AF2271" w:rsidRPr="00B0485F">
        <w:t>re is an</w:t>
      </w:r>
      <w:r w:rsidR="00162064" w:rsidRPr="00B0485F">
        <w:t xml:space="preserve"> a</w:t>
      </w:r>
      <w:r w:rsidR="003A4D97" w:rsidRPr="00B0485F">
        <w:t xml:space="preserve">ssociated </w:t>
      </w:r>
      <w:r w:rsidR="00721956">
        <w:t>Medicare Benefits Schedule (</w:t>
      </w:r>
      <w:r w:rsidR="003A4D97" w:rsidRPr="00B0485F">
        <w:t>MBS</w:t>
      </w:r>
      <w:r w:rsidR="00721956">
        <w:t>)</w:t>
      </w:r>
      <w:r w:rsidR="003A4D97" w:rsidRPr="00B0485F">
        <w:t xml:space="preserve"> item</w:t>
      </w:r>
      <w:r w:rsidR="00162064" w:rsidRPr="00B0485F">
        <w:t xml:space="preserve"> for the </w:t>
      </w:r>
      <w:r w:rsidR="00D32A5A" w:rsidRPr="00B0485F">
        <w:t xml:space="preserve">insertion of a </w:t>
      </w:r>
      <w:r w:rsidR="009273B6" w:rsidRPr="00B0485F">
        <w:t xml:space="preserve">female </w:t>
      </w:r>
      <w:r w:rsidR="00162064" w:rsidRPr="00B0485F">
        <w:t>mid-urethral sling</w:t>
      </w:r>
      <w:r w:rsidR="00810867">
        <w:t xml:space="preserve"> </w:t>
      </w:r>
      <w:r w:rsidR="00F0592A" w:rsidRPr="00B0485F">
        <w:t>(35599)</w:t>
      </w:r>
      <w:r w:rsidR="00F50157">
        <w:t>,</w:t>
      </w:r>
      <w:r w:rsidR="00AF2271" w:rsidRPr="00B0485F">
        <w:t xml:space="preserve"> which</w:t>
      </w:r>
      <w:r w:rsidR="00162064" w:rsidRPr="00B0485F">
        <w:t xml:space="preserve"> </w:t>
      </w:r>
      <w:r w:rsidR="008D11CA" w:rsidRPr="00B0485F">
        <w:t>was first listed on the</w:t>
      </w:r>
      <w:r w:rsidR="00060EA5" w:rsidRPr="00B0485F">
        <w:t xml:space="preserve"> MBS on</w:t>
      </w:r>
      <w:r w:rsidR="008D11CA" w:rsidRPr="00B0485F">
        <w:t xml:space="preserve"> 01 December 1991</w:t>
      </w:r>
      <w:r w:rsidR="00AF2271" w:rsidRPr="00B0485F">
        <w:t xml:space="preserve">. </w:t>
      </w:r>
      <w:r w:rsidR="00FA707B" w:rsidRPr="00B0485F">
        <w:t xml:space="preserve">Two MBS items </w:t>
      </w:r>
      <w:r w:rsidR="007D2178" w:rsidRPr="00B0485F">
        <w:t>exist (37340 and 37341) for division or removal of a urethral sling</w:t>
      </w:r>
      <w:r w:rsidR="00305E07" w:rsidRPr="00B0485F">
        <w:t xml:space="preserve"> due to urethral obstruction, sling erosion, pain or infection following previous surgery for urinary incontinence</w:t>
      </w:r>
      <w:r w:rsidR="00F50122" w:rsidRPr="00B0485F">
        <w:t xml:space="preserve">, listed on </w:t>
      </w:r>
      <w:r w:rsidR="00C73AFC" w:rsidRPr="00B0485F">
        <w:t>01 May 2001.</w:t>
      </w:r>
    </w:p>
    <w:p w14:paraId="2C35D2A9" w14:textId="0D512BE1" w:rsidR="00D0351D" w:rsidRPr="00B0485F" w:rsidRDefault="00322DEF" w:rsidP="00D0351D">
      <w:pPr>
        <w:pStyle w:val="Heading3"/>
      </w:pPr>
      <w:bookmarkStart w:id="18" w:name="_Ref129347074"/>
      <w:bookmarkStart w:id="19" w:name="_Toc165627813"/>
      <w:r w:rsidRPr="00B0485F">
        <w:t>Why review</w:t>
      </w:r>
      <w:r w:rsidR="00D0351D" w:rsidRPr="00B0485F">
        <w:t xml:space="preserve"> </w:t>
      </w:r>
      <w:r w:rsidR="00BF4766" w:rsidRPr="00B0485F">
        <w:t>mid-urethral slings</w:t>
      </w:r>
      <w:r w:rsidRPr="00B0485F">
        <w:t>?</w:t>
      </w:r>
      <w:bookmarkEnd w:id="18"/>
      <w:bookmarkEnd w:id="19"/>
    </w:p>
    <w:p w14:paraId="2E632CF7" w14:textId="79C78644" w:rsidR="00E20A3F" w:rsidRPr="00B0485F" w:rsidRDefault="00873FE8" w:rsidP="00906FF8">
      <w:pPr>
        <w:pStyle w:val="BodyText"/>
      </w:pPr>
      <w:proofErr w:type="spellStart"/>
      <w:r w:rsidRPr="00B0485F">
        <w:t>Urogynaecological</w:t>
      </w:r>
      <w:proofErr w:type="spellEnd"/>
      <w:r w:rsidRPr="00B0485F">
        <w:t xml:space="preserve"> mesh </w:t>
      </w:r>
      <w:r w:rsidR="00A56B8D" w:rsidRPr="00B0485F">
        <w:t xml:space="preserve">is primarily </w:t>
      </w:r>
      <w:r w:rsidR="00BA569C" w:rsidRPr="00B0485F">
        <w:t xml:space="preserve">used </w:t>
      </w:r>
      <w:r w:rsidR="00A56B8D" w:rsidRPr="00B0485F">
        <w:t>for</w:t>
      </w:r>
      <w:r w:rsidR="00641ED6" w:rsidRPr="00B0485F">
        <w:t xml:space="preserve"> the treatment of pelvic organ prolapse</w:t>
      </w:r>
      <w:r w:rsidR="00585407">
        <w:t xml:space="preserve"> (POP)</w:t>
      </w:r>
      <w:r w:rsidR="00641ED6" w:rsidRPr="00B0485F">
        <w:t xml:space="preserve"> and </w:t>
      </w:r>
      <w:r w:rsidR="00E67DBC" w:rsidRPr="00B0485F">
        <w:t>SUI</w:t>
      </w:r>
      <w:bookmarkStart w:id="20" w:name="_Ref128732663"/>
      <w:r w:rsidR="00994350">
        <w:t xml:space="preserve"> </w:t>
      </w:r>
      <w:bookmarkEnd w:id="20"/>
      <w:r w:rsidR="00245CE2">
        <w:rPr>
          <w:noProof/>
        </w:rPr>
        <w:t>(TGA 2021)</w:t>
      </w:r>
      <w:r w:rsidR="00641ED6" w:rsidRPr="00B0485F">
        <w:t>.</w:t>
      </w:r>
      <w:r w:rsidR="00100604" w:rsidRPr="00B0485F">
        <w:t xml:space="preserve"> </w:t>
      </w:r>
      <w:r w:rsidR="005D71A4">
        <w:t>MUS</w:t>
      </w:r>
      <w:r w:rsidR="00460CC7">
        <w:t xml:space="preserve"> are a type of </w:t>
      </w:r>
      <w:proofErr w:type="spellStart"/>
      <w:r w:rsidR="00460CC7">
        <w:t>urogynaecological</w:t>
      </w:r>
      <w:proofErr w:type="spellEnd"/>
      <w:r w:rsidR="00460CC7">
        <w:t xml:space="preserve"> mesh</w:t>
      </w:r>
      <w:r w:rsidR="003106A9">
        <w:t xml:space="preserve"> used for the treatment of SUI. </w:t>
      </w:r>
      <w:proofErr w:type="spellStart"/>
      <w:r w:rsidR="00100604" w:rsidRPr="00B0485F">
        <w:t>Urogynaecological</w:t>
      </w:r>
      <w:proofErr w:type="spellEnd"/>
      <w:r w:rsidR="00100604" w:rsidRPr="00B0485F">
        <w:t xml:space="preserve"> mesh devices have been the subject of </w:t>
      </w:r>
      <w:r w:rsidR="00B52B44" w:rsidRPr="00B0485F">
        <w:t xml:space="preserve">ongoing regulatory review and safety monitoring in Australia </w:t>
      </w:r>
      <w:r w:rsidR="008B0A01">
        <w:t>due to</w:t>
      </w:r>
      <w:r w:rsidR="00B019E6" w:rsidRPr="00B0485F">
        <w:t xml:space="preserve"> concerns </w:t>
      </w:r>
      <w:r w:rsidR="008B0A01">
        <w:t>about</w:t>
      </w:r>
      <w:r w:rsidR="00B019E6" w:rsidRPr="00B0485F">
        <w:t xml:space="preserve"> adverse events related to </w:t>
      </w:r>
      <w:r w:rsidR="00E20A3F" w:rsidRPr="00B0485F">
        <w:t>their use</w:t>
      </w:r>
      <w:bookmarkStart w:id="21" w:name="_Ref128732756"/>
      <w:r w:rsidR="00686295">
        <w:t xml:space="preserve"> </w:t>
      </w:r>
      <w:bookmarkEnd w:id="21"/>
      <w:r w:rsidR="00245CE2">
        <w:rPr>
          <w:noProof/>
        </w:rPr>
        <w:t>(TGA 2023)</w:t>
      </w:r>
      <w:r w:rsidR="00081173" w:rsidRPr="00B0485F">
        <w:t>.</w:t>
      </w:r>
    </w:p>
    <w:p w14:paraId="48607F14" w14:textId="19DADBC9" w:rsidR="00DF3807" w:rsidRDefault="00CD0B53" w:rsidP="00ED0EDF">
      <w:pPr>
        <w:pStyle w:val="BodyText"/>
      </w:pPr>
      <w:r w:rsidRPr="00B0485F">
        <w:t>In November 2017,</w:t>
      </w:r>
      <w:r w:rsidR="00270C7C" w:rsidRPr="00B0485F">
        <w:t xml:space="preserve"> </w:t>
      </w:r>
      <w:r w:rsidR="00303DCC" w:rsidRPr="00B0485F">
        <w:t>the Therapeutic Goods Administration (TGA)</w:t>
      </w:r>
      <w:r w:rsidR="00C83A75" w:rsidRPr="00B0485F">
        <w:t xml:space="preserve"> remove</w:t>
      </w:r>
      <w:r w:rsidR="005D140C">
        <w:t>d</w:t>
      </w:r>
      <w:r w:rsidR="00C83A75" w:rsidRPr="00B0485F">
        <w:t xml:space="preserve"> two types of </w:t>
      </w:r>
      <w:proofErr w:type="spellStart"/>
      <w:r w:rsidR="00C83A75" w:rsidRPr="00B0485F">
        <w:t>urogynaecological</w:t>
      </w:r>
      <w:proofErr w:type="spellEnd"/>
      <w:r w:rsidR="00C83A75" w:rsidRPr="00B0485F">
        <w:t xml:space="preserve"> mesh from the Australian Register </w:t>
      </w:r>
      <w:r w:rsidR="00A87264" w:rsidRPr="00B0485F">
        <w:t>of</w:t>
      </w:r>
      <w:r w:rsidR="00C83A75" w:rsidRPr="00B0485F">
        <w:t xml:space="preserve"> Therapeutic Goods (ARTG)</w:t>
      </w:r>
      <w:r w:rsidR="004234F6" w:rsidRPr="004234F6">
        <w:rPr>
          <w:vertAlign w:val="superscript"/>
        </w:rPr>
        <w:fldChar w:fldCharType="begin"/>
      </w:r>
      <w:r w:rsidR="004234F6" w:rsidRPr="004234F6">
        <w:rPr>
          <w:vertAlign w:val="superscript"/>
        </w:rPr>
        <w:instrText xml:space="preserve"> NOTEREF _Ref134175009 \h </w:instrText>
      </w:r>
      <w:r w:rsidR="004234F6">
        <w:rPr>
          <w:vertAlign w:val="superscript"/>
        </w:rPr>
        <w:instrText xml:space="preserve"> \* MERGEFORMAT </w:instrText>
      </w:r>
      <w:r w:rsidR="004234F6" w:rsidRPr="004234F6">
        <w:rPr>
          <w:vertAlign w:val="superscript"/>
        </w:rPr>
      </w:r>
      <w:r w:rsidR="004234F6" w:rsidRPr="004234F6">
        <w:rPr>
          <w:vertAlign w:val="superscript"/>
        </w:rPr>
        <w:fldChar w:fldCharType="separate"/>
      </w:r>
      <w:r w:rsidR="007105D3">
        <w:rPr>
          <w:vertAlign w:val="superscript"/>
        </w:rPr>
        <w:t>1</w:t>
      </w:r>
      <w:r w:rsidR="004234F6" w:rsidRPr="004234F6">
        <w:rPr>
          <w:vertAlign w:val="superscript"/>
        </w:rPr>
        <w:fldChar w:fldCharType="end"/>
      </w:r>
      <w:r w:rsidR="00DF3807">
        <w:t>:</w:t>
      </w:r>
    </w:p>
    <w:p w14:paraId="1504CCF8" w14:textId="65898386" w:rsidR="00DF3807" w:rsidRDefault="00DF3807" w:rsidP="00713A63">
      <w:pPr>
        <w:pStyle w:val="BodyText"/>
        <w:numPr>
          <w:ilvl w:val="0"/>
          <w:numId w:val="31"/>
        </w:numPr>
      </w:pPr>
      <w:proofErr w:type="spellStart"/>
      <w:r w:rsidRPr="00DF3807">
        <w:rPr>
          <w:b/>
          <w:bCs/>
        </w:rPr>
        <w:t>U</w:t>
      </w:r>
      <w:r w:rsidR="004C1EFE" w:rsidRPr="00DF3807">
        <w:rPr>
          <w:b/>
          <w:bCs/>
        </w:rPr>
        <w:t>rogynaecological</w:t>
      </w:r>
      <w:proofErr w:type="spellEnd"/>
      <w:r w:rsidR="004C1EFE" w:rsidRPr="00DF3807">
        <w:rPr>
          <w:b/>
          <w:bCs/>
        </w:rPr>
        <w:t xml:space="preserve"> mesh inserted through the vagina </w:t>
      </w:r>
      <w:r w:rsidR="00151E25">
        <w:rPr>
          <w:b/>
          <w:bCs/>
        </w:rPr>
        <w:t>for</w:t>
      </w:r>
      <w:r w:rsidR="004C1EFE" w:rsidRPr="00DF3807">
        <w:rPr>
          <w:b/>
          <w:bCs/>
        </w:rPr>
        <w:t xml:space="preserve"> </w:t>
      </w:r>
      <w:r w:rsidR="00585407">
        <w:rPr>
          <w:b/>
          <w:bCs/>
        </w:rPr>
        <w:t>POP</w:t>
      </w:r>
      <w:r>
        <w:t>:</w:t>
      </w:r>
      <w:r w:rsidR="009E48BD" w:rsidRPr="00B0485F">
        <w:t xml:space="preserve"> the TGA believed the benefits did not outweigh the risks to patients</w:t>
      </w:r>
      <w:r w:rsidR="0002316A">
        <w:t xml:space="preserve"> </w:t>
      </w:r>
      <w:r w:rsidR="00245CE2">
        <w:rPr>
          <w:noProof/>
        </w:rPr>
        <w:t>(TGA 2019)</w:t>
      </w:r>
      <w:r w:rsidR="00341647" w:rsidRPr="002E1C8C">
        <w:t>.</w:t>
      </w:r>
      <w:r w:rsidR="004C1EFE" w:rsidRPr="00B0485F">
        <w:t xml:space="preserve"> </w:t>
      </w:r>
    </w:p>
    <w:p w14:paraId="34C9EA04" w14:textId="5C628C31" w:rsidR="004C7FC5" w:rsidRPr="00B0485F" w:rsidRDefault="00DF3807" w:rsidP="00713A63">
      <w:pPr>
        <w:pStyle w:val="BodyText"/>
        <w:numPr>
          <w:ilvl w:val="0"/>
          <w:numId w:val="31"/>
        </w:numPr>
      </w:pPr>
      <w:r w:rsidRPr="00DF3807">
        <w:rPr>
          <w:b/>
          <w:bCs/>
        </w:rPr>
        <w:t>S</w:t>
      </w:r>
      <w:r w:rsidR="004C1EFE" w:rsidRPr="00DF3807">
        <w:rPr>
          <w:b/>
          <w:bCs/>
        </w:rPr>
        <w:t>ingle</w:t>
      </w:r>
      <w:r w:rsidR="00F34DAE" w:rsidRPr="00DF3807">
        <w:rPr>
          <w:b/>
          <w:bCs/>
        </w:rPr>
        <w:t xml:space="preserve"> </w:t>
      </w:r>
      <w:r w:rsidR="004C1EFE" w:rsidRPr="00DF3807">
        <w:rPr>
          <w:b/>
          <w:bCs/>
        </w:rPr>
        <w:t xml:space="preserve">incision </w:t>
      </w:r>
      <w:proofErr w:type="gramStart"/>
      <w:r w:rsidR="004C1EFE" w:rsidRPr="00DF3807">
        <w:rPr>
          <w:b/>
          <w:bCs/>
        </w:rPr>
        <w:t>mini</w:t>
      </w:r>
      <w:r w:rsidR="00F34DAE" w:rsidRPr="00DF3807">
        <w:rPr>
          <w:b/>
          <w:bCs/>
        </w:rPr>
        <w:t>-slings</w:t>
      </w:r>
      <w:proofErr w:type="gramEnd"/>
      <w:r w:rsidR="00F34DAE" w:rsidRPr="00DF3807">
        <w:rPr>
          <w:b/>
          <w:bCs/>
        </w:rPr>
        <w:t xml:space="preserve"> </w:t>
      </w:r>
      <w:r w:rsidR="00151E25">
        <w:rPr>
          <w:b/>
          <w:bCs/>
        </w:rPr>
        <w:t>for</w:t>
      </w:r>
      <w:r w:rsidR="00F34DAE" w:rsidRPr="00DF3807">
        <w:rPr>
          <w:b/>
          <w:bCs/>
        </w:rPr>
        <w:t xml:space="preserve"> </w:t>
      </w:r>
      <w:r w:rsidR="00585407">
        <w:rPr>
          <w:b/>
          <w:bCs/>
        </w:rPr>
        <w:t>SUI</w:t>
      </w:r>
      <w:r>
        <w:t>:</w:t>
      </w:r>
      <w:r w:rsidR="00761DBA" w:rsidRPr="00B0485F">
        <w:t xml:space="preserve"> there was a lack of evidence </w:t>
      </w:r>
      <w:r w:rsidR="001C7511">
        <w:t xml:space="preserve">for the TGA </w:t>
      </w:r>
      <w:r w:rsidR="00761DBA" w:rsidRPr="00B0485F">
        <w:t xml:space="preserve">to be satisfied that the </w:t>
      </w:r>
      <w:r w:rsidR="00190BB8" w:rsidRPr="00B0485F">
        <w:t>benefits</w:t>
      </w:r>
      <w:r w:rsidR="00761DBA" w:rsidRPr="00B0485F">
        <w:t xml:space="preserve"> to patients outweighed the </w:t>
      </w:r>
      <w:r w:rsidR="00190BB8" w:rsidRPr="00B0485F">
        <w:t>risks</w:t>
      </w:r>
      <w:bookmarkStart w:id="22" w:name="_Ref131145984"/>
      <w:r w:rsidR="0002316A">
        <w:t xml:space="preserve"> </w:t>
      </w:r>
      <w:bookmarkEnd w:id="22"/>
      <w:r w:rsidR="00245CE2">
        <w:rPr>
          <w:noProof/>
        </w:rPr>
        <w:t>(TGA 2019)</w:t>
      </w:r>
      <w:r w:rsidR="009B2E42" w:rsidRPr="0099431B">
        <w:t>.</w:t>
      </w:r>
      <w:r w:rsidR="009B2E42" w:rsidRPr="00B0485F">
        <w:t xml:space="preserve"> </w:t>
      </w:r>
    </w:p>
    <w:p w14:paraId="49A38977" w14:textId="504F3C75" w:rsidR="004B16B0" w:rsidRPr="00B0485F" w:rsidRDefault="00D11D50" w:rsidP="00ED0EDF">
      <w:pPr>
        <w:pStyle w:val="BodyText"/>
      </w:pPr>
      <w:r>
        <w:t>The TGA imposed f</w:t>
      </w:r>
      <w:r w:rsidR="00D14564" w:rsidRPr="00B0485F">
        <w:t xml:space="preserve">urther </w:t>
      </w:r>
      <w:r w:rsidR="00614217" w:rsidRPr="00B0485F">
        <w:t xml:space="preserve">restrictions </w:t>
      </w:r>
      <w:r w:rsidR="00D14564" w:rsidRPr="00B0485F">
        <w:t>in 2018</w:t>
      </w:r>
      <w:r w:rsidR="00A10422" w:rsidRPr="00B0485F">
        <w:t>,</w:t>
      </w:r>
      <w:r w:rsidR="00802346" w:rsidRPr="00B0485F">
        <w:t xml:space="preserve"> </w:t>
      </w:r>
      <w:r w:rsidR="0009108A">
        <w:t>in</w:t>
      </w:r>
      <w:r w:rsidR="0012216D" w:rsidRPr="00B0485F">
        <w:t>clud</w:t>
      </w:r>
      <w:r w:rsidR="0009108A">
        <w:t>ing</w:t>
      </w:r>
      <w:r w:rsidR="0012216D" w:rsidRPr="00B0485F">
        <w:t xml:space="preserve"> the </w:t>
      </w:r>
      <w:proofErr w:type="gramStart"/>
      <w:r w:rsidR="0012216D" w:rsidRPr="00B0485F">
        <w:t>up-classification</w:t>
      </w:r>
      <w:proofErr w:type="gramEnd"/>
      <w:r w:rsidR="0012216D" w:rsidRPr="00B0485F">
        <w:t xml:space="preserve"> of all </w:t>
      </w:r>
      <w:proofErr w:type="spellStart"/>
      <w:r w:rsidR="0012216D" w:rsidRPr="00B0485F">
        <w:t>urogynaecological</w:t>
      </w:r>
      <w:proofErr w:type="spellEnd"/>
      <w:r w:rsidR="0012216D" w:rsidRPr="00B0485F">
        <w:t xml:space="preserve"> mesh </w:t>
      </w:r>
      <w:r w:rsidR="003224FD" w:rsidRPr="00B0485F">
        <w:t xml:space="preserve">devices </w:t>
      </w:r>
      <w:r w:rsidR="0012216D" w:rsidRPr="00B0485F">
        <w:t xml:space="preserve">from </w:t>
      </w:r>
      <w:r w:rsidR="00CB59EC" w:rsidRPr="00B0485F">
        <w:t xml:space="preserve">Class </w:t>
      </w:r>
      <w:r w:rsidR="0012216D" w:rsidRPr="00B0485F">
        <w:t xml:space="preserve">IIb to </w:t>
      </w:r>
      <w:r w:rsidR="00CB59EC" w:rsidRPr="00B0485F">
        <w:t xml:space="preserve">Class </w:t>
      </w:r>
      <w:r w:rsidR="0012216D" w:rsidRPr="00B0485F">
        <w:t xml:space="preserve">III </w:t>
      </w:r>
      <w:r w:rsidR="004B172D" w:rsidRPr="00B0485F">
        <w:t>(high risk)</w:t>
      </w:r>
      <w:r w:rsidR="00686295">
        <w:t xml:space="preserve"> </w:t>
      </w:r>
      <w:r w:rsidR="00245CE2">
        <w:rPr>
          <w:noProof/>
        </w:rPr>
        <w:t>(TGA 2023)</w:t>
      </w:r>
      <w:r w:rsidR="0012216D" w:rsidRPr="00686295">
        <w:t xml:space="preserve">. </w:t>
      </w:r>
      <w:r w:rsidR="0090730F" w:rsidRPr="00686295">
        <w:t>A</w:t>
      </w:r>
      <w:r w:rsidR="0044595D" w:rsidRPr="00686295">
        <w:t xml:space="preserve">ll </w:t>
      </w:r>
      <w:proofErr w:type="spellStart"/>
      <w:r w:rsidR="00584B4F" w:rsidRPr="00686295">
        <w:t>urogynaecological</w:t>
      </w:r>
      <w:proofErr w:type="spellEnd"/>
      <w:r w:rsidR="00584B4F" w:rsidRPr="00686295">
        <w:t xml:space="preserve"> </w:t>
      </w:r>
      <w:r w:rsidR="0044595D" w:rsidRPr="00686295">
        <w:t>mesh devices</w:t>
      </w:r>
      <w:r w:rsidR="00F60BFA" w:rsidRPr="00686295">
        <w:t xml:space="preserve"> were </w:t>
      </w:r>
      <w:r w:rsidR="00804641" w:rsidRPr="00686295">
        <w:t xml:space="preserve">also </w:t>
      </w:r>
      <w:r w:rsidR="00F60BFA" w:rsidRPr="00686295">
        <w:t xml:space="preserve">required to </w:t>
      </w:r>
      <w:r w:rsidR="0009108A" w:rsidRPr="00686295">
        <w:t>undergo</w:t>
      </w:r>
      <w:r w:rsidR="00F60BFA" w:rsidRPr="00686295">
        <w:t xml:space="preserve"> a comprehensive review by the TGA</w:t>
      </w:r>
      <w:r w:rsidR="00686295" w:rsidRPr="00686295">
        <w:t xml:space="preserve"> </w:t>
      </w:r>
      <w:r w:rsidR="00245CE2">
        <w:rPr>
          <w:noProof/>
        </w:rPr>
        <w:t>(TGA 2023)</w:t>
      </w:r>
      <w:r w:rsidR="00FA4C10" w:rsidRPr="00686295">
        <w:t>.</w:t>
      </w:r>
      <w:r w:rsidR="00FA4C10" w:rsidRPr="00B0485F">
        <w:t xml:space="preserve"> </w:t>
      </w:r>
    </w:p>
    <w:p w14:paraId="5BDB9165" w14:textId="15CCD6E0" w:rsidR="00ED0EDF" w:rsidRPr="00B0485F" w:rsidRDefault="00F869DF" w:rsidP="00ED0EDF">
      <w:pPr>
        <w:pStyle w:val="BodyText"/>
      </w:pPr>
      <w:proofErr w:type="gramStart"/>
      <w:r>
        <w:t>Subsequent to</w:t>
      </w:r>
      <w:proofErr w:type="gramEnd"/>
      <w:r>
        <w:t xml:space="preserve"> these actions, </w:t>
      </w:r>
      <w:r w:rsidR="005D71A4">
        <w:t>MUS</w:t>
      </w:r>
      <w:r w:rsidR="002519BE" w:rsidRPr="00B0485F">
        <w:t xml:space="preserve"> for the treatment of </w:t>
      </w:r>
      <w:r w:rsidR="00E50297">
        <w:t>SUI</w:t>
      </w:r>
      <w:r w:rsidR="002519BE" w:rsidRPr="00B0485F">
        <w:t xml:space="preserve"> </w:t>
      </w:r>
      <w:r w:rsidR="007F7D7F" w:rsidRPr="00B0485F">
        <w:t xml:space="preserve">continue to be </w:t>
      </w:r>
      <w:r w:rsidR="006F6AC1" w:rsidRPr="00B0485F">
        <w:t>approved for supply in Australia</w:t>
      </w:r>
      <w:r w:rsidR="00112AA5" w:rsidRPr="00B0485F">
        <w:t>.</w:t>
      </w:r>
      <w:r w:rsidR="00C846AF" w:rsidRPr="00B0485F">
        <w:t xml:space="preserve"> </w:t>
      </w:r>
      <w:r w:rsidR="00DB6583" w:rsidRPr="00B0485F">
        <w:t>T</w:t>
      </w:r>
      <w:r w:rsidR="00AC0C96" w:rsidRPr="00B0485F">
        <w:t>here has</w:t>
      </w:r>
      <w:r w:rsidR="00DB6583" w:rsidRPr="00B0485F">
        <w:t>, however,</w:t>
      </w:r>
      <w:r w:rsidR="00AC0C96" w:rsidRPr="00B0485F">
        <w:t xml:space="preserve"> been no Health Technology Assessment (HTA) of these devices by the Medical Services Advisory Committee (MSAC) or </w:t>
      </w:r>
      <w:r w:rsidR="00AC0C96" w:rsidRPr="00F04B67">
        <w:t>the</w:t>
      </w:r>
      <w:r w:rsidR="00AC0C96" w:rsidRPr="00F04B67">
        <w:rPr>
          <w:i/>
        </w:rPr>
        <w:t xml:space="preserve"> </w:t>
      </w:r>
      <w:r w:rsidR="00AC0C96" w:rsidRPr="00F04B67">
        <w:t>Prostheses List Advisory Committee (PLAC)</w:t>
      </w:r>
      <w:r w:rsidR="00AC0C96" w:rsidRPr="00B0485F">
        <w:t>.</w:t>
      </w:r>
      <w:r w:rsidR="007F0E5F" w:rsidRPr="00B0485F">
        <w:t xml:space="preserve"> The purpose of this post-listing review is to </w:t>
      </w:r>
      <w:r w:rsidR="00374E96" w:rsidRPr="00B0485F">
        <w:t xml:space="preserve">review the comparative clinical effectiveness and cost-effectiveness of </w:t>
      </w:r>
      <w:r w:rsidR="005D71A4">
        <w:t>MUS</w:t>
      </w:r>
      <w:r w:rsidR="00374E96" w:rsidRPr="00B0485F">
        <w:t xml:space="preserve"> for the treatment of SUI</w:t>
      </w:r>
      <w:r w:rsidR="00FC06D6" w:rsidRPr="00B0485F">
        <w:t xml:space="preserve">, </w:t>
      </w:r>
      <w:r w:rsidR="0092213F" w:rsidRPr="00B0485F">
        <w:t xml:space="preserve">and </w:t>
      </w:r>
      <w:r w:rsidR="00FC06D6" w:rsidRPr="00B0485F">
        <w:t xml:space="preserve">to inform </w:t>
      </w:r>
      <w:r w:rsidR="00D01C6B" w:rsidRPr="00B0485F">
        <w:t xml:space="preserve">decisions regarding the associated </w:t>
      </w:r>
      <w:r w:rsidR="00821A74" w:rsidRPr="00B0485F">
        <w:t>listings on the PL</w:t>
      </w:r>
      <w:r w:rsidR="00D01C6B" w:rsidRPr="00B0485F">
        <w:t>.</w:t>
      </w:r>
    </w:p>
    <w:p w14:paraId="2F5FE789" w14:textId="3414684D" w:rsidR="00322DEF" w:rsidRPr="00B0485F" w:rsidRDefault="00322DEF" w:rsidP="00322DEF">
      <w:pPr>
        <w:pStyle w:val="Heading3"/>
      </w:pPr>
      <w:bookmarkStart w:id="23" w:name="_Toc165627814"/>
      <w:r w:rsidRPr="00B0485F">
        <w:lastRenderedPageBreak/>
        <w:t xml:space="preserve">Undertaking the </w:t>
      </w:r>
      <w:r w:rsidR="00125941" w:rsidRPr="00B0485F">
        <w:t>p</w:t>
      </w:r>
      <w:r w:rsidR="003B3386" w:rsidRPr="00B0485F">
        <w:t>ost-</w:t>
      </w:r>
      <w:r w:rsidR="00125941" w:rsidRPr="00B0485F">
        <w:t>l</w:t>
      </w:r>
      <w:r w:rsidR="003B3386" w:rsidRPr="00B0485F">
        <w:t xml:space="preserve">isting </w:t>
      </w:r>
      <w:r w:rsidR="00125941" w:rsidRPr="00B0485F">
        <w:t>r</w:t>
      </w:r>
      <w:r w:rsidR="003B3386" w:rsidRPr="00B0485F">
        <w:t>eview</w:t>
      </w:r>
      <w:bookmarkEnd w:id="23"/>
    </w:p>
    <w:p w14:paraId="5338000E" w14:textId="662CD1FD" w:rsidR="00045AD7" w:rsidRPr="00B0485F" w:rsidRDefault="00045AD7" w:rsidP="00D26049">
      <w:pPr>
        <w:pStyle w:val="Heading4"/>
      </w:pPr>
      <w:r w:rsidRPr="00B0485F">
        <w:t>Analysis and evaluation of scientific literature, utilisation data an</w:t>
      </w:r>
      <w:r w:rsidR="005510B2" w:rsidRPr="00B0485F">
        <w:t>d</w:t>
      </w:r>
      <w:r w:rsidRPr="00B0485F">
        <w:t xml:space="preserve"> additional relevant information</w:t>
      </w:r>
    </w:p>
    <w:p w14:paraId="51FD4131" w14:textId="0888F660" w:rsidR="00C43210" w:rsidRPr="00B0485F" w:rsidRDefault="00701177" w:rsidP="00AE4582">
      <w:pPr>
        <w:pStyle w:val="BodyText"/>
      </w:pPr>
      <w:r w:rsidRPr="00B0485F">
        <w:t xml:space="preserve">Health Research Consulting (hereco) was contracted by </w:t>
      </w:r>
      <w:proofErr w:type="spellStart"/>
      <w:r w:rsidRPr="00B0485F">
        <w:t>D</w:t>
      </w:r>
      <w:r w:rsidR="00E846DB">
        <w:t>o</w:t>
      </w:r>
      <w:r w:rsidRPr="00B0485F">
        <w:t>HAC</w:t>
      </w:r>
      <w:proofErr w:type="spellEnd"/>
      <w:r w:rsidR="00C30AC8" w:rsidRPr="00B0485F">
        <w:t xml:space="preserve"> to </w:t>
      </w:r>
      <w:r w:rsidR="00C612F2" w:rsidRPr="00B0485F">
        <w:rPr>
          <w:lang w:eastAsia="zh-CN" w:bidi="th-TH"/>
        </w:rPr>
        <w:t xml:space="preserve">review the comparative clinical effectiveness and cost-effectiveness of </w:t>
      </w:r>
      <w:r w:rsidR="005D71A4">
        <w:rPr>
          <w:lang w:eastAsia="zh-CN" w:bidi="th-TH"/>
        </w:rPr>
        <w:t>MUS</w:t>
      </w:r>
      <w:r w:rsidR="00C612F2" w:rsidRPr="00B0485F">
        <w:rPr>
          <w:lang w:eastAsia="zh-CN" w:bidi="th-TH"/>
        </w:rPr>
        <w:t xml:space="preserve"> currently listed on the </w:t>
      </w:r>
      <w:r w:rsidR="00C1332C">
        <w:rPr>
          <w:lang w:eastAsia="zh-CN" w:bidi="th-TH"/>
        </w:rPr>
        <w:t>PL</w:t>
      </w:r>
      <w:r w:rsidR="00C612F2" w:rsidRPr="00B0485F">
        <w:rPr>
          <w:lang w:eastAsia="zh-CN" w:bidi="th-TH"/>
        </w:rPr>
        <w:t xml:space="preserve">, and </w:t>
      </w:r>
      <w:r w:rsidR="00E95336" w:rsidRPr="00B0485F">
        <w:rPr>
          <w:lang w:eastAsia="zh-CN" w:bidi="th-TH"/>
        </w:rPr>
        <w:t xml:space="preserve">to </w:t>
      </w:r>
      <w:r w:rsidR="00C612F2" w:rsidRPr="00B0485F">
        <w:rPr>
          <w:lang w:eastAsia="zh-CN" w:bidi="th-TH"/>
        </w:rPr>
        <w:t xml:space="preserve">advise </w:t>
      </w:r>
      <w:proofErr w:type="spellStart"/>
      <w:r w:rsidR="00D774D8">
        <w:rPr>
          <w:lang w:eastAsia="zh-CN" w:bidi="th-TH"/>
        </w:rPr>
        <w:t>D</w:t>
      </w:r>
      <w:r w:rsidR="00B777FA">
        <w:rPr>
          <w:lang w:eastAsia="zh-CN" w:bidi="th-TH"/>
        </w:rPr>
        <w:t>o</w:t>
      </w:r>
      <w:r w:rsidR="00D774D8">
        <w:rPr>
          <w:lang w:eastAsia="zh-CN" w:bidi="th-TH"/>
        </w:rPr>
        <w:t>HAC</w:t>
      </w:r>
      <w:proofErr w:type="spellEnd"/>
      <w:r w:rsidR="00D774D8" w:rsidRPr="00B0485F">
        <w:rPr>
          <w:lang w:eastAsia="zh-CN" w:bidi="th-TH"/>
        </w:rPr>
        <w:t xml:space="preserve"> </w:t>
      </w:r>
      <w:r w:rsidR="00C612F2" w:rsidRPr="00B0485F">
        <w:rPr>
          <w:lang w:eastAsia="zh-CN" w:bidi="th-TH"/>
        </w:rPr>
        <w:t>on appropriate actions and/or policy considerations (if any).</w:t>
      </w:r>
      <w:r w:rsidR="00C43210" w:rsidRPr="00B0485F">
        <w:rPr>
          <w:lang w:eastAsia="zh-CN" w:bidi="th-TH"/>
        </w:rPr>
        <w:t xml:space="preserve"> </w:t>
      </w:r>
      <w:r w:rsidR="00C171B7" w:rsidRPr="00B0485F">
        <w:t xml:space="preserve">The services </w:t>
      </w:r>
      <w:r w:rsidR="00107544" w:rsidRPr="00B0485F">
        <w:t>provided</w:t>
      </w:r>
      <w:r w:rsidR="00C171B7" w:rsidRPr="00B0485F">
        <w:t xml:space="preserve"> in this review are detailed in </w:t>
      </w:r>
      <w:r w:rsidR="00814E1F" w:rsidRPr="00B0485F">
        <w:rPr>
          <w:b/>
          <w:bCs/>
        </w:rPr>
        <w:fldChar w:fldCharType="begin"/>
      </w:r>
      <w:r w:rsidR="00814E1F" w:rsidRPr="00B0485F">
        <w:rPr>
          <w:b/>
          <w:bCs/>
        </w:rPr>
        <w:instrText xml:space="preserve"> REF _Ref128735821 \h  \* MERGEFORMAT </w:instrText>
      </w:r>
      <w:r w:rsidR="00814E1F" w:rsidRPr="00B0485F">
        <w:rPr>
          <w:b/>
          <w:bCs/>
        </w:rPr>
      </w:r>
      <w:r w:rsidR="00814E1F" w:rsidRPr="00B0485F">
        <w:rPr>
          <w:b/>
          <w:bCs/>
        </w:rPr>
        <w:fldChar w:fldCharType="separate"/>
      </w:r>
      <w:r w:rsidR="007105D3" w:rsidRPr="007105D3">
        <w:rPr>
          <w:b/>
          <w:bCs/>
        </w:rPr>
        <w:t xml:space="preserve">Table </w:t>
      </w:r>
      <w:r w:rsidR="007105D3" w:rsidRPr="007105D3">
        <w:rPr>
          <w:b/>
          <w:bCs/>
          <w:noProof/>
        </w:rPr>
        <w:t>1</w:t>
      </w:r>
      <w:r w:rsidR="00814E1F" w:rsidRPr="00B0485F">
        <w:rPr>
          <w:b/>
          <w:bCs/>
        </w:rPr>
        <w:fldChar w:fldCharType="end"/>
      </w:r>
      <w:r w:rsidR="00814E1F" w:rsidRPr="00B0485F">
        <w:t>.</w:t>
      </w:r>
      <w:r w:rsidR="00B82E93" w:rsidRPr="00B0485F">
        <w:t xml:space="preserve"> </w:t>
      </w:r>
    </w:p>
    <w:p w14:paraId="33241217" w14:textId="0242229C" w:rsidR="00CC427C" w:rsidRPr="00B0485F" w:rsidRDefault="00CC427C" w:rsidP="00701177">
      <w:pPr>
        <w:pStyle w:val="BodyText"/>
        <w:rPr>
          <w:i/>
          <w:iCs/>
        </w:rPr>
      </w:pPr>
      <w:r w:rsidRPr="00B0485F">
        <w:t xml:space="preserve">This review has been undertaken in accordance with the </w:t>
      </w:r>
      <w:r w:rsidRPr="00B0485F">
        <w:rPr>
          <w:i/>
          <w:iCs/>
        </w:rPr>
        <w:t>P</w:t>
      </w:r>
      <w:r w:rsidR="00BA5E1D" w:rsidRPr="00B0485F">
        <w:rPr>
          <w:i/>
          <w:iCs/>
        </w:rPr>
        <w:t xml:space="preserve">rostheses </w:t>
      </w:r>
      <w:r w:rsidRPr="00B0485F">
        <w:rPr>
          <w:i/>
          <w:iCs/>
        </w:rPr>
        <w:t>L</w:t>
      </w:r>
      <w:r w:rsidR="00BA5E1D" w:rsidRPr="00B0485F">
        <w:rPr>
          <w:i/>
          <w:iCs/>
        </w:rPr>
        <w:t>ist</w:t>
      </w:r>
      <w:r w:rsidRPr="00B0485F">
        <w:rPr>
          <w:i/>
          <w:iCs/>
        </w:rPr>
        <w:t xml:space="preserve"> Guide to Listing and Setting Benefits for Prostheses</w:t>
      </w:r>
      <w:r w:rsidR="00480AA0">
        <w:rPr>
          <w:i/>
          <w:iCs/>
        </w:rPr>
        <w:t xml:space="preserve"> </w:t>
      </w:r>
      <w:r w:rsidR="00245CE2">
        <w:rPr>
          <w:i/>
          <w:iCs/>
          <w:noProof/>
        </w:rPr>
        <w:t>(DoHAC 2017)</w:t>
      </w:r>
      <w:r w:rsidR="00273A1D" w:rsidRPr="00480AA0">
        <w:rPr>
          <w:i/>
          <w:iCs/>
        </w:rPr>
        <w:t>.</w:t>
      </w:r>
    </w:p>
    <w:p w14:paraId="435A6872" w14:textId="15EB1E25" w:rsidR="00B82E93" w:rsidRPr="00B0485F" w:rsidRDefault="00B82E93" w:rsidP="004B2A4A">
      <w:pPr>
        <w:pStyle w:val="Caption"/>
      </w:pPr>
      <w:bookmarkStart w:id="24" w:name="_Ref128735821"/>
      <w:bookmarkStart w:id="25" w:name="_Toc165627869"/>
      <w:r w:rsidRPr="00B0485F">
        <w:t xml:space="preserve">Table </w:t>
      </w:r>
      <w:fldSimple w:instr=" SEQ Table \* ARABIC ">
        <w:r w:rsidR="007105D3">
          <w:rPr>
            <w:noProof/>
          </w:rPr>
          <w:t>1</w:t>
        </w:r>
      </w:fldSimple>
      <w:bookmarkEnd w:id="24"/>
      <w:r w:rsidRPr="00B0485F">
        <w:tab/>
        <w:t>Services to be provided in this post-listing review</w:t>
      </w:r>
      <w:bookmarkEnd w:id="2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ervices to be provided in this post-listing review"/>
        <w:tblDescription w:val="This table shows the three services to be provided in this post-listing review."/>
      </w:tblPr>
      <w:tblGrid>
        <w:gridCol w:w="869"/>
        <w:gridCol w:w="8769"/>
      </w:tblGrid>
      <w:tr w:rsidR="00840579" w:rsidRPr="00B0485F" w14:paraId="0B7113BA" w14:textId="77777777" w:rsidTr="00D87AEB">
        <w:trPr>
          <w:cantSplit/>
          <w:tblHeader/>
        </w:trPr>
        <w:tc>
          <w:tcPr>
            <w:tcW w:w="451" w:type="pct"/>
            <w:shd w:val="clear" w:color="auto" w:fill="BFBFBF"/>
          </w:tcPr>
          <w:p w14:paraId="6E9D269B" w14:textId="77777777" w:rsidR="00840579" w:rsidRPr="005D71A4" w:rsidRDefault="00840579" w:rsidP="00425B63">
            <w:pPr>
              <w:pStyle w:val="031Tablesubheading8pt"/>
              <w:rPr>
                <w:sz w:val="18"/>
                <w:szCs w:val="24"/>
                <w:lang w:eastAsia="zh-CN" w:bidi="th-TH"/>
              </w:rPr>
            </w:pPr>
            <w:r w:rsidRPr="005D71A4">
              <w:rPr>
                <w:sz w:val="18"/>
                <w:szCs w:val="24"/>
                <w:lang w:eastAsia="zh-CN" w:bidi="th-TH"/>
              </w:rPr>
              <w:t xml:space="preserve">Service </w:t>
            </w:r>
          </w:p>
        </w:tc>
        <w:tc>
          <w:tcPr>
            <w:tcW w:w="4549" w:type="pct"/>
            <w:shd w:val="clear" w:color="auto" w:fill="BFBFBF"/>
          </w:tcPr>
          <w:p w14:paraId="1DDEE7D8" w14:textId="77777777" w:rsidR="00840579" w:rsidRPr="005D71A4" w:rsidRDefault="00840579" w:rsidP="00425B63">
            <w:pPr>
              <w:pStyle w:val="031Tablesubheading8pt"/>
              <w:rPr>
                <w:sz w:val="18"/>
                <w:szCs w:val="24"/>
                <w:lang w:eastAsia="zh-CN" w:bidi="th-TH"/>
              </w:rPr>
            </w:pPr>
            <w:r w:rsidRPr="005D71A4">
              <w:rPr>
                <w:sz w:val="18"/>
                <w:szCs w:val="24"/>
                <w:lang w:eastAsia="zh-CN" w:bidi="th-TH"/>
              </w:rPr>
              <w:t xml:space="preserve">Description </w:t>
            </w:r>
          </w:p>
        </w:tc>
      </w:tr>
      <w:tr w:rsidR="00425B63" w:rsidRPr="00B0485F" w14:paraId="2DFDB6D5" w14:textId="77777777" w:rsidTr="00A45FC3">
        <w:trPr>
          <w:cantSplit/>
          <w:tblHeader/>
        </w:trPr>
        <w:tc>
          <w:tcPr>
            <w:tcW w:w="451" w:type="pct"/>
            <w:shd w:val="clear" w:color="auto" w:fill="auto"/>
          </w:tcPr>
          <w:p w14:paraId="302F14C1" w14:textId="7852D769" w:rsidR="00425B63" w:rsidRPr="005D71A4" w:rsidRDefault="00A45FC3" w:rsidP="00BB6E97">
            <w:pPr>
              <w:pStyle w:val="051Tabletext228pt"/>
              <w:rPr>
                <w:sz w:val="18"/>
                <w:szCs w:val="24"/>
                <w:lang w:eastAsia="zh-CN" w:bidi="th-TH"/>
              </w:rPr>
            </w:pPr>
            <w:r w:rsidRPr="005D71A4">
              <w:rPr>
                <w:sz w:val="18"/>
                <w:szCs w:val="24"/>
                <w:lang w:eastAsia="zh-CN" w:bidi="th-TH"/>
              </w:rPr>
              <w:t>1</w:t>
            </w:r>
          </w:p>
        </w:tc>
        <w:tc>
          <w:tcPr>
            <w:tcW w:w="4549" w:type="pct"/>
            <w:shd w:val="clear" w:color="auto" w:fill="auto"/>
          </w:tcPr>
          <w:p w14:paraId="0C32FEC5" w14:textId="77777777" w:rsidR="00C7241A" w:rsidRPr="005D71A4" w:rsidRDefault="00C7241A" w:rsidP="00EF0FA1">
            <w:pPr>
              <w:pStyle w:val="051Tabletext228pt"/>
              <w:rPr>
                <w:rFonts w:eastAsia="Batang"/>
                <w:sz w:val="18"/>
                <w:szCs w:val="24"/>
                <w:lang w:eastAsia="en-AU"/>
              </w:rPr>
            </w:pPr>
            <w:r w:rsidRPr="005D71A4">
              <w:rPr>
                <w:rFonts w:eastAsia="Batang"/>
                <w:sz w:val="18"/>
                <w:szCs w:val="24"/>
                <w:lang w:eastAsia="en-AU"/>
              </w:rPr>
              <w:t>Review the evidence base for the comparative clinical effectiveness and cost-effectiveness of mid-urethral slings</w:t>
            </w:r>
            <w:r w:rsidRPr="005D71A4">
              <w:rPr>
                <w:sz w:val="18"/>
                <w:szCs w:val="24"/>
              </w:rPr>
              <w:t xml:space="preserve"> </w:t>
            </w:r>
            <w:r w:rsidRPr="005D71A4">
              <w:rPr>
                <w:rFonts w:eastAsia="Batang"/>
                <w:sz w:val="18"/>
                <w:szCs w:val="24"/>
                <w:lang w:eastAsia="en-AU"/>
              </w:rPr>
              <w:t>for the treatment of SUI:</w:t>
            </w:r>
          </w:p>
          <w:p w14:paraId="1B647E72" w14:textId="77777777" w:rsidR="00C7241A" w:rsidRPr="005D71A4" w:rsidRDefault="00C7241A" w:rsidP="00556B56">
            <w:pPr>
              <w:pStyle w:val="071Tablebullet8pt"/>
              <w:rPr>
                <w:rFonts w:eastAsia="Batang"/>
                <w:sz w:val="18"/>
                <w:szCs w:val="24"/>
              </w:rPr>
            </w:pPr>
            <w:r w:rsidRPr="005D71A4">
              <w:rPr>
                <w:rFonts w:eastAsia="Batang"/>
                <w:sz w:val="18"/>
                <w:szCs w:val="24"/>
              </w:rPr>
              <w:t>Review the following key documents provided by DOHAC:</w:t>
            </w:r>
          </w:p>
          <w:p w14:paraId="79539BB3" w14:textId="77777777" w:rsidR="00C7241A" w:rsidRPr="005D71A4" w:rsidRDefault="00C7241A" w:rsidP="001F7C39">
            <w:pPr>
              <w:pStyle w:val="071Tablebullet8pt"/>
              <w:numPr>
                <w:ilvl w:val="1"/>
                <w:numId w:val="3"/>
              </w:numPr>
              <w:rPr>
                <w:rFonts w:eastAsia="Batang"/>
                <w:sz w:val="18"/>
                <w:szCs w:val="24"/>
              </w:rPr>
            </w:pPr>
            <w:r w:rsidRPr="005D71A4">
              <w:rPr>
                <w:rFonts w:eastAsia="Batang"/>
                <w:sz w:val="18"/>
                <w:szCs w:val="24"/>
              </w:rPr>
              <w:t>Information and submissions from sponsors</w:t>
            </w:r>
          </w:p>
          <w:p w14:paraId="17891C63" w14:textId="77777777" w:rsidR="00C7241A" w:rsidRPr="005D71A4" w:rsidRDefault="00C7241A" w:rsidP="001F7C39">
            <w:pPr>
              <w:pStyle w:val="071Tablebullet8pt"/>
              <w:numPr>
                <w:ilvl w:val="1"/>
                <w:numId w:val="3"/>
              </w:numPr>
              <w:rPr>
                <w:rFonts w:eastAsia="Batang"/>
                <w:sz w:val="18"/>
                <w:szCs w:val="24"/>
              </w:rPr>
            </w:pPr>
            <w:r w:rsidRPr="005D71A4">
              <w:rPr>
                <w:rFonts w:eastAsia="Batang"/>
                <w:sz w:val="18"/>
                <w:szCs w:val="24"/>
              </w:rPr>
              <w:t>Information and submissions from stakeholders (including relevant clinical guidelines and expert opinion)</w:t>
            </w:r>
          </w:p>
          <w:p w14:paraId="0212CD46" w14:textId="5C6B7D37" w:rsidR="00C7241A" w:rsidRPr="005D71A4" w:rsidRDefault="00000000" w:rsidP="001F7C39">
            <w:pPr>
              <w:pStyle w:val="071Tablebullet8pt"/>
              <w:numPr>
                <w:ilvl w:val="1"/>
                <w:numId w:val="3"/>
              </w:numPr>
              <w:rPr>
                <w:rStyle w:val="Hyperlink"/>
                <w:rFonts w:eastAsia="Batang"/>
                <w:color w:val="auto"/>
                <w:sz w:val="18"/>
                <w:szCs w:val="24"/>
                <w:u w:val="none"/>
              </w:rPr>
            </w:pPr>
            <w:hyperlink r:id="rId17" w:history="1">
              <w:r w:rsidR="00C7241A" w:rsidRPr="005D71A4">
                <w:rPr>
                  <w:rStyle w:val="Hyperlink"/>
                  <w:rFonts w:eastAsia="Batang"/>
                  <w:color w:val="auto"/>
                  <w:sz w:val="18"/>
                  <w:szCs w:val="24"/>
                  <w:u w:val="none"/>
                </w:rPr>
                <w:t>ACSQHC Care pathway</w:t>
              </w:r>
            </w:hyperlink>
          </w:p>
          <w:p w14:paraId="26599899" w14:textId="77777777" w:rsidR="00C7241A" w:rsidRPr="005D71A4" w:rsidRDefault="00C7241A" w:rsidP="001F7C39">
            <w:pPr>
              <w:pStyle w:val="071Tablebullet8pt"/>
              <w:numPr>
                <w:ilvl w:val="1"/>
                <w:numId w:val="3"/>
              </w:numPr>
              <w:rPr>
                <w:rFonts w:eastAsia="Batang"/>
                <w:sz w:val="18"/>
                <w:szCs w:val="24"/>
              </w:rPr>
            </w:pPr>
            <w:r w:rsidRPr="005D71A4">
              <w:rPr>
                <w:rFonts w:eastAsia="Batang"/>
                <w:sz w:val="18"/>
                <w:szCs w:val="24"/>
              </w:rPr>
              <w:t>May 2022 PLAC discussion paper</w:t>
            </w:r>
          </w:p>
          <w:p w14:paraId="563FF8D4" w14:textId="77777777" w:rsidR="00C7241A" w:rsidRPr="005D71A4" w:rsidRDefault="00C7241A" w:rsidP="001F7C39">
            <w:pPr>
              <w:pStyle w:val="071Tablebullet8pt"/>
              <w:numPr>
                <w:ilvl w:val="1"/>
                <w:numId w:val="3"/>
              </w:numPr>
              <w:rPr>
                <w:rFonts w:eastAsia="Batang"/>
                <w:sz w:val="18"/>
                <w:szCs w:val="24"/>
              </w:rPr>
            </w:pPr>
            <w:proofErr w:type="spellStart"/>
            <w:r w:rsidRPr="005D71A4">
              <w:rPr>
                <w:rFonts w:eastAsia="Batang"/>
                <w:sz w:val="18"/>
                <w:szCs w:val="24"/>
              </w:rPr>
              <w:t>Casemix</w:t>
            </w:r>
            <w:proofErr w:type="spellEnd"/>
            <w:r w:rsidRPr="005D71A4">
              <w:rPr>
                <w:rFonts w:eastAsia="Batang"/>
                <w:sz w:val="18"/>
                <w:szCs w:val="24"/>
              </w:rPr>
              <w:t xml:space="preserve"> utilisation data (noting its limitations) </w:t>
            </w:r>
          </w:p>
          <w:p w14:paraId="6F39C64A" w14:textId="455A8284" w:rsidR="00C7241A" w:rsidRPr="005D71A4" w:rsidRDefault="00C7241A" w:rsidP="001F7C39">
            <w:pPr>
              <w:pStyle w:val="071Tablebullet8pt"/>
              <w:numPr>
                <w:ilvl w:val="1"/>
                <w:numId w:val="3"/>
              </w:numPr>
              <w:rPr>
                <w:rFonts w:eastAsia="Batang"/>
                <w:sz w:val="18"/>
                <w:szCs w:val="24"/>
              </w:rPr>
            </w:pPr>
            <w:r w:rsidRPr="005D71A4">
              <w:rPr>
                <w:rFonts w:eastAsia="Batang"/>
                <w:sz w:val="18"/>
                <w:szCs w:val="24"/>
              </w:rPr>
              <w:t xml:space="preserve">TGA materials including: literature review, a summary report and </w:t>
            </w:r>
            <w:hyperlink r:id="rId18" w:history="1">
              <w:proofErr w:type="spellStart"/>
              <w:r w:rsidRPr="005D71A4">
                <w:rPr>
                  <w:rStyle w:val="Hyperlink"/>
                  <w:rFonts w:eastAsia="Batang"/>
                  <w:color w:val="auto"/>
                  <w:sz w:val="18"/>
                  <w:szCs w:val="24"/>
                  <w:u w:val="none"/>
                </w:rPr>
                <w:t>Urogynaecological</w:t>
              </w:r>
              <w:proofErr w:type="spellEnd"/>
              <w:r w:rsidRPr="005D71A4">
                <w:rPr>
                  <w:rStyle w:val="Hyperlink"/>
                  <w:rFonts w:eastAsia="Batang"/>
                  <w:color w:val="auto"/>
                  <w:sz w:val="18"/>
                  <w:szCs w:val="24"/>
                  <w:u w:val="none"/>
                </w:rPr>
                <w:t xml:space="preserve"> (transvaginal) surgical mesh hub</w:t>
              </w:r>
            </w:hyperlink>
          </w:p>
          <w:p w14:paraId="1678E698" w14:textId="77777777" w:rsidR="00C7241A" w:rsidRPr="005D71A4" w:rsidRDefault="00C7241A" w:rsidP="00556B56">
            <w:pPr>
              <w:pStyle w:val="071Tablebullet8pt"/>
              <w:rPr>
                <w:rFonts w:eastAsia="Batang"/>
                <w:sz w:val="18"/>
                <w:szCs w:val="24"/>
              </w:rPr>
            </w:pPr>
            <w:r w:rsidRPr="005D71A4">
              <w:rPr>
                <w:rFonts w:eastAsia="Batang"/>
                <w:sz w:val="18"/>
                <w:szCs w:val="24"/>
              </w:rPr>
              <w:t xml:space="preserve">Undertake a search for systematic reviews of the </w:t>
            </w:r>
            <w:bookmarkStart w:id="26" w:name="_Hlk124329022"/>
            <w:r w:rsidRPr="005D71A4">
              <w:rPr>
                <w:rFonts w:eastAsia="Batang"/>
                <w:sz w:val="18"/>
                <w:szCs w:val="24"/>
              </w:rPr>
              <w:t xml:space="preserve">comparative clinical effectiveness </w:t>
            </w:r>
            <w:bookmarkEnd w:id="26"/>
            <w:r w:rsidRPr="005D71A4">
              <w:rPr>
                <w:rFonts w:eastAsia="Batang"/>
                <w:sz w:val="18"/>
                <w:szCs w:val="24"/>
              </w:rPr>
              <w:t>of mid-urethral slings (including comparison between retropubic and obturator approaches)</w:t>
            </w:r>
          </w:p>
          <w:p w14:paraId="3733034D" w14:textId="77777777" w:rsidR="00C7241A" w:rsidRPr="005D71A4" w:rsidRDefault="00C7241A" w:rsidP="001F7C39">
            <w:pPr>
              <w:pStyle w:val="071Tablebullet8pt"/>
              <w:numPr>
                <w:ilvl w:val="1"/>
                <w:numId w:val="3"/>
              </w:numPr>
              <w:rPr>
                <w:rFonts w:eastAsia="Batang"/>
                <w:sz w:val="18"/>
                <w:szCs w:val="24"/>
              </w:rPr>
            </w:pPr>
            <w:r w:rsidRPr="005D71A4">
              <w:rPr>
                <w:rFonts w:eastAsia="Batang"/>
                <w:sz w:val="18"/>
                <w:szCs w:val="24"/>
              </w:rPr>
              <w:t xml:space="preserve">Include data on long-term complication rates </w:t>
            </w:r>
          </w:p>
          <w:p w14:paraId="3B126FA6" w14:textId="77777777" w:rsidR="00C7241A" w:rsidRPr="005D71A4" w:rsidRDefault="00C7241A" w:rsidP="00556B56">
            <w:pPr>
              <w:pStyle w:val="071Tablebullet8pt"/>
              <w:rPr>
                <w:rFonts w:eastAsia="Batang"/>
                <w:sz w:val="18"/>
                <w:szCs w:val="24"/>
              </w:rPr>
            </w:pPr>
            <w:r w:rsidRPr="005D71A4">
              <w:rPr>
                <w:rFonts w:eastAsia="Batang"/>
                <w:sz w:val="18"/>
                <w:szCs w:val="24"/>
              </w:rPr>
              <w:t>Undertake a search for economic evaluations of mid-urethral slings.</w:t>
            </w:r>
          </w:p>
          <w:p w14:paraId="193C00F7" w14:textId="5E36E87A" w:rsidR="00425B63" w:rsidRPr="005D71A4" w:rsidRDefault="00C7241A" w:rsidP="00556B56">
            <w:pPr>
              <w:pStyle w:val="071Tablebullet8pt"/>
              <w:rPr>
                <w:sz w:val="18"/>
                <w:szCs w:val="24"/>
                <w:lang w:eastAsia="zh-CN" w:bidi="th-TH"/>
              </w:rPr>
            </w:pPr>
            <w:r w:rsidRPr="005D71A4">
              <w:rPr>
                <w:rFonts w:eastAsia="Batang"/>
                <w:sz w:val="18"/>
                <w:szCs w:val="24"/>
              </w:rPr>
              <w:t>Undertake an analysis of the total cost of mid-urethral sling implantation for SUI in the Australian health care setting, including the cost of the device, implantation procedure and associated resource use.</w:t>
            </w:r>
          </w:p>
        </w:tc>
      </w:tr>
      <w:tr w:rsidR="00EF0FA1" w:rsidRPr="00B0485F" w14:paraId="54D02E8A" w14:textId="77777777" w:rsidTr="00A45FC3">
        <w:trPr>
          <w:cantSplit/>
          <w:tblHeader/>
        </w:trPr>
        <w:tc>
          <w:tcPr>
            <w:tcW w:w="451" w:type="pct"/>
            <w:shd w:val="clear" w:color="auto" w:fill="auto"/>
          </w:tcPr>
          <w:p w14:paraId="5F74A69F" w14:textId="07CF6836" w:rsidR="00EF0FA1" w:rsidRPr="005D71A4" w:rsidRDefault="00EF0FA1" w:rsidP="00EF0FA1">
            <w:pPr>
              <w:pStyle w:val="051Tabletext228pt"/>
              <w:rPr>
                <w:sz w:val="18"/>
                <w:szCs w:val="24"/>
                <w:lang w:eastAsia="zh-CN" w:bidi="th-TH"/>
              </w:rPr>
            </w:pPr>
            <w:r w:rsidRPr="005D71A4">
              <w:rPr>
                <w:sz w:val="18"/>
                <w:szCs w:val="24"/>
                <w:lang w:eastAsia="zh-CN" w:bidi="th-TH"/>
              </w:rPr>
              <w:t>2</w:t>
            </w:r>
          </w:p>
        </w:tc>
        <w:tc>
          <w:tcPr>
            <w:tcW w:w="4549" w:type="pct"/>
            <w:shd w:val="clear" w:color="auto" w:fill="auto"/>
          </w:tcPr>
          <w:p w14:paraId="1928FF20" w14:textId="6BFD55CD" w:rsidR="00EF0FA1" w:rsidRPr="005D71A4" w:rsidRDefault="00EF0FA1" w:rsidP="00EF0FA1">
            <w:pPr>
              <w:pStyle w:val="051Tabletext228pt"/>
              <w:rPr>
                <w:sz w:val="18"/>
                <w:szCs w:val="24"/>
                <w:lang w:eastAsia="zh-CN" w:bidi="th-TH"/>
              </w:rPr>
            </w:pPr>
            <w:r w:rsidRPr="005D71A4">
              <w:rPr>
                <w:sz w:val="18"/>
                <w:szCs w:val="24"/>
              </w:rPr>
              <w:t>Review current clinical practice guidelines, HTAs and advice from international regulators on the comparative clinical effectiveness and long-term safety of mid-urethral slings for SUI.</w:t>
            </w:r>
          </w:p>
        </w:tc>
      </w:tr>
      <w:tr w:rsidR="00EF0FA1" w:rsidRPr="00B0485F" w14:paraId="7512018B" w14:textId="77777777" w:rsidTr="00A45FC3">
        <w:trPr>
          <w:cantSplit/>
          <w:tblHeader/>
        </w:trPr>
        <w:tc>
          <w:tcPr>
            <w:tcW w:w="451" w:type="pct"/>
            <w:shd w:val="clear" w:color="auto" w:fill="auto"/>
          </w:tcPr>
          <w:p w14:paraId="0FCC37C5" w14:textId="3ADD895A" w:rsidR="00EF0FA1" w:rsidRPr="005D71A4" w:rsidRDefault="00EF0FA1" w:rsidP="00EF0FA1">
            <w:pPr>
              <w:pStyle w:val="051Tabletext228pt"/>
              <w:rPr>
                <w:sz w:val="18"/>
                <w:szCs w:val="24"/>
                <w:lang w:eastAsia="zh-CN" w:bidi="th-TH"/>
              </w:rPr>
            </w:pPr>
            <w:r w:rsidRPr="005D71A4">
              <w:rPr>
                <w:sz w:val="18"/>
                <w:szCs w:val="24"/>
                <w:lang w:eastAsia="zh-CN" w:bidi="th-TH"/>
              </w:rPr>
              <w:t>3</w:t>
            </w:r>
          </w:p>
        </w:tc>
        <w:tc>
          <w:tcPr>
            <w:tcW w:w="4549" w:type="pct"/>
            <w:shd w:val="clear" w:color="auto" w:fill="auto"/>
          </w:tcPr>
          <w:p w14:paraId="2884432E" w14:textId="3CC5B7C3" w:rsidR="00EF0FA1" w:rsidRPr="005D71A4" w:rsidRDefault="00EF0FA1" w:rsidP="00EF0FA1">
            <w:pPr>
              <w:pStyle w:val="051Tabletext228pt"/>
              <w:rPr>
                <w:sz w:val="18"/>
                <w:szCs w:val="24"/>
                <w:lang w:eastAsia="zh-CN" w:bidi="th-TH"/>
              </w:rPr>
            </w:pPr>
            <w:r w:rsidRPr="005D71A4">
              <w:rPr>
                <w:sz w:val="18"/>
                <w:szCs w:val="24"/>
              </w:rPr>
              <w:t>Based on the information and evidence in Q1-2, and guided by the PL Post Listing Review Framework, compile information to support the Department to assess what actions or policy initiatives should be considered for the mid-urethral slings PL listings.</w:t>
            </w:r>
          </w:p>
        </w:tc>
      </w:tr>
    </w:tbl>
    <w:p w14:paraId="78F1C846" w14:textId="1678D76B" w:rsidR="00840579" w:rsidRPr="00B0485F" w:rsidRDefault="00437465" w:rsidP="004938F5">
      <w:pPr>
        <w:pStyle w:val="111Tablefootnoteslast-nostick8pt"/>
        <w:rPr>
          <w:lang w:val="en-AU"/>
        </w:rPr>
      </w:pPr>
      <w:r w:rsidRPr="00B0485F">
        <w:rPr>
          <w:lang w:val="en-AU"/>
        </w:rPr>
        <w:t>Abbreviations: ACSQHC,</w:t>
      </w:r>
      <w:r w:rsidR="00673B45" w:rsidRPr="00B0485F">
        <w:rPr>
          <w:lang w:val="en-AU"/>
        </w:rPr>
        <w:t xml:space="preserve"> Australian Commission on Safety and Quality in Health Care; </w:t>
      </w:r>
      <w:r w:rsidRPr="00B0485F">
        <w:rPr>
          <w:lang w:val="en-AU"/>
        </w:rPr>
        <w:t xml:space="preserve">DOHAC, </w:t>
      </w:r>
      <w:r w:rsidR="00673B45" w:rsidRPr="00B0485F">
        <w:rPr>
          <w:lang w:val="en-AU"/>
        </w:rPr>
        <w:t xml:space="preserve">Department of Health and Aged Care; </w:t>
      </w:r>
      <w:r w:rsidR="00A81239" w:rsidRPr="00B0485F">
        <w:rPr>
          <w:lang w:val="en-AU"/>
        </w:rPr>
        <w:t>HTA,</w:t>
      </w:r>
      <w:r w:rsidR="00673B45" w:rsidRPr="00B0485F">
        <w:rPr>
          <w:lang w:val="en-AU"/>
        </w:rPr>
        <w:t xml:space="preserve"> health technology assessment;</w:t>
      </w:r>
      <w:r w:rsidR="00A81239" w:rsidRPr="00B0485F">
        <w:rPr>
          <w:lang w:val="en-AU"/>
        </w:rPr>
        <w:t xml:space="preserve"> PL,</w:t>
      </w:r>
      <w:r w:rsidR="00673B45" w:rsidRPr="00B0485F">
        <w:rPr>
          <w:lang w:val="en-AU"/>
        </w:rPr>
        <w:t xml:space="preserve"> Prostheses List;</w:t>
      </w:r>
      <w:r w:rsidR="00A81239" w:rsidRPr="00B0485F">
        <w:rPr>
          <w:lang w:val="en-AU"/>
        </w:rPr>
        <w:t xml:space="preserve"> PLAC,</w:t>
      </w:r>
      <w:r w:rsidR="00673B45" w:rsidRPr="00B0485F">
        <w:rPr>
          <w:lang w:val="en-AU"/>
        </w:rPr>
        <w:t xml:space="preserve"> Prostheses List Advisory Committee;</w:t>
      </w:r>
      <w:r w:rsidR="00A81239" w:rsidRPr="00B0485F">
        <w:rPr>
          <w:lang w:val="en-AU"/>
        </w:rPr>
        <w:t xml:space="preserve"> </w:t>
      </w:r>
      <w:r w:rsidRPr="00B0485F">
        <w:rPr>
          <w:lang w:val="en-AU"/>
        </w:rPr>
        <w:t>SUI</w:t>
      </w:r>
      <w:r w:rsidR="00A81239" w:rsidRPr="00B0485F">
        <w:rPr>
          <w:lang w:val="en-AU"/>
        </w:rPr>
        <w:t>,</w:t>
      </w:r>
      <w:r w:rsidR="00673B45" w:rsidRPr="00B0485F">
        <w:rPr>
          <w:lang w:val="en-AU"/>
        </w:rPr>
        <w:t xml:space="preserve"> stress urinary incontinence;</w:t>
      </w:r>
      <w:r w:rsidR="00A81239" w:rsidRPr="00B0485F">
        <w:rPr>
          <w:lang w:val="en-AU"/>
        </w:rPr>
        <w:t xml:space="preserve"> TGA</w:t>
      </w:r>
      <w:r w:rsidR="00673B45" w:rsidRPr="00B0485F">
        <w:rPr>
          <w:lang w:val="en-AU"/>
        </w:rPr>
        <w:t>, Therapeutic Goods Administration.</w:t>
      </w:r>
    </w:p>
    <w:p w14:paraId="57B5963D" w14:textId="2E6FF32F" w:rsidR="00045AD7" w:rsidRPr="00B0485F" w:rsidRDefault="001C1F4D" w:rsidP="00D26049">
      <w:pPr>
        <w:pStyle w:val="Heading4"/>
      </w:pPr>
      <w:r>
        <w:t>Targeted</w:t>
      </w:r>
      <w:r w:rsidR="002838D7" w:rsidRPr="00B0485F">
        <w:t xml:space="preserve"> consultation</w:t>
      </w:r>
    </w:p>
    <w:p w14:paraId="65061A3B" w14:textId="45C3C735" w:rsidR="007364C1" w:rsidRPr="00B0485F" w:rsidRDefault="00C64A96" w:rsidP="00C64A96">
      <w:pPr>
        <w:pStyle w:val="BodyText"/>
      </w:pPr>
      <w:r w:rsidRPr="00B0485F">
        <w:t xml:space="preserve">Sponsors and stakeholders were invited to submit information </w:t>
      </w:r>
      <w:r w:rsidR="00E70A81" w:rsidRPr="00B0485F">
        <w:t xml:space="preserve">and </w:t>
      </w:r>
      <w:r w:rsidR="008A7D3E" w:rsidRPr="00B0485F">
        <w:t xml:space="preserve">evidence </w:t>
      </w:r>
      <w:r w:rsidRPr="00B0485F">
        <w:t>for th</w:t>
      </w:r>
      <w:r w:rsidR="008A7D3E" w:rsidRPr="00B0485F">
        <w:t>is review</w:t>
      </w:r>
      <w:r w:rsidR="00EF5EF4" w:rsidRPr="00B0485F">
        <w:t xml:space="preserve">. The </w:t>
      </w:r>
      <w:r w:rsidR="00813D51" w:rsidRPr="00B0485F">
        <w:t>review scope</w:t>
      </w:r>
      <w:r w:rsidR="00EF5EF4" w:rsidRPr="00B0485F">
        <w:t xml:space="preserve"> was provided to sponsors and stakeholders via email on the </w:t>
      </w:r>
      <w:r w:rsidR="005A74AC" w:rsidRPr="00B0485F">
        <w:t>27 January 2023, with responses due by 28 February 2023</w:t>
      </w:r>
      <w:r w:rsidR="00B6037F" w:rsidRPr="00B0485F">
        <w:t>.</w:t>
      </w:r>
    </w:p>
    <w:p w14:paraId="6E1D31F8" w14:textId="60A4A27E" w:rsidR="00C64A96" w:rsidRPr="00B0485F" w:rsidRDefault="00813D51" w:rsidP="00C64A96">
      <w:pPr>
        <w:pStyle w:val="BodyText"/>
      </w:pPr>
      <w:r w:rsidRPr="00B0485F">
        <w:t>Sponsors and stakeholders were</w:t>
      </w:r>
      <w:r w:rsidR="004C5967" w:rsidRPr="00B0485F">
        <w:t xml:space="preserve"> asked to consider the following information in their response:</w:t>
      </w:r>
    </w:p>
    <w:p w14:paraId="6FAE7E34" w14:textId="6ED09243" w:rsidR="00546A4B" w:rsidRPr="00B0485F" w:rsidRDefault="00546A4B" w:rsidP="001F7C39">
      <w:pPr>
        <w:pStyle w:val="BodyText"/>
        <w:numPr>
          <w:ilvl w:val="0"/>
          <w:numId w:val="5"/>
        </w:numPr>
      </w:pPr>
      <w:r w:rsidRPr="00B0485F">
        <w:t>Please provide or point to clinical evidence to inform the comparative clinical effectiveness assessment of mid-urethral slings for the treatment of SUI:</w:t>
      </w:r>
    </w:p>
    <w:p w14:paraId="142C8BB3" w14:textId="0DC8E0A7" w:rsidR="00546A4B" w:rsidRPr="00B0485F" w:rsidRDefault="00546A4B" w:rsidP="001F7C39">
      <w:pPr>
        <w:pStyle w:val="BodyText"/>
        <w:numPr>
          <w:ilvl w:val="0"/>
          <w:numId w:val="4"/>
        </w:numPr>
        <w:ind w:left="1080"/>
      </w:pPr>
      <w:r w:rsidRPr="00B0485F">
        <w:t xml:space="preserve">highest level comparative clinical evidence available </w:t>
      </w:r>
      <w:proofErr w:type="gramStart"/>
      <w:r w:rsidRPr="00B0485F">
        <w:t>i</w:t>
      </w:r>
      <w:r w:rsidR="00750013" w:rsidRPr="00B0485F">
        <w:t>.</w:t>
      </w:r>
      <w:r w:rsidRPr="00B0485F">
        <w:t>e.</w:t>
      </w:r>
      <w:proofErr w:type="gramEnd"/>
      <w:r w:rsidRPr="00B0485F">
        <w:t xml:space="preserve"> </w:t>
      </w:r>
      <w:r w:rsidR="00376AF4">
        <w:t>r</w:t>
      </w:r>
      <w:r w:rsidRPr="00B0485F">
        <w:t>andomised controlled trials if possible, or other designs which are sufficiently powered and enable comparison</w:t>
      </w:r>
    </w:p>
    <w:p w14:paraId="0BF820C8" w14:textId="358D28E6" w:rsidR="00546A4B" w:rsidRPr="00B0485F" w:rsidRDefault="00546A4B" w:rsidP="001F7C39">
      <w:pPr>
        <w:pStyle w:val="BodyText"/>
        <w:numPr>
          <w:ilvl w:val="1"/>
          <w:numId w:val="4"/>
        </w:numPr>
        <w:ind w:left="1800"/>
      </w:pPr>
      <w:r w:rsidRPr="00B0485F">
        <w:t>the comparator will need to be the current standard of care (</w:t>
      </w:r>
      <w:proofErr w:type="gramStart"/>
      <w:r w:rsidRPr="00B0485F">
        <w:t>i.e.</w:t>
      </w:r>
      <w:proofErr w:type="gramEnd"/>
      <w:r w:rsidRPr="00B0485F">
        <w:t xml:space="preserve"> based on the ACSQHC Care pathway) or a comparator device</w:t>
      </w:r>
    </w:p>
    <w:p w14:paraId="490E4876" w14:textId="18CBB521" w:rsidR="00546A4B" w:rsidRPr="00B0485F" w:rsidRDefault="00546A4B" w:rsidP="001F7C39">
      <w:pPr>
        <w:pStyle w:val="BodyText"/>
        <w:numPr>
          <w:ilvl w:val="0"/>
          <w:numId w:val="5"/>
        </w:numPr>
      </w:pPr>
      <w:r w:rsidRPr="00B0485F">
        <w:lastRenderedPageBreak/>
        <w:t>Please submit or point to any evidence to inform cost-effectiveness of mid-urethral slings for the treatment of SUI</w:t>
      </w:r>
    </w:p>
    <w:p w14:paraId="43FEAC5C" w14:textId="3890FA9A" w:rsidR="00546A4B" w:rsidRPr="00B0485F" w:rsidRDefault="00546A4B" w:rsidP="001F7C39">
      <w:pPr>
        <w:pStyle w:val="BodyText"/>
        <w:numPr>
          <w:ilvl w:val="0"/>
          <w:numId w:val="4"/>
        </w:numPr>
        <w:ind w:left="1080"/>
      </w:pPr>
      <w:r w:rsidRPr="00B0485F">
        <w:t>data on projected utilisation and cost items (</w:t>
      </w:r>
      <w:proofErr w:type="gramStart"/>
      <w:r w:rsidRPr="00B0485F">
        <w:t>e.g.</w:t>
      </w:r>
      <w:proofErr w:type="gramEnd"/>
      <w:r w:rsidRPr="00B0485F">
        <w:t xml:space="preserve"> DRGs, MBS items etc.) or consider undertaking your own economic evaluation for the devices</w:t>
      </w:r>
    </w:p>
    <w:p w14:paraId="10FBCB1C" w14:textId="18604150" w:rsidR="00546A4B" w:rsidRPr="00B0485F" w:rsidRDefault="00546A4B" w:rsidP="001F7C39">
      <w:pPr>
        <w:pStyle w:val="BodyText"/>
        <w:numPr>
          <w:ilvl w:val="1"/>
          <w:numId w:val="4"/>
        </w:numPr>
        <w:ind w:left="1800"/>
      </w:pPr>
      <w:r w:rsidRPr="00B0485F">
        <w:t xml:space="preserve">If you choose to undertake an economic evaluation as part of your input to the review, the MSAC guidelines provide useful information to help prepare your assessment. </w:t>
      </w:r>
      <w:r w:rsidRPr="00B0485F">
        <w:rPr>
          <w:i/>
          <w:iCs/>
        </w:rPr>
        <w:t xml:space="preserve">(This is not a mandatory </w:t>
      </w:r>
      <w:proofErr w:type="gramStart"/>
      <w:r w:rsidRPr="00B0485F">
        <w:rPr>
          <w:i/>
          <w:iCs/>
        </w:rPr>
        <w:t>requirement</w:t>
      </w:r>
      <w:proofErr w:type="gramEnd"/>
      <w:r w:rsidRPr="00B0485F">
        <w:rPr>
          <w:i/>
          <w:iCs/>
        </w:rPr>
        <w:t xml:space="preserve"> and the review will not be considered by MSAC)</w:t>
      </w:r>
      <w:r w:rsidRPr="00B0485F">
        <w:t>.</w:t>
      </w:r>
    </w:p>
    <w:p w14:paraId="24C25EA1" w14:textId="7E9DBA72" w:rsidR="002838D7" w:rsidRPr="00B0485F" w:rsidRDefault="008A7B1D" w:rsidP="002838D7">
      <w:pPr>
        <w:pStyle w:val="Heading2"/>
      </w:pPr>
      <w:bookmarkStart w:id="27" w:name="_Toc165627815"/>
      <w:r w:rsidRPr="00B0485F">
        <w:t>Mid-urethral slings for stress urinary incontinence</w:t>
      </w:r>
      <w:bookmarkEnd w:id="27"/>
    </w:p>
    <w:p w14:paraId="1E20BE06" w14:textId="2304B096" w:rsidR="008A7B1D" w:rsidRPr="00B0485F" w:rsidRDefault="008A7B1D" w:rsidP="008A7B1D">
      <w:pPr>
        <w:pStyle w:val="Heading3"/>
      </w:pPr>
      <w:bookmarkStart w:id="28" w:name="_Toc165627816"/>
      <w:r w:rsidRPr="00B0485F">
        <w:t>Description of the condition</w:t>
      </w:r>
      <w:bookmarkEnd w:id="28"/>
    </w:p>
    <w:p w14:paraId="27C2AFDF" w14:textId="7E30CF8A" w:rsidR="008A773C" w:rsidRPr="00B0485F" w:rsidRDefault="000F58AB" w:rsidP="00CF4E58">
      <w:pPr>
        <w:pStyle w:val="BodyText"/>
      </w:pPr>
      <w:r w:rsidRPr="00B0485F">
        <w:t xml:space="preserve">Urinary incontinence is </w:t>
      </w:r>
      <w:r w:rsidR="00130FA0" w:rsidRPr="00B0485F">
        <w:t>“</w:t>
      </w:r>
      <w:r w:rsidRPr="00B0485F">
        <w:t>any accidental</w:t>
      </w:r>
      <w:r w:rsidR="00130FA0" w:rsidRPr="00B0485F">
        <w:t xml:space="preserve"> or involuntary </w:t>
      </w:r>
      <w:r w:rsidRPr="00B0485F">
        <w:t xml:space="preserve">loss of </w:t>
      </w:r>
      <w:r w:rsidR="003D339F" w:rsidRPr="00B0485F">
        <w:t>urine from the bladder</w:t>
      </w:r>
      <w:r w:rsidR="00D33B7A" w:rsidRPr="00B0485F">
        <w:t>”</w:t>
      </w:r>
      <w:bookmarkStart w:id="29" w:name="_Ref128737694"/>
      <w:r w:rsidR="00602678">
        <w:t xml:space="preserve"> </w:t>
      </w:r>
      <w:bookmarkEnd w:id="29"/>
      <w:r w:rsidR="00245CE2">
        <w:rPr>
          <w:noProof/>
        </w:rPr>
        <w:t>(ACSQHC 2018b)</w:t>
      </w:r>
      <w:r w:rsidR="00EE1481" w:rsidRPr="00B0485F">
        <w:t xml:space="preserve">. </w:t>
      </w:r>
      <w:r w:rsidR="00CF4E58" w:rsidRPr="00B0485F">
        <w:t xml:space="preserve">Stress </w:t>
      </w:r>
      <w:r w:rsidR="0044115D">
        <w:t>u</w:t>
      </w:r>
      <w:r w:rsidR="00CF4E58" w:rsidRPr="00B0485F">
        <w:t xml:space="preserve">rinary </w:t>
      </w:r>
      <w:r w:rsidR="0044115D">
        <w:t>i</w:t>
      </w:r>
      <w:r w:rsidR="00CF4E58" w:rsidRPr="00B0485F">
        <w:t xml:space="preserve">ncontinence (SUI) </w:t>
      </w:r>
      <w:r w:rsidR="00143E7B" w:rsidRPr="00B0485F">
        <w:t>refers to</w:t>
      </w:r>
      <w:r w:rsidR="00CF4E58" w:rsidRPr="00B0485F">
        <w:t xml:space="preserve"> the leaking of urine during activities </w:t>
      </w:r>
      <w:r w:rsidR="00143E7B" w:rsidRPr="00B0485F">
        <w:t xml:space="preserve">such as coughing, </w:t>
      </w:r>
      <w:proofErr w:type="gramStart"/>
      <w:r w:rsidR="00143E7B" w:rsidRPr="00B0485F">
        <w:t>sneezing</w:t>
      </w:r>
      <w:proofErr w:type="gramEnd"/>
      <w:r w:rsidR="00A97BEA" w:rsidRPr="00B0485F">
        <w:t xml:space="preserve"> and </w:t>
      </w:r>
      <w:r w:rsidR="00143E7B" w:rsidRPr="00B0485F">
        <w:t xml:space="preserve">running, </w:t>
      </w:r>
      <w:r w:rsidR="00751033" w:rsidRPr="00B0485F">
        <w:t>when the</w:t>
      </w:r>
      <w:r w:rsidR="00CF4E58" w:rsidRPr="00B0485F">
        <w:t xml:space="preserve"> pressure inside the abdomen </w:t>
      </w:r>
      <w:r w:rsidR="00751033" w:rsidRPr="00B0485F">
        <w:t>increases</w:t>
      </w:r>
      <w:r w:rsidR="00722338" w:rsidRPr="00B0485F">
        <w:t xml:space="preserve"> and</w:t>
      </w:r>
      <w:r w:rsidR="00751033" w:rsidRPr="00B0485F">
        <w:t xml:space="preserve"> </w:t>
      </w:r>
      <w:r w:rsidR="00CF4E58" w:rsidRPr="00B0485F">
        <w:t>push</w:t>
      </w:r>
      <w:r w:rsidR="00722338" w:rsidRPr="00B0485F">
        <w:t>es</w:t>
      </w:r>
      <w:r w:rsidR="00CF4E58" w:rsidRPr="00B0485F">
        <w:t xml:space="preserve"> down on the bladder</w:t>
      </w:r>
      <w:r w:rsidR="009265CA">
        <w:t xml:space="preserve"> </w:t>
      </w:r>
      <w:r w:rsidR="00245CE2">
        <w:rPr>
          <w:noProof/>
        </w:rPr>
        <w:t>(ACSQHC 2018b)</w:t>
      </w:r>
      <w:r w:rsidR="00182813" w:rsidRPr="00B0485F">
        <w:t>.</w:t>
      </w:r>
      <w:r w:rsidR="002D13C3" w:rsidRPr="00B0485F">
        <w:t xml:space="preserve"> </w:t>
      </w:r>
      <w:r w:rsidR="00F878F7" w:rsidRPr="00B0485F">
        <w:t>Leaking of urine occurs when</w:t>
      </w:r>
      <w:r w:rsidR="00A94E8B" w:rsidRPr="00B0485F">
        <w:t xml:space="preserve"> </w:t>
      </w:r>
      <w:r w:rsidR="00956AF2" w:rsidRPr="00B0485F">
        <w:t xml:space="preserve">weakness of the </w:t>
      </w:r>
      <w:r w:rsidR="00906921" w:rsidRPr="00B0485F">
        <w:t>urethra or neck of the bladder</w:t>
      </w:r>
      <w:r w:rsidR="00A47209" w:rsidRPr="00B0485F">
        <w:t xml:space="preserve"> </w:t>
      </w:r>
      <w:r w:rsidR="00956AF2" w:rsidRPr="00B0485F">
        <w:t xml:space="preserve">causes it to open </w:t>
      </w:r>
      <w:r w:rsidR="00944AEA" w:rsidRPr="00B0485F">
        <w:t>in response to the increased pressure</w:t>
      </w:r>
      <w:r w:rsidR="0042552A">
        <w:t xml:space="preserve"> </w:t>
      </w:r>
      <w:r w:rsidR="00245CE2">
        <w:rPr>
          <w:noProof/>
        </w:rPr>
        <w:t>(RANZCOG 2020, amended 2022)</w:t>
      </w:r>
      <w:r w:rsidR="00944AEA" w:rsidRPr="00B0485F">
        <w:t>.</w:t>
      </w:r>
      <w:r w:rsidR="00A94E8B" w:rsidRPr="00B0485F">
        <w:t xml:space="preserve"> </w:t>
      </w:r>
      <w:r w:rsidR="00795BC9">
        <w:t>SUI</w:t>
      </w:r>
      <w:r w:rsidR="00CA08DD" w:rsidRPr="00B0485F">
        <w:t xml:space="preserve"> can be cause</w:t>
      </w:r>
      <w:r w:rsidR="002B330B" w:rsidRPr="00B0485F">
        <w:t>d</w:t>
      </w:r>
      <w:r w:rsidR="00CA08DD" w:rsidRPr="00B0485F">
        <w:t xml:space="preserve"> by </w:t>
      </w:r>
      <w:r w:rsidR="00C9474E" w:rsidRPr="00B0485F">
        <w:t>pregnancy, childbirth, weight gain</w:t>
      </w:r>
      <w:r w:rsidR="007852DF" w:rsidRPr="00B0485F">
        <w:t xml:space="preserve">, </w:t>
      </w:r>
      <w:r w:rsidR="00C9474E" w:rsidRPr="00B0485F">
        <w:t>and chronic straining or coughing</w:t>
      </w:r>
      <w:r w:rsidR="009265CA">
        <w:t xml:space="preserve"> </w:t>
      </w:r>
      <w:r w:rsidR="00245CE2">
        <w:rPr>
          <w:noProof/>
        </w:rPr>
        <w:t>(ACSQHC 2018b)</w:t>
      </w:r>
      <w:r w:rsidR="009808A7" w:rsidRPr="00B0485F">
        <w:t>.</w:t>
      </w:r>
    </w:p>
    <w:p w14:paraId="013768E4" w14:textId="5B64EC9E" w:rsidR="00D63763" w:rsidRPr="00B0485F" w:rsidRDefault="00BE3811" w:rsidP="00CF4E58">
      <w:pPr>
        <w:pStyle w:val="BodyText"/>
      </w:pPr>
      <w:r w:rsidRPr="00B0485F">
        <w:t xml:space="preserve">Obtaining </w:t>
      </w:r>
      <w:r w:rsidR="00EE35EC" w:rsidRPr="00B0485F">
        <w:t xml:space="preserve">current and </w:t>
      </w:r>
      <w:r w:rsidRPr="00B0485F">
        <w:t xml:space="preserve">accurate prevalence estimates for </w:t>
      </w:r>
      <w:r w:rsidR="00EE35EC" w:rsidRPr="00B0485F">
        <w:t>incontinence</w:t>
      </w:r>
      <w:r w:rsidRPr="00B0485F">
        <w:t xml:space="preserve"> is challenging. </w:t>
      </w:r>
      <w:r w:rsidR="008313A2" w:rsidRPr="00B0485F">
        <w:t xml:space="preserve">The Australian Institute of Health and Welfare </w:t>
      </w:r>
      <w:r w:rsidR="005222F0" w:rsidRPr="00623646">
        <w:rPr>
          <w:i/>
        </w:rPr>
        <w:t>Incontinence in Australia</w:t>
      </w:r>
      <w:r w:rsidR="008313A2" w:rsidRPr="00623646">
        <w:t xml:space="preserve"> </w:t>
      </w:r>
      <w:r w:rsidR="005222F0" w:rsidRPr="00623646">
        <w:t>report</w:t>
      </w:r>
      <w:bookmarkStart w:id="30" w:name="_Ref129166293"/>
      <w:r w:rsidR="007C24D8">
        <w:t xml:space="preserve"> </w:t>
      </w:r>
      <w:bookmarkEnd w:id="30"/>
      <w:r w:rsidR="00245CE2">
        <w:rPr>
          <w:noProof/>
        </w:rPr>
        <w:t>(AIHW 2013)</w:t>
      </w:r>
      <w:r w:rsidR="008120D0" w:rsidRPr="00B0485F">
        <w:t xml:space="preserve"> </w:t>
      </w:r>
      <w:r w:rsidR="000F7D21" w:rsidRPr="00B0485F">
        <w:t>notes large</w:t>
      </w:r>
      <w:r w:rsidR="00944931" w:rsidRPr="00B0485F">
        <w:t xml:space="preserve"> variation</w:t>
      </w:r>
      <w:r w:rsidR="00870CE7" w:rsidRPr="00B0485F">
        <w:t>s</w:t>
      </w:r>
      <w:r w:rsidR="00944931" w:rsidRPr="00B0485F">
        <w:t xml:space="preserve"> in prevalence estimates</w:t>
      </w:r>
      <w:r w:rsidR="00870CE7" w:rsidRPr="00B0485F">
        <w:t xml:space="preserve"> between studies</w:t>
      </w:r>
      <w:r w:rsidR="00361AE9" w:rsidRPr="00B0485F">
        <w:t xml:space="preserve"> due</w:t>
      </w:r>
      <w:r w:rsidR="00803ED9" w:rsidRPr="00B0485F">
        <w:t xml:space="preserve"> </w:t>
      </w:r>
      <w:r w:rsidR="00261ADD" w:rsidRPr="00B0485F">
        <w:t xml:space="preserve">to </w:t>
      </w:r>
      <w:r w:rsidR="007962E2" w:rsidRPr="00B0485F">
        <w:t xml:space="preserve">inconsistency in the </w:t>
      </w:r>
      <w:r w:rsidR="00423807" w:rsidRPr="00B0485F">
        <w:t>definition of incontinence</w:t>
      </w:r>
      <w:r w:rsidR="00361AE9" w:rsidRPr="00B0485F">
        <w:t xml:space="preserve"> used</w:t>
      </w:r>
      <w:r w:rsidR="00652804" w:rsidRPr="00B0485F">
        <w:t xml:space="preserve">, </w:t>
      </w:r>
      <w:r w:rsidR="007962E2" w:rsidRPr="00B0485F">
        <w:t xml:space="preserve">as well as </w:t>
      </w:r>
      <w:r w:rsidR="00652804" w:rsidRPr="00B0485F">
        <w:t>methodological limitations</w:t>
      </w:r>
      <w:r w:rsidR="00D26A81" w:rsidRPr="00B0485F">
        <w:t xml:space="preserve"> </w:t>
      </w:r>
      <w:r w:rsidR="007962E2" w:rsidRPr="00B0485F">
        <w:t xml:space="preserve">such as </w:t>
      </w:r>
      <w:r w:rsidR="002E2BD2" w:rsidRPr="00B0485F">
        <w:t xml:space="preserve">selection bias and small sample sizes. </w:t>
      </w:r>
      <w:r w:rsidR="0037780F" w:rsidRPr="00B0485F">
        <w:t>Prevalence estimates also vary by age and</w:t>
      </w:r>
      <w:r w:rsidR="00BC5BB6" w:rsidRPr="00B0485F">
        <w:t xml:space="preserve"> incontinence type</w:t>
      </w:r>
      <w:r w:rsidR="007C24D8">
        <w:t xml:space="preserve"> </w:t>
      </w:r>
      <w:r w:rsidR="00245CE2">
        <w:rPr>
          <w:noProof/>
        </w:rPr>
        <w:t>(AIHW 2013)</w:t>
      </w:r>
      <w:r w:rsidR="00BC5BB6" w:rsidRPr="00B0485F">
        <w:t>.</w:t>
      </w:r>
      <w:r w:rsidR="00FD0559" w:rsidRPr="00B0485F">
        <w:t xml:space="preserve"> </w:t>
      </w:r>
      <w:r w:rsidR="00C84316" w:rsidRPr="00B0485F">
        <w:t xml:space="preserve">The report cited </w:t>
      </w:r>
      <w:r w:rsidR="00330CEF" w:rsidRPr="00B0485F">
        <w:t xml:space="preserve">estimates of incontinence prevalence ranging from 12.8% to 46.0% </w:t>
      </w:r>
      <w:r w:rsidR="00062893" w:rsidRPr="00B0485F">
        <w:t>in Australian women</w:t>
      </w:r>
      <w:r w:rsidR="006A7EBF" w:rsidRPr="00B0485F">
        <w:t xml:space="preserve">, with SUI </w:t>
      </w:r>
      <w:r w:rsidR="00C1745A" w:rsidRPr="00B0485F">
        <w:t xml:space="preserve">prevalence </w:t>
      </w:r>
      <w:r w:rsidR="006A7EBF" w:rsidRPr="00B0485F">
        <w:t xml:space="preserve">peaking at </w:t>
      </w:r>
      <w:r w:rsidR="00F60D17" w:rsidRPr="00B0485F">
        <w:t>25.3% in females aged 35-44</w:t>
      </w:r>
      <w:r w:rsidR="003E0D34">
        <w:t xml:space="preserve"> years</w:t>
      </w:r>
      <w:r w:rsidR="007C24D8">
        <w:t xml:space="preserve"> </w:t>
      </w:r>
      <w:r w:rsidR="00245CE2">
        <w:rPr>
          <w:noProof/>
        </w:rPr>
        <w:t>(AIHW 2013)</w:t>
      </w:r>
      <w:r w:rsidR="00F60D17" w:rsidRPr="003B65C7">
        <w:t>.</w:t>
      </w:r>
      <w:r w:rsidR="00F60D17" w:rsidRPr="00B0485F">
        <w:t xml:space="preserve"> </w:t>
      </w:r>
    </w:p>
    <w:p w14:paraId="6848A9A4" w14:textId="1F510997" w:rsidR="009C1075" w:rsidRPr="00B0485F" w:rsidRDefault="00FD51D0" w:rsidP="00CF4E58">
      <w:pPr>
        <w:pStyle w:val="BodyText"/>
      </w:pPr>
      <w:r w:rsidRPr="00B0485F">
        <w:t xml:space="preserve">Incontinence has a significant impact on </w:t>
      </w:r>
      <w:r w:rsidR="00D5768E" w:rsidRPr="00B0485F">
        <w:t>mental and physical h</w:t>
      </w:r>
      <w:r w:rsidR="009443B4" w:rsidRPr="00B0485F">
        <w:t>ealth-related quality of life</w:t>
      </w:r>
      <w:bookmarkStart w:id="31" w:name="_Ref129270329"/>
      <w:r w:rsidR="007B1DCA">
        <w:t xml:space="preserve"> (</w:t>
      </w:r>
      <w:proofErr w:type="spellStart"/>
      <w:r w:rsidR="007B1DCA">
        <w:t>HRQoL</w:t>
      </w:r>
      <w:proofErr w:type="spellEnd"/>
      <w:r w:rsidR="007B1DCA">
        <w:t>)</w:t>
      </w:r>
      <w:r w:rsidR="00035AC0">
        <w:t xml:space="preserve"> </w:t>
      </w:r>
      <w:bookmarkEnd w:id="31"/>
      <w:r w:rsidR="00245CE2">
        <w:rPr>
          <w:noProof/>
        </w:rPr>
        <w:t>(Avery 2004)</w:t>
      </w:r>
      <w:r w:rsidR="00095903" w:rsidRPr="00B0485F">
        <w:t>.</w:t>
      </w:r>
      <w:r w:rsidR="00D5768E" w:rsidRPr="00B0485F">
        <w:t xml:space="preserve"> </w:t>
      </w:r>
      <w:r w:rsidR="007766B2" w:rsidRPr="00B0485F">
        <w:t>People who experience incontinence may</w:t>
      </w:r>
      <w:r w:rsidR="00314047" w:rsidRPr="00B0485F">
        <w:t xml:space="preserve"> have difficulty completing activities of daily living and physical activit</w:t>
      </w:r>
      <w:r w:rsidR="00BE6F59" w:rsidRPr="00B0485F">
        <w:t>y</w:t>
      </w:r>
      <w:r w:rsidR="00851B4A">
        <w:t xml:space="preserve"> </w:t>
      </w:r>
      <w:r w:rsidR="00245CE2">
        <w:rPr>
          <w:noProof/>
        </w:rPr>
        <w:t>(Avery 2004)</w:t>
      </w:r>
      <w:r w:rsidR="00824CF4" w:rsidRPr="00B0485F">
        <w:t xml:space="preserve">. </w:t>
      </w:r>
      <w:r w:rsidR="007471BE" w:rsidRPr="00B0485F">
        <w:t>Feeling depressed</w:t>
      </w:r>
      <w:r w:rsidR="007D31B7" w:rsidRPr="00B0485F">
        <w:t xml:space="preserve">, </w:t>
      </w:r>
      <w:r w:rsidR="007471BE" w:rsidRPr="00B0485F">
        <w:t xml:space="preserve">helpless, and becoming socially isolated may also </w:t>
      </w:r>
      <w:r w:rsidR="00492DFB">
        <w:t>occur due to</w:t>
      </w:r>
      <w:r w:rsidR="007D31B7" w:rsidRPr="00B0485F">
        <w:t xml:space="preserve"> the </w:t>
      </w:r>
      <w:r w:rsidR="00CB3797">
        <w:t>impact</w:t>
      </w:r>
      <w:r w:rsidR="007D31B7" w:rsidRPr="00B0485F">
        <w:t xml:space="preserve"> of incontinence on </w:t>
      </w:r>
      <w:r w:rsidR="00A24AED">
        <w:t xml:space="preserve">a woman’s </w:t>
      </w:r>
      <w:r w:rsidR="007D31B7" w:rsidRPr="00B0485F">
        <w:t>mental health</w:t>
      </w:r>
      <w:r w:rsidR="00851B4A">
        <w:t xml:space="preserve"> </w:t>
      </w:r>
      <w:r w:rsidR="00245CE2">
        <w:rPr>
          <w:noProof/>
        </w:rPr>
        <w:t>(Avery 2004)</w:t>
      </w:r>
      <w:r w:rsidR="007D31B7" w:rsidRPr="00B0485F">
        <w:t>.</w:t>
      </w:r>
    </w:p>
    <w:p w14:paraId="520DEFC4" w14:textId="56103D24" w:rsidR="00763BE2" w:rsidRPr="00B0485F" w:rsidRDefault="00763BE2" w:rsidP="00763BE2">
      <w:pPr>
        <w:pStyle w:val="Heading3"/>
      </w:pPr>
      <w:bookmarkStart w:id="32" w:name="_Toc165627817"/>
      <w:r w:rsidRPr="00B0485F">
        <w:t>Description of the intervention</w:t>
      </w:r>
      <w:bookmarkEnd w:id="32"/>
    </w:p>
    <w:p w14:paraId="0B182D7F" w14:textId="6CC8B518" w:rsidR="00763BE2" w:rsidRPr="00B0485F" w:rsidRDefault="00500913" w:rsidP="00D26049">
      <w:pPr>
        <w:pStyle w:val="Heading4"/>
      </w:pPr>
      <w:proofErr w:type="spellStart"/>
      <w:r w:rsidRPr="00B0485F">
        <w:t>Urogynaecological</w:t>
      </w:r>
      <w:proofErr w:type="spellEnd"/>
      <w:r w:rsidRPr="00B0485F">
        <w:t xml:space="preserve"> mesh</w:t>
      </w:r>
      <w:r w:rsidR="00CF769A" w:rsidRPr="00B0485F">
        <w:t xml:space="preserve"> </w:t>
      </w:r>
      <w:r w:rsidR="003946E1">
        <w:t>(mid-urethral slings)</w:t>
      </w:r>
    </w:p>
    <w:p w14:paraId="6BE469A6" w14:textId="3B92784C" w:rsidR="00F15ADB" w:rsidRPr="00B0485F" w:rsidRDefault="00644C6C" w:rsidP="00F15ADB">
      <w:pPr>
        <w:pStyle w:val="BodyText"/>
      </w:pPr>
      <w:proofErr w:type="spellStart"/>
      <w:r w:rsidRPr="00B0485F">
        <w:t>Urogynaecological</w:t>
      </w:r>
      <w:proofErr w:type="spellEnd"/>
      <w:r w:rsidRPr="00B0485F">
        <w:t xml:space="preserve"> mesh</w:t>
      </w:r>
      <w:r w:rsidR="0096751B" w:rsidRPr="00B0485F">
        <w:t xml:space="preserve"> (also known as ‘sling’, ‘tape’, ‘</w:t>
      </w:r>
      <w:r w:rsidR="00E732BA" w:rsidRPr="00B0485F">
        <w:t xml:space="preserve">ribbon’ </w:t>
      </w:r>
      <w:r w:rsidR="00864F0E" w:rsidRPr="00B0485F">
        <w:t>or</w:t>
      </w:r>
      <w:r w:rsidR="00E732BA" w:rsidRPr="00B0485F">
        <w:t xml:space="preserve"> ‘hammock’) is a netlike device that may be placed in, or attached to, the pelvis</w:t>
      </w:r>
      <w:r w:rsidR="002B766E">
        <w:t xml:space="preserve"> </w:t>
      </w:r>
      <w:r w:rsidR="00245CE2">
        <w:rPr>
          <w:noProof/>
        </w:rPr>
        <w:t>(TGA 2021)</w:t>
      </w:r>
      <w:r w:rsidR="00E732BA" w:rsidRPr="00B0485F">
        <w:t>.</w:t>
      </w:r>
      <w:r w:rsidR="00864F0E" w:rsidRPr="00B0485F">
        <w:t xml:space="preserve"> It is </w:t>
      </w:r>
      <w:proofErr w:type="gramStart"/>
      <w:r w:rsidR="00864F0E" w:rsidRPr="00B0485F">
        <w:t>most commonly used</w:t>
      </w:r>
      <w:proofErr w:type="gramEnd"/>
      <w:r w:rsidR="00864F0E" w:rsidRPr="00B0485F">
        <w:t xml:space="preserve"> to treat </w:t>
      </w:r>
      <w:r w:rsidR="00D65541">
        <w:t>POP</w:t>
      </w:r>
      <w:r w:rsidR="00864F0E" w:rsidRPr="00B0485F">
        <w:t xml:space="preserve"> and </w:t>
      </w:r>
      <w:r w:rsidR="00D65541">
        <w:t>SUI</w:t>
      </w:r>
      <w:r w:rsidR="00594899">
        <w:t xml:space="preserve"> </w:t>
      </w:r>
      <w:r w:rsidR="00245CE2">
        <w:rPr>
          <w:noProof/>
        </w:rPr>
        <w:t>(TGA 2021)</w:t>
      </w:r>
      <w:r w:rsidR="00864F0E" w:rsidRPr="00B0485F">
        <w:t>.</w:t>
      </w:r>
    </w:p>
    <w:p w14:paraId="3A5570D8" w14:textId="296BEFD0" w:rsidR="00311ABE" w:rsidRPr="00B0485F" w:rsidRDefault="00107FF5" w:rsidP="00F15ADB">
      <w:pPr>
        <w:pStyle w:val="BodyText"/>
      </w:pPr>
      <w:r w:rsidRPr="00B0485F">
        <w:t xml:space="preserve">Mid-urethral slings are </w:t>
      </w:r>
      <w:r w:rsidR="00BD09B5" w:rsidRPr="00B0485F">
        <w:t xml:space="preserve">a </w:t>
      </w:r>
      <w:r w:rsidRPr="00B0485F">
        <w:t xml:space="preserve">type of </w:t>
      </w:r>
      <w:proofErr w:type="spellStart"/>
      <w:r w:rsidR="00AE4228" w:rsidRPr="00B0485F">
        <w:t>urogynaecological</w:t>
      </w:r>
      <w:proofErr w:type="spellEnd"/>
      <w:r w:rsidR="00AE4228" w:rsidRPr="00B0485F">
        <w:t xml:space="preserve"> mesh</w:t>
      </w:r>
      <w:r w:rsidR="00E66E4E" w:rsidRPr="00B0485F">
        <w:t xml:space="preserve"> </w:t>
      </w:r>
      <w:r w:rsidR="00954530">
        <w:t xml:space="preserve">used in the treatment of </w:t>
      </w:r>
      <w:r w:rsidR="00581274">
        <w:t>SUI</w:t>
      </w:r>
      <w:r w:rsidR="00954530">
        <w:t>. The sling is</w:t>
      </w:r>
      <w:r w:rsidR="00E66E4E" w:rsidRPr="00B0485F">
        <w:t xml:space="preserve"> placed beneath the middle part of the urethra</w:t>
      </w:r>
      <w:r w:rsidR="00FB7FC8" w:rsidRPr="00B0485F">
        <w:t>,</w:t>
      </w:r>
      <w:r w:rsidR="00E66E4E" w:rsidRPr="00B0485F">
        <w:t xml:space="preserve"> provid</w:t>
      </w:r>
      <w:r w:rsidR="00FB7FC8" w:rsidRPr="00B0485F">
        <w:t>ing</w:t>
      </w:r>
      <w:r w:rsidR="00E66E4E" w:rsidRPr="00B0485F">
        <w:t xml:space="preserve"> support</w:t>
      </w:r>
      <w:r w:rsidR="000B7479" w:rsidRPr="00B0485F">
        <w:t xml:space="preserve"> during exertion (e.g. coughing, sneezing, running)</w:t>
      </w:r>
      <w:r w:rsidR="00F6265C" w:rsidRPr="00B0485F">
        <w:t xml:space="preserve"> </w:t>
      </w:r>
      <w:r w:rsidR="00FB7FC8" w:rsidRPr="00B0485F">
        <w:t>to</w:t>
      </w:r>
      <w:r w:rsidR="00F6265C" w:rsidRPr="00B0485F">
        <w:t xml:space="preserve"> prevent urine leakage</w:t>
      </w:r>
      <w:r w:rsidR="00B41A26">
        <w:rPr>
          <w:vertAlign w:val="superscript"/>
        </w:rPr>
        <w:t xml:space="preserve"> </w:t>
      </w:r>
      <w:r w:rsidR="00245CE2">
        <w:rPr>
          <w:noProof/>
        </w:rPr>
        <w:t>(RANZCOG 2020, amended 2022)</w:t>
      </w:r>
      <w:r w:rsidR="00731DA7" w:rsidRPr="00B0485F">
        <w:t>.</w:t>
      </w:r>
      <w:r w:rsidR="001E1027" w:rsidRPr="00B0485F">
        <w:t xml:space="preserve"> </w:t>
      </w:r>
      <w:r w:rsidR="00211E32" w:rsidRPr="00B0485F">
        <w:t>The sling is a narrow</w:t>
      </w:r>
      <w:r w:rsidR="00991FE8" w:rsidRPr="00B0485F">
        <w:t>, synthetic polypro</w:t>
      </w:r>
      <w:r w:rsidR="009E555A" w:rsidRPr="00B0485F">
        <w:t>pylene mesh tape</w:t>
      </w:r>
      <w:r w:rsidR="00B41A26">
        <w:t xml:space="preserve"> </w:t>
      </w:r>
      <w:r w:rsidR="00245CE2">
        <w:rPr>
          <w:noProof/>
        </w:rPr>
        <w:t>(RANZCOG 2020, amended 2022)</w:t>
      </w:r>
      <w:r w:rsidR="009E555A" w:rsidRPr="00B0485F">
        <w:t>.</w:t>
      </w:r>
      <w:r w:rsidR="00991FE8" w:rsidRPr="00B0485F">
        <w:t xml:space="preserve"> </w:t>
      </w:r>
      <w:r w:rsidR="005D71A4">
        <w:t>MUS</w:t>
      </w:r>
      <w:r w:rsidR="00360730" w:rsidRPr="00B0485F">
        <w:t xml:space="preserve"> </w:t>
      </w:r>
      <w:r w:rsidR="00490FF0" w:rsidRPr="00B0485F">
        <w:t>are</w:t>
      </w:r>
      <w:r w:rsidR="00360730" w:rsidRPr="00B0485F">
        <w:t xml:space="preserve"> inserted via </w:t>
      </w:r>
      <w:r w:rsidR="00490FF0" w:rsidRPr="00B0485F">
        <w:t xml:space="preserve">a </w:t>
      </w:r>
      <w:r w:rsidR="00136E8A" w:rsidRPr="00B0485F">
        <w:t xml:space="preserve">minimally invasive </w:t>
      </w:r>
      <w:r w:rsidR="003C12F2" w:rsidRPr="00B0485F">
        <w:t>retropubic (RP)</w:t>
      </w:r>
      <w:r w:rsidR="000E4184" w:rsidRPr="00B0485F">
        <w:t xml:space="preserve"> or </w:t>
      </w:r>
      <w:proofErr w:type="spellStart"/>
      <w:r w:rsidR="003C12F2" w:rsidRPr="00B0485F">
        <w:t>transobturator</w:t>
      </w:r>
      <w:proofErr w:type="spellEnd"/>
      <w:r w:rsidR="003C12F2" w:rsidRPr="00B0485F">
        <w:t xml:space="preserve"> (TO)</w:t>
      </w:r>
      <w:r w:rsidR="004A1933" w:rsidRPr="00B0485F">
        <w:t xml:space="preserve"> approach</w:t>
      </w:r>
      <w:r w:rsidR="00311ABE" w:rsidRPr="00B0485F">
        <w:t>:</w:t>
      </w:r>
    </w:p>
    <w:p w14:paraId="37EF42CD" w14:textId="4E7D86D0" w:rsidR="00360730" w:rsidRPr="00B0485F" w:rsidRDefault="00CF769A" w:rsidP="00D87AEB">
      <w:pPr>
        <w:pStyle w:val="Bulletpoint"/>
      </w:pPr>
      <w:r w:rsidRPr="00B0485F">
        <w:rPr>
          <w:b/>
          <w:bCs/>
        </w:rPr>
        <w:t>Retropubic</w:t>
      </w:r>
      <w:r w:rsidR="002F5B44">
        <w:rPr>
          <w:b/>
          <w:bCs/>
        </w:rPr>
        <w:t xml:space="preserve"> (RP</w:t>
      </w:r>
      <w:r w:rsidR="00801A50">
        <w:rPr>
          <w:b/>
          <w:bCs/>
        </w:rPr>
        <w:t>-MUS</w:t>
      </w:r>
      <w:r w:rsidR="005A3858">
        <w:rPr>
          <w:b/>
          <w:bCs/>
        </w:rPr>
        <w:t>)</w:t>
      </w:r>
      <w:r w:rsidR="00311ABE" w:rsidRPr="00B0485F">
        <w:t xml:space="preserve">: </w:t>
      </w:r>
      <w:r w:rsidR="007E22F2" w:rsidRPr="00B0485F">
        <w:t xml:space="preserve">the </w:t>
      </w:r>
      <w:r w:rsidR="00873FCB" w:rsidRPr="00B0485F">
        <w:t xml:space="preserve">sling is inserted via an incision in the vagina. </w:t>
      </w:r>
      <w:r w:rsidR="00060E81" w:rsidRPr="00B0485F">
        <w:t>It is position</w:t>
      </w:r>
      <w:r w:rsidR="005037F4" w:rsidRPr="00B0485F">
        <w:t>e</w:t>
      </w:r>
      <w:r w:rsidR="002D43FD" w:rsidRPr="00B0485F">
        <w:t>d</w:t>
      </w:r>
      <w:r w:rsidR="00060E81" w:rsidRPr="00B0485F">
        <w:t xml:space="preserve"> in a U shape under the mid-urethra, with the ends </w:t>
      </w:r>
      <w:r w:rsidR="00B77C1B" w:rsidRPr="00B0485F">
        <w:t xml:space="preserve">of the sling </w:t>
      </w:r>
      <w:r w:rsidR="00743B59" w:rsidRPr="00B0485F">
        <w:t xml:space="preserve">exiting the retropubic space </w:t>
      </w:r>
      <w:r w:rsidR="00B77C1B" w:rsidRPr="00B0485F">
        <w:t xml:space="preserve">via incisions in the </w:t>
      </w:r>
      <w:r w:rsidR="00A851FE" w:rsidRPr="00B0485F">
        <w:t xml:space="preserve">skin of the </w:t>
      </w:r>
      <w:r w:rsidR="00B77C1B" w:rsidRPr="00B0485F">
        <w:t>abdomen above the pubic bone</w:t>
      </w:r>
      <w:r w:rsidR="00772C47">
        <w:t xml:space="preserve"> </w:t>
      </w:r>
      <w:r w:rsidR="00245CE2">
        <w:rPr>
          <w:noProof/>
        </w:rPr>
        <w:t>(ACSQHC 2018b)</w:t>
      </w:r>
      <w:r w:rsidR="00B77C1B" w:rsidRPr="00D5686B">
        <w:t>.</w:t>
      </w:r>
    </w:p>
    <w:p w14:paraId="1C25480D" w14:textId="40A9C875" w:rsidR="00105131" w:rsidRPr="00B0485F" w:rsidRDefault="00CF769A" w:rsidP="00D87AEB">
      <w:pPr>
        <w:pStyle w:val="Bulletpoint"/>
      </w:pPr>
      <w:proofErr w:type="spellStart"/>
      <w:r w:rsidRPr="00B0485F">
        <w:rPr>
          <w:b/>
          <w:bCs/>
        </w:rPr>
        <w:lastRenderedPageBreak/>
        <w:t>Transobturator</w:t>
      </w:r>
      <w:proofErr w:type="spellEnd"/>
      <w:r w:rsidR="005A3858">
        <w:rPr>
          <w:b/>
          <w:bCs/>
        </w:rPr>
        <w:t xml:space="preserve"> (TO</w:t>
      </w:r>
      <w:r w:rsidR="00801A50">
        <w:rPr>
          <w:b/>
          <w:bCs/>
        </w:rPr>
        <w:t>-MUS</w:t>
      </w:r>
      <w:r w:rsidR="005A3858">
        <w:rPr>
          <w:b/>
          <w:bCs/>
        </w:rPr>
        <w:t>)</w:t>
      </w:r>
      <w:r w:rsidR="0048308B" w:rsidRPr="00B0485F">
        <w:t xml:space="preserve">: </w:t>
      </w:r>
      <w:r w:rsidR="00907962" w:rsidRPr="00B0485F">
        <w:t>the sling is inserted</w:t>
      </w:r>
      <w:r w:rsidR="00AB1366" w:rsidRPr="00B0485F">
        <w:t xml:space="preserve"> via </w:t>
      </w:r>
      <w:r w:rsidR="001847F9" w:rsidRPr="00B0485F">
        <w:t xml:space="preserve">an incision in </w:t>
      </w:r>
      <w:r w:rsidR="00AB1366" w:rsidRPr="00B0485F">
        <w:t>the vagina</w:t>
      </w:r>
      <w:r w:rsidR="00F904D0" w:rsidRPr="00B0485F">
        <w:t xml:space="preserve"> and placed under the mid-urethra</w:t>
      </w:r>
      <w:r w:rsidR="00221E74" w:rsidRPr="00B0485F">
        <w:t>.</w:t>
      </w:r>
      <w:r w:rsidR="00F904D0" w:rsidRPr="00B0485F">
        <w:t xml:space="preserve"> </w:t>
      </w:r>
      <w:r w:rsidR="00221E74" w:rsidRPr="00B0485F">
        <w:t xml:space="preserve">The ends of the sling exit through incisions in the skin </w:t>
      </w:r>
      <w:r w:rsidR="00DD6EB8" w:rsidRPr="00B0485F">
        <w:t>on both sides of the groin</w:t>
      </w:r>
      <w:r w:rsidR="00772C47">
        <w:t xml:space="preserve"> </w:t>
      </w:r>
      <w:r w:rsidR="00245CE2">
        <w:rPr>
          <w:noProof/>
        </w:rPr>
        <w:t>(ACSQHC 2018b)</w:t>
      </w:r>
      <w:r w:rsidR="00DD6EB8" w:rsidRPr="00B0485F">
        <w:t>.</w:t>
      </w:r>
    </w:p>
    <w:p w14:paraId="37BB2648" w14:textId="7356951F" w:rsidR="00311ABE" w:rsidRDefault="00311ABE" w:rsidP="00311ABE">
      <w:pPr>
        <w:pStyle w:val="BodyText"/>
      </w:pPr>
      <w:r w:rsidRPr="00B0485F">
        <w:t xml:space="preserve">According to the Australian Commission on Safety and Quality in Health Care (ACSQHC) care pathway, </w:t>
      </w:r>
      <w:r w:rsidR="005D71A4">
        <w:t>MUS</w:t>
      </w:r>
      <w:r w:rsidRPr="00B0485F">
        <w:t xml:space="preserve"> are the preferred approach for the surgical management of SUI</w:t>
      </w:r>
      <w:bookmarkStart w:id="33" w:name="_Ref129612009"/>
      <w:r w:rsidR="00EC3516">
        <w:t xml:space="preserve"> </w:t>
      </w:r>
      <w:bookmarkEnd w:id="33"/>
      <w:r w:rsidR="00245CE2">
        <w:rPr>
          <w:noProof/>
        </w:rPr>
        <w:t>(ACSQHC 2018a)</w:t>
      </w:r>
      <w:r w:rsidRPr="00B0485F">
        <w:t xml:space="preserve"> (see </w:t>
      </w:r>
      <w:r w:rsidRPr="00B0485F">
        <w:rPr>
          <w:b/>
          <w:bCs/>
        </w:rPr>
        <w:fldChar w:fldCharType="begin"/>
      </w:r>
      <w:r w:rsidRPr="00B0485F">
        <w:rPr>
          <w:b/>
          <w:bCs/>
        </w:rPr>
        <w:instrText xml:space="preserve"> REF _Ref129345751 \h  \* MERGEFORMAT </w:instrText>
      </w:r>
      <w:r w:rsidRPr="00B0485F">
        <w:rPr>
          <w:b/>
          <w:bCs/>
        </w:rPr>
      </w:r>
      <w:r w:rsidRPr="00B0485F">
        <w:rPr>
          <w:b/>
          <w:bCs/>
        </w:rPr>
        <w:fldChar w:fldCharType="separate"/>
      </w:r>
      <w:r w:rsidR="007105D3" w:rsidRPr="007105D3">
        <w:rPr>
          <w:b/>
          <w:bCs/>
        </w:rPr>
        <w:t xml:space="preserve">Figure </w:t>
      </w:r>
      <w:r w:rsidR="007105D3" w:rsidRPr="007105D3">
        <w:rPr>
          <w:b/>
          <w:bCs/>
          <w:noProof/>
        </w:rPr>
        <w:t>1</w:t>
      </w:r>
      <w:r w:rsidRPr="00B0485F">
        <w:rPr>
          <w:b/>
          <w:bCs/>
        </w:rPr>
        <w:fldChar w:fldCharType="end"/>
      </w:r>
      <w:r w:rsidRPr="00B0485F">
        <w:t>).</w:t>
      </w:r>
    </w:p>
    <w:p w14:paraId="2E3D95E6" w14:textId="30F103CB" w:rsidR="00592799" w:rsidRPr="00B0485F" w:rsidRDefault="00592799" w:rsidP="00592799">
      <w:pPr>
        <w:pStyle w:val="Bulletpoint"/>
        <w:numPr>
          <w:ilvl w:val="0"/>
          <w:numId w:val="0"/>
        </w:numPr>
      </w:pPr>
      <w:r w:rsidRPr="00B0485F">
        <w:rPr>
          <w:b/>
          <w:bCs/>
        </w:rPr>
        <w:t>Single-incision mini-slings</w:t>
      </w:r>
      <w:r w:rsidRPr="00B0485F">
        <w:t xml:space="preserve"> have been developed </w:t>
      </w:r>
      <w:proofErr w:type="gramStart"/>
      <w:r>
        <w:t xml:space="preserve">in an attempt </w:t>
      </w:r>
      <w:r w:rsidRPr="00B0485F">
        <w:t>to</w:t>
      </w:r>
      <w:proofErr w:type="gramEnd"/>
      <w:r w:rsidRPr="00B0485F">
        <w:t xml:space="preserve"> overcome </w:t>
      </w:r>
      <w:r>
        <w:t xml:space="preserve">some of the </w:t>
      </w:r>
      <w:r w:rsidRPr="00B0485F">
        <w:t xml:space="preserve">complications associated with </w:t>
      </w:r>
      <w:r w:rsidR="005D71A4">
        <w:t>MUS</w:t>
      </w:r>
      <w:r w:rsidR="00B7608A">
        <w:t xml:space="preserve"> </w:t>
      </w:r>
      <w:r w:rsidR="00245CE2">
        <w:rPr>
          <w:noProof/>
        </w:rPr>
        <w:t>(Kim 2020)</w:t>
      </w:r>
      <w:r w:rsidRPr="00B0485F">
        <w:t xml:space="preserve">. The </w:t>
      </w:r>
      <w:proofErr w:type="gramStart"/>
      <w:r w:rsidRPr="00B0485F">
        <w:t>mini-sling</w:t>
      </w:r>
      <w:proofErr w:type="gramEnd"/>
      <w:r w:rsidRPr="00B0485F">
        <w:t xml:space="preserve"> is inserted via a single incision in the vagina, and does not need to pass through the retropubic or obturator space</w:t>
      </w:r>
      <w:r w:rsidR="00B7608A">
        <w:t xml:space="preserve"> </w:t>
      </w:r>
      <w:r w:rsidR="00245CE2">
        <w:rPr>
          <w:noProof/>
        </w:rPr>
        <w:t>(Kim 2020)</w:t>
      </w:r>
      <w:r w:rsidRPr="00B0485F">
        <w:t xml:space="preserve">. Single-incision mini-slings are not currently approved for use in Australia (see Section </w:t>
      </w:r>
      <w:r w:rsidRPr="00B0485F">
        <w:fldChar w:fldCharType="begin"/>
      </w:r>
      <w:r w:rsidRPr="00B0485F">
        <w:instrText xml:space="preserve"> REF _Ref129347074 \r \h </w:instrText>
      </w:r>
      <w:r w:rsidRPr="00B0485F">
        <w:fldChar w:fldCharType="separate"/>
      </w:r>
      <w:r w:rsidR="007105D3">
        <w:t>1.2.1</w:t>
      </w:r>
      <w:r w:rsidRPr="00B0485F">
        <w:fldChar w:fldCharType="end"/>
      </w:r>
      <w:r w:rsidRPr="00B0485F">
        <w:t>) and are not in scope for this review.</w:t>
      </w:r>
    </w:p>
    <w:p w14:paraId="008B4EF7" w14:textId="6D3AF96C" w:rsidR="0095551B" w:rsidRDefault="0095551B" w:rsidP="0095551B">
      <w:pPr>
        <w:pStyle w:val="Caption"/>
      </w:pPr>
      <w:bookmarkStart w:id="34" w:name="_Ref129345751"/>
      <w:bookmarkStart w:id="35" w:name="_Toc165627916"/>
      <w:r w:rsidRPr="00B0485F">
        <w:t xml:space="preserve">Figure </w:t>
      </w:r>
      <w:fldSimple w:instr=" SEQ Figure \* ARABIC ">
        <w:r w:rsidR="007105D3">
          <w:rPr>
            <w:noProof/>
          </w:rPr>
          <w:t>1</w:t>
        </w:r>
      </w:fldSimple>
      <w:bookmarkEnd w:id="34"/>
      <w:r w:rsidRPr="00B0485F">
        <w:tab/>
        <w:t>ACSQHC Care pathway for the management of stress urinary incontinence (SUI)</w:t>
      </w:r>
      <w:bookmarkEnd w:id="35"/>
      <w:r w:rsidRPr="00B0485F">
        <w:t xml:space="preserve"> </w:t>
      </w:r>
    </w:p>
    <w:p w14:paraId="1C781EDD" w14:textId="37130E6B" w:rsidR="00DB3F6B" w:rsidRPr="00DB3F6B" w:rsidRDefault="00DB3F6B" w:rsidP="00DB3F6B">
      <w:r>
        <w:rPr>
          <w:noProof/>
        </w:rPr>
        <w:drawing>
          <wp:inline distT="0" distB="0" distL="0" distR="0" wp14:anchorId="711D0166" wp14:editId="1CAC3444">
            <wp:extent cx="6120130" cy="3626485"/>
            <wp:effectExtent l="0" t="0" r="0" b="0"/>
            <wp:docPr id="3" name="Picture 3" descr="This figure is the ACSQHC Care pathway for the management of stress urinary incontinence (SU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is the ACSQHC Care pathway for the management of stress urinary incontinence (SUI). "/>
                    <pic:cNvPicPr/>
                  </pic:nvPicPr>
                  <pic:blipFill>
                    <a:blip r:embed="rId19">
                      <a:extLst>
                        <a:ext uri="{28A0092B-C50C-407E-A947-70E740481C1C}">
                          <a14:useLocalDpi xmlns:a14="http://schemas.microsoft.com/office/drawing/2010/main" val="0"/>
                        </a:ext>
                      </a:extLst>
                    </a:blip>
                    <a:stretch>
                      <a:fillRect/>
                    </a:stretch>
                  </pic:blipFill>
                  <pic:spPr>
                    <a:xfrm>
                      <a:off x="0" y="0"/>
                      <a:ext cx="6120130" cy="3626485"/>
                    </a:xfrm>
                    <a:prstGeom prst="rect">
                      <a:avLst/>
                    </a:prstGeom>
                  </pic:spPr>
                </pic:pic>
              </a:graphicData>
            </a:graphic>
          </wp:inline>
        </w:drawing>
      </w:r>
    </w:p>
    <w:p w14:paraId="47FD4863" w14:textId="653EF8D0" w:rsidR="004C4F26" w:rsidRPr="00B0485F" w:rsidRDefault="004C4F26" w:rsidP="004C4F26">
      <w:pPr>
        <w:pStyle w:val="111Tablefootnoteslast-nostick8pt"/>
        <w:rPr>
          <w:lang w:val="en-AU"/>
        </w:rPr>
      </w:pPr>
      <w:r w:rsidRPr="004728C3">
        <w:rPr>
          <w:lang w:val="en-AU"/>
        </w:rPr>
        <w:t xml:space="preserve">Source: </w:t>
      </w:r>
      <w:r w:rsidR="008303E3" w:rsidRPr="004728C3">
        <w:rPr>
          <w:lang w:val="en-AU"/>
        </w:rPr>
        <w:t xml:space="preserve">Reproduced with permission from </w:t>
      </w:r>
      <w:r w:rsidR="00F65F48" w:rsidRPr="004728C3">
        <w:rPr>
          <w:lang w:val="en-AU"/>
        </w:rPr>
        <w:t>the</w:t>
      </w:r>
      <w:r w:rsidRPr="004728C3">
        <w:rPr>
          <w:lang w:val="en-AU"/>
        </w:rPr>
        <w:t xml:space="preserve"> </w:t>
      </w:r>
      <w:r w:rsidR="003D5B50" w:rsidRPr="004728C3">
        <w:rPr>
          <w:lang w:val="en-AU"/>
        </w:rPr>
        <w:t>Care Pathway for the Management of Stress Urinary Incontinence (SUI)</w:t>
      </w:r>
      <w:r w:rsidR="00A206BE" w:rsidRPr="004728C3">
        <w:rPr>
          <w:lang w:val="en-AU"/>
        </w:rPr>
        <w:t>, developed by the Australian Commission on Safety and Quality in Health Care (ACSQHC). ACSQHC: Sydney (</w:t>
      </w:r>
      <w:r w:rsidR="00233D95" w:rsidRPr="004728C3">
        <w:rPr>
          <w:lang w:val="en-AU"/>
        </w:rPr>
        <w:t>2018</w:t>
      </w:r>
      <w:r w:rsidR="00A206BE" w:rsidRPr="004728C3">
        <w:rPr>
          <w:lang w:val="en-AU"/>
        </w:rPr>
        <w:t>)</w:t>
      </w:r>
    </w:p>
    <w:p w14:paraId="6FB25D5E" w14:textId="15FBCEBC" w:rsidR="009A5698" w:rsidRPr="00B0485F" w:rsidRDefault="009A5698" w:rsidP="009A5698">
      <w:pPr>
        <w:pStyle w:val="Heading5"/>
      </w:pPr>
      <w:r w:rsidRPr="00B0485F">
        <w:t>Devices for review</w:t>
      </w:r>
    </w:p>
    <w:p w14:paraId="3471224C" w14:textId="5E45442A" w:rsidR="005B127A" w:rsidRPr="00B0485F" w:rsidRDefault="005A3FA0" w:rsidP="005B127A">
      <w:pPr>
        <w:pStyle w:val="BodyText"/>
      </w:pPr>
      <w:r w:rsidRPr="00B0485F">
        <w:t xml:space="preserve">This </w:t>
      </w:r>
      <w:r w:rsidR="001D1231">
        <w:t>post-listing</w:t>
      </w:r>
      <w:r w:rsidRPr="00B0485F">
        <w:t xml:space="preserve"> review will include all </w:t>
      </w:r>
      <w:r w:rsidR="005D71A4">
        <w:t>MUS</w:t>
      </w:r>
      <w:r w:rsidRPr="00B0485F">
        <w:t xml:space="preserve"> currently on the </w:t>
      </w:r>
      <w:r w:rsidR="001D1231">
        <w:t xml:space="preserve">PL </w:t>
      </w:r>
      <w:r w:rsidRPr="00B0485F">
        <w:t xml:space="preserve">(see </w:t>
      </w:r>
      <w:r w:rsidRPr="00B0485F">
        <w:rPr>
          <w:b/>
          <w:bCs/>
        </w:rPr>
        <w:fldChar w:fldCharType="begin"/>
      </w:r>
      <w:r w:rsidRPr="00B0485F">
        <w:rPr>
          <w:b/>
          <w:bCs/>
        </w:rPr>
        <w:instrText xml:space="preserve"> REF _Ref125720480 \h  \* MERGEFORMAT </w:instrText>
      </w:r>
      <w:r w:rsidRPr="00B0485F">
        <w:rPr>
          <w:b/>
          <w:bCs/>
        </w:rPr>
      </w:r>
      <w:r w:rsidRPr="00B0485F">
        <w:rPr>
          <w:b/>
          <w:bCs/>
        </w:rPr>
        <w:fldChar w:fldCharType="separate"/>
      </w:r>
      <w:r w:rsidR="007105D3" w:rsidRPr="007105D3">
        <w:rPr>
          <w:b/>
          <w:bCs/>
        </w:rPr>
        <w:t xml:space="preserve">Table </w:t>
      </w:r>
      <w:r w:rsidR="007105D3" w:rsidRPr="007105D3">
        <w:rPr>
          <w:b/>
          <w:bCs/>
          <w:noProof/>
        </w:rPr>
        <w:t>2</w:t>
      </w:r>
      <w:r w:rsidRPr="00B0485F">
        <w:rPr>
          <w:b/>
          <w:bCs/>
        </w:rPr>
        <w:fldChar w:fldCharType="end"/>
      </w:r>
      <w:r w:rsidRPr="00B0485F">
        <w:t xml:space="preserve">). </w:t>
      </w:r>
      <w:r w:rsidR="00185BAE">
        <w:t xml:space="preserve">The six </w:t>
      </w:r>
      <w:r w:rsidR="005D71A4">
        <w:t>MUS</w:t>
      </w:r>
      <w:r w:rsidR="00185BAE">
        <w:t xml:space="preserve"> on the PL are</w:t>
      </w:r>
      <w:r w:rsidR="00537781" w:rsidRPr="00B0485F">
        <w:t xml:space="preserve"> from </w:t>
      </w:r>
      <w:r w:rsidR="00185BAE">
        <w:t xml:space="preserve">two sponsors, </w:t>
      </w:r>
      <w:bookmarkStart w:id="36" w:name="_Hlk129351785"/>
      <w:r w:rsidR="00537781" w:rsidRPr="00B0485F">
        <w:t>Boston Scientific Australia Pty</w:t>
      </w:r>
      <w:r w:rsidR="007918FF" w:rsidRPr="00B0485F">
        <w:t>.</w:t>
      </w:r>
      <w:r w:rsidR="00537781" w:rsidRPr="00B0485F">
        <w:t xml:space="preserve"> Ltd</w:t>
      </w:r>
      <w:r w:rsidR="007918FF" w:rsidRPr="00B0485F">
        <w:t>.</w:t>
      </w:r>
      <w:r w:rsidR="00537781" w:rsidRPr="00B0485F">
        <w:t xml:space="preserve"> </w:t>
      </w:r>
      <w:r w:rsidR="00185BAE">
        <w:t>(</w:t>
      </w:r>
      <w:r w:rsidR="00D0163E">
        <w:t>n=3</w:t>
      </w:r>
      <w:r w:rsidR="00185BAE">
        <w:t xml:space="preserve">) </w:t>
      </w:r>
      <w:r w:rsidR="00537781" w:rsidRPr="00B0485F">
        <w:t>and Johnson &amp; Johnson Medical Pty</w:t>
      </w:r>
      <w:r w:rsidR="007918FF" w:rsidRPr="00B0485F">
        <w:t>.</w:t>
      </w:r>
      <w:r w:rsidR="00537781" w:rsidRPr="00B0485F">
        <w:t xml:space="preserve"> Ltd</w:t>
      </w:r>
      <w:bookmarkEnd w:id="36"/>
      <w:r w:rsidR="00537781" w:rsidRPr="00B0485F">
        <w:t xml:space="preserve">. </w:t>
      </w:r>
      <w:r w:rsidR="00185BAE">
        <w:t>(</w:t>
      </w:r>
      <w:r w:rsidR="00D0163E">
        <w:t>n=3</w:t>
      </w:r>
      <w:r w:rsidR="00185BAE">
        <w:t>)</w:t>
      </w:r>
      <w:r w:rsidR="00BF795E">
        <w:t>.</w:t>
      </w:r>
    </w:p>
    <w:p w14:paraId="75644C6D" w14:textId="3BA2508F" w:rsidR="00876762" w:rsidRPr="00B0485F" w:rsidRDefault="00876762" w:rsidP="00876762">
      <w:pPr>
        <w:pStyle w:val="Caption"/>
      </w:pPr>
      <w:bookmarkStart w:id="37" w:name="_Ref125720480"/>
      <w:bookmarkStart w:id="38" w:name="_Toc165627870"/>
      <w:r w:rsidRPr="00B0485F">
        <w:t xml:space="preserve">Table </w:t>
      </w:r>
      <w:fldSimple w:instr=" SEQ Table \* ARABIC ">
        <w:r w:rsidR="007105D3">
          <w:rPr>
            <w:noProof/>
          </w:rPr>
          <w:t>2</w:t>
        </w:r>
      </w:fldSimple>
      <w:bookmarkEnd w:id="37"/>
      <w:r w:rsidRPr="00B0485F">
        <w:tab/>
      </w:r>
      <w:r w:rsidR="004760B0" w:rsidRPr="00B0485F">
        <w:t>Mid-urethral slings currently on the Prosthes</w:t>
      </w:r>
      <w:r w:rsidR="00CB7872" w:rsidRPr="00B0485F">
        <w:t>e</w:t>
      </w:r>
      <w:r w:rsidR="004760B0" w:rsidRPr="00B0485F">
        <w:t>s List</w:t>
      </w:r>
      <w:r w:rsidR="00B01E53" w:rsidRPr="00B0485F">
        <w:t xml:space="preserve"> (</w:t>
      </w:r>
      <w:r w:rsidR="00AC77FF">
        <w:t>March</w:t>
      </w:r>
      <w:r w:rsidR="00B01E53" w:rsidRPr="00B0485F">
        <w:t xml:space="preserve"> 202</w:t>
      </w:r>
      <w:r w:rsidR="00AC77FF">
        <w:t>3</w:t>
      </w:r>
      <w:r w:rsidR="00B01E53" w:rsidRPr="00B0485F">
        <w:t>)</w:t>
      </w:r>
      <w:r w:rsidR="00581A37" w:rsidRPr="00B0485F">
        <w:t xml:space="preserve"> under product sub-group </w:t>
      </w:r>
      <w:r w:rsidR="00347895" w:rsidRPr="00B0485F">
        <w:t>05.0</w:t>
      </w:r>
      <w:r w:rsidR="00D52D9D" w:rsidRPr="00B0485F">
        <w:t>1.03.02 Urogenital – Incontinence Prostheses – Sling - Female</w:t>
      </w:r>
      <w:bookmarkEnd w:id="38"/>
      <w:r w:rsidR="00A5436D">
        <w:t xml:space="preserve"> </w:t>
      </w:r>
    </w:p>
    <w:tbl>
      <w:tblPr>
        <w:tblStyle w:val="TableGrid"/>
        <w:tblW w:w="9639" w:type="dxa"/>
        <w:tblLayout w:type="fixed"/>
        <w:tblLook w:val="04A0" w:firstRow="1" w:lastRow="0" w:firstColumn="1" w:lastColumn="0" w:noHBand="0" w:noVBand="1"/>
        <w:tblCaption w:val="Mid-urethral slings currently on the March 2023 Prostheses List under product sub-group 05.01.03.02 Urogenital, Incontinence Prostheses, Sling, Female "/>
        <w:tblDescription w:val="Table shows the mid-urethral slings listed on the March 2023 Prostheses List including the device name, description, type, sponsor, ARTG number, GMDN code, billing code and benefit. "/>
      </w:tblPr>
      <w:tblGrid>
        <w:gridCol w:w="1560"/>
        <w:gridCol w:w="1842"/>
        <w:gridCol w:w="993"/>
        <w:gridCol w:w="1701"/>
        <w:gridCol w:w="850"/>
        <w:gridCol w:w="992"/>
        <w:gridCol w:w="851"/>
        <w:gridCol w:w="850"/>
      </w:tblGrid>
      <w:tr w:rsidR="002943A8" w:rsidRPr="00B0485F" w14:paraId="7A838EA3" w14:textId="77777777" w:rsidTr="008223EA">
        <w:trPr>
          <w:cnfStyle w:val="100000000000" w:firstRow="1" w:lastRow="0" w:firstColumn="0" w:lastColumn="0" w:oddVBand="0" w:evenVBand="0" w:oddHBand="0" w:evenHBand="0" w:firstRowFirstColumn="0" w:firstRowLastColumn="0" w:lastRowFirstColumn="0" w:lastRowLastColumn="0"/>
        </w:trPr>
        <w:tc>
          <w:tcPr>
            <w:tcW w:w="1560" w:type="dxa"/>
          </w:tcPr>
          <w:p w14:paraId="69DDBC1F" w14:textId="5923494F" w:rsidR="002943A8" w:rsidRPr="005D71A4" w:rsidRDefault="002943A8" w:rsidP="00B25D5F">
            <w:pPr>
              <w:pStyle w:val="031Tablesubheading8pt"/>
              <w:rPr>
                <w:sz w:val="18"/>
                <w:szCs w:val="18"/>
              </w:rPr>
            </w:pPr>
            <w:r w:rsidRPr="005D71A4">
              <w:rPr>
                <w:sz w:val="18"/>
                <w:szCs w:val="18"/>
              </w:rPr>
              <w:t xml:space="preserve">Device </w:t>
            </w:r>
          </w:p>
        </w:tc>
        <w:tc>
          <w:tcPr>
            <w:tcW w:w="1842" w:type="dxa"/>
          </w:tcPr>
          <w:p w14:paraId="22297434" w14:textId="39C03623" w:rsidR="002943A8" w:rsidRPr="005D71A4" w:rsidRDefault="002943A8" w:rsidP="00B25D5F">
            <w:pPr>
              <w:pStyle w:val="031Tablesubheading8pt"/>
              <w:rPr>
                <w:sz w:val="18"/>
                <w:szCs w:val="18"/>
              </w:rPr>
            </w:pPr>
            <w:r w:rsidRPr="005D71A4">
              <w:rPr>
                <w:sz w:val="18"/>
                <w:szCs w:val="18"/>
              </w:rPr>
              <w:t>Description</w:t>
            </w:r>
          </w:p>
        </w:tc>
        <w:tc>
          <w:tcPr>
            <w:tcW w:w="993" w:type="dxa"/>
          </w:tcPr>
          <w:p w14:paraId="0552E202" w14:textId="75E78543" w:rsidR="002943A8" w:rsidRPr="005D71A4" w:rsidRDefault="002943A8" w:rsidP="00B25D5F">
            <w:pPr>
              <w:pStyle w:val="031Tablesubheading8pt"/>
              <w:rPr>
                <w:sz w:val="18"/>
                <w:szCs w:val="18"/>
              </w:rPr>
            </w:pPr>
            <w:r w:rsidRPr="005D71A4">
              <w:rPr>
                <w:sz w:val="18"/>
                <w:szCs w:val="18"/>
              </w:rPr>
              <w:t>Type</w:t>
            </w:r>
          </w:p>
        </w:tc>
        <w:tc>
          <w:tcPr>
            <w:tcW w:w="1701" w:type="dxa"/>
          </w:tcPr>
          <w:p w14:paraId="57083640" w14:textId="7BF1C657" w:rsidR="002943A8" w:rsidRPr="005D71A4" w:rsidRDefault="002943A8" w:rsidP="00B25D5F">
            <w:pPr>
              <w:pStyle w:val="031Tablesubheading8pt"/>
              <w:rPr>
                <w:sz w:val="18"/>
                <w:szCs w:val="18"/>
              </w:rPr>
            </w:pPr>
            <w:r w:rsidRPr="005D71A4">
              <w:rPr>
                <w:sz w:val="18"/>
                <w:szCs w:val="18"/>
              </w:rPr>
              <w:t>Sponsor</w:t>
            </w:r>
          </w:p>
        </w:tc>
        <w:tc>
          <w:tcPr>
            <w:tcW w:w="850" w:type="dxa"/>
          </w:tcPr>
          <w:p w14:paraId="232B4637" w14:textId="5317A70A" w:rsidR="002943A8" w:rsidRPr="005D71A4" w:rsidRDefault="002943A8" w:rsidP="00B25D5F">
            <w:pPr>
              <w:pStyle w:val="031Tablesubheading8pt"/>
              <w:rPr>
                <w:sz w:val="18"/>
                <w:szCs w:val="18"/>
              </w:rPr>
            </w:pPr>
            <w:r w:rsidRPr="005D71A4">
              <w:rPr>
                <w:sz w:val="18"/>
                <w:szCs w:val="18"/>
              </w:rPr>
              <w:t>ARTG Number</w:t>
            </w:r>
          </w:p>
        </w:tc>
        <w:tc>
          <w:tcPr>
            <w:tcW w:w="992" w:type="dxa"/>
          </w:tcPr>
          <w:p w14:paraId="39BD9782" w14:textId="042BE636" w:rsidR="002943A8" w:rsidRPr="005D71A4" w:rsidRDefault="002943A8" w:rsidP="00B25D5F">
            <w:pPr>
              <w:pStyle w:val="031Tablesubheading8pt"/>
              <w:rPr>
                <w:sz w:val="18"/>
                <w:szCs w:val="18"/>
              </w:rPr>
            </w:pPr>
            <w:r w:rsidRPr="005D71A4">
              <w:rPr>
                <w:sz w:val="18"/>
                <w:szCs w:val="18"/>
              </w:rPr>
              <w:t>GMDN Code</w:t>
            </w:r>
          </w:p>
        </w:tc>
        <w:tc>
          <w:tcPr>
            <w:tcW w:w="851" w:type="dxa"/>
          </w:tcPr>
          <w:p w14:paraId="768E58D8" w14:textId="5C871D85" w:rsidR="002943A8" w:rsidRPr="005D71A4" w:rsidRDefault="002943A8" w:rsidP="00B25D5F">
            <w:pPr>
              <w:pStyle w:val="031Tablesubheading8pt"/>
              <w:rPr>
                <w:sz w:val="18"/>
                <w:szCs w:val="18"/>
              </w:rPr>
            </w:pPr>
            <w:r w:rsidRPr="005D71A4">
              <w:rPr>
                <w:sz w:val="18"/>
                <w:szCs w:val="18"/>
              </w:rPr>
              <w:t>Billing Code</w:t>
            </w:r>
          </w:p>
        </w:tc>
        <w:tc>
          <w:tcPr>
            <w:tcW w:w="850" w:type="dxa"/>
          </w:tcPr>
          <w:p w14:paraId="467E68B4" w14:textId="1D30DCAB" w:rsidR="002943A8" w:rsidRPr="005D71A4" w:rsidRDefault="002943A8" w:rsidP="00B25D5F">
            <w:pPr>
              <w:pStyle w:val="031Tablesubheading8pt"/>
              <w:rPr>
                <w:sz w:val="18"/>
                <w:szCs w:val="18"/>
              </w:rPr>
            </w:pPr>
            <w:r w:rsidRPr="005D71A4">
              <w:rPr>
                <w:sz w:val="18"/>
                <w:szCs w:val="18"/>
              </w:rPr>
              <w:t>Benefit</w:t>
            </w:r>
          </w:p>
        </w:tc>
      </w:tr>
      <w:tr w:rsidR="009B40F1" w:rsidRPr="00B0485F" w14:paraId="0217B5CD" w14:textId="77777777" w:rsidTr="008223EA">
        <w:tc>
          <w:tcPr>
            <w:tcW w:w="1560" w:type="dxa"/>
          </w:tcPr>
          <w:p w14:paraId="53B6741A" w14:textId="1DE9BFC6" w:rsidR="009B40F1" w:rsidRPr="005D71A4" w:rsidRDefault="009B40F1" w:rsidP="0078138A">
            <w:pPr>
              <w:pStyle w:val="051Tabletext228pt"/>
              <w:rPr>
                <w:sz w:val="18"/>
                <w:szCs w:val="18"/>
              </w:rPr>
            </w:pPr>
            <w:r w:rsidRPr="005D71A4">
              <w:rPr>
                <w:sz w:val="18"/>
                <w:szCs w:val="18"/>
              </w:rPr>
              <w:t xml:space="preserve">Advantage </w:t>
            </w:r>
          </w:p>
        </w:tc>
        <w:tc>
          <w:tcPr>
            <w:tcW w:w="1842" w:type="dxa"/>
          </w:tcPr>
          <w:p w14:paraId="200EE091" w14:textId="2B6EC75A" w:rsidR="009B40F1" w:rsidRPr="005D71A4" w:rsidRDefault="009B40F1" w:rsidP="0078138A">
            <w:pPr>
              <w:pStyle w:val="051Tabletext228pt"/>
              <w:rPr>
                <w:sz w:val="18"/>
                <w:szCs w:val="18"/>
              </w:rPr>
            </w:pPr>
            <w:r w:rsidRPr="005D71A4">
              <w:rPr>
                <w:sz w:val="18"/>
                <w:szCs w:val="18"/>
              </w:rPr>
              <w:t xml:space="preserve">Transvaginal Mid-Urethral Sling System with Blue </w:t>
            </w:r>
            <w:proofErr w:type="spellStart"/>
            <w:r w:rsidRPr="005D71A4">
              <w:rPr>
                <w:sz w:val="18"/>
                <w:szCs w:val="18"/>
              </w:rPr>
              <w:t>Prolene</w:t>
            </w:r>
            <w:proofErr w:type="spellEnd"/>
            <w:r w:rsidRPr="005D71A4">
              <w:rPr>
                <w:sz w:val="18"/>
                <w:szCs w:val="18"/>
              </w:rPr>
              <w:t xml:space="preserve"> Polypropylene Mesh</w:t>
            </w:r>
          </w:p>
        </w:tc>
        <w:tc>
          <w:tcPr>
            <w:tcW w:w="993" w:type="dxa"/>
          </w:tcPr>
          <w:p w14:paraId="1B501752" w14:textId="5EA3F6E0" w:rsidR="009B40F1" w:rsidRPr="005D71A4" w:rsidRDefault="00F704B9" w:rsidP="0078138A">
            <w:pPr>
              <w:pStyle w:val="051Tabletext228pt"/>
              <w:rPr>
                <w:sz w:val="18"/>
                <w:szCs w:val="18"/>
                <w:highlight w:val="yellow"/>
              </w:rPr>
            </w:pPr>
            <w:r>
              <w:rPr>
                <w:sz w:val="18"/>
                <w:szCs w:val="18"/>
              </w:rPr>
              <w:t>RP</w:t>
            </w:r>
          </w:p>
        </w:tc>
        <w:tc>
          <w:tcPr>
            <w:tcW w:w="1701" w:type="dxa"/>
          </w:tcPr>
          <w:p w14:paraId="21928383" w14:textId="7070676B" w:rsidR="009B40F1" w:rsidRPr="005D71A4" w:rsidRDefault="009B40F1" w:rsidP="0078138A">
            <w:pPr>
              <w:pStyle w:val="051Tabletext228pt"/>
              <w:rPr>
                <w:sz w:val="18"/>
                <w:szCs w:val="18"/>
              </w:rPr>
            </w:pPr>
            <w:r w:rsidRPr="005D71A4">
              <w:rPr>
                <w:sz w:val="18"/>
                <w:szCs w:val="18"/>
              </w:rPr>
              <w:t>Boston Scientific Australia Pty</w:t>
            </w:r>
            <w:r w:rsidR="007918FF" w:rsidRPr="005D71A4">
              <w:rPr>
                <w:sz w:val="18"/>
                <w:szCs w:val="18"/>
              </w:rPr>
              <w:t>.</w:t>
            </w:r>
            <w:r w:rsidRPr="005D71A4">
              <w:rPr>
                <w:sz w:val="18"/>
                <w:szCs w:val="18"/>
              </w:rPr>
              <w:t xml:space="preserve"> Ltd</w:t>
            </w:r>
            <w:r w:rsidR="007918FF" w:rsidRPr="005D71A4">
              <w:rPr>
                <w:sz w:val="18"/>
                <w:szCs w:val="18"/>
              </w:rPr>
              <w:t>.</w:t>
            </w:r>
          </w:p>
        </w:tc>
        <w:tc>
          <w:tcPr>
            <w:tcW w:w="850" w:type="dxa"/>
          </w:tcPr>
          <w:p w14:paraId="303CB24E" w14:textId="4D700E49" w:rsidR="009B40F1" w:rsidRPr="005D71A4" w:rsidRDefault="009B40F1" w:rsidP="0078138A">
            <w:pPr>
              <w:pStyle w:val="051Tabletext228pt"/>
              <w:rPr>
                <w:sz w:val="18"/>
                <w:szCs w:val="18"/>
              </w:rPr>
            </w:pPr>
            <w:r w:rsidRPr="005D71A4">
              <w:rPr>
                <w:sz w:val="18"/>
                <w:szCs w:val="18"/>
              </w:rPr>
              <w:t>373424</w:t>
            </w:r>
          </w:p>
        </w:tc>
        <w:tc>
          <w:tcPr>
            <w:tcW w:w="992" w:type="dxa"/>
          </w:tcPr>
          <w:p w14:paraId="4A937FB7" w14:textId="1B5C95C0" w:rsidR="009B40F1" w:rsidRPr="005D71A4" w:rsidRDefault="00A67E92" w:rsidP="0078138A">
            <w:pPr>
              <w:pStyle w:val="051Tabletext228pt"/>
              <w:rPr>
                <w:sz w:val="18"/>
                <w:szCs w:val="18"/>
              </w:rPr>
            </w:pPr>
            <w:r w:rsidRPr="005D71A4">
              <w:rPr>
                <w:sz w:val="18"/>
                <w:szCs w:val="18"/>
              </w:rPr>
              <w:t>47986</w:t>
            </w:r>
          </w:p>
        </w:tc>
        <w:tc>
          <w:tcPr>
            <w:tcW w:w="851" w:type="dxa"/>
          </w:tcPr>
          <w:p w14:paraId="65AEB6D9" w14:textId="4A3B60FE" w:rsidR="009B40F1" w:rsidRPr="005D71A4" w:rsidRDefault="009B40F1" w:rsidP="0078138A">
            <w:pPr>
              <w:pStyle w:val="051Tabletext228pt"/>
              <w:rPr>
                <w:sz w:val="18"/>
                <w:szCs w:val="18"/>
              </w:rPr>
            </w:pPr>
            <w:r w:rsidRPr="005D71A4">
              <w:rPr>
                <w:sz w:val="18"/>
                <w:szCs w:val="18"/>
              </w:rPr>
              <w:t>BS402</w:t>
            </w:r>
          </w:p>
        </w:tc>
        <w:tc>
          <w:tcPr>
            <w:tcW w:w="850" w:type="dxa"/>
          </w:tcPr>
          <w:p w14:paraId="6FC8B6BF" w14:textId="373775CB" w:rsidR="009B40F1" w:rsidRPr="005D71A4" w:rsidRDefault="009B40F1" w:rsidP="0078138A">
            <w:pPr>
              <w:pStyle w:val="051Tabletext228pt"/>
              <w:rPr>
                <w:sz w:val="18"/>
                <w:szCs w:val="18"/>
              </w:rPr>
            </w:pPr>
            <w:r w:rsidRPr="005D71A4">
              <w:rPr>
                <w:sz w:val="18"/>
                <w:szCs w:val="18"/>
              </w:rPr>
              <w:t>$822</w:t>
            </w:r>
          </w:p>
        </w:tc>
      </w:tr>
      <w:tr w:rsidR="009B40F1" w:rsidRPr="00B0485F" w14:paraId="64602711" w14:textId="77777777" w:rsidTr="008223EA">
        <w:tc>
          <w:tcPr>
            <w:tcW w:w="1560" w:type="dxa"/>
          </w:tcPr>
          <w:p w14:paraId="7166AD9C" w14:textId="53E298EB" w:rsidR="009B40F1" w:rsidRPr="005D71A4" w:rsidRDefault="009B40F1" w:rsidP="0078138A">
            <w:pPr>
              <w:pStyle w:val="051Tabletext228pt"/>
              <w:rPr>
                <w:sz w:val="18"/>
                <w:szCs w:val="18"/>
              </w:rPr>
            </w:pPr>
            <w:proofErr w:type="spellStart"/>
            <w:r w:rsidRPr="005D71A4">
              <w:rPr>
                <w:sz w:val="18"/>
                <w:szCs w:val="18"/>
              </w:rPr>
              <w:t>Obtryx</w:t>
            </w:r>
            <w:proofErr w:type="spellEnd"/>
            <w:r w:rsidRPr="005D71A4">
              <w:rPr>
                <w:sz w:val="18"/>
                <w:szCs w:val="18"/>
              </w:rPr>
              <w:t xml:space="preserve"> II </w:t>
            </w:r>
          </w:p>
        </w:tc>
        <w:tc>
          <w:tcPr>
            <w:tcW w:w="1842" w:type="dxa"/>
          </w:tcPr>
          <w:p w14:paraId="5E08DF1E" w14:textId="37114551" w:rsidR="009B40F1" w:rsidRPr="005D71A4" w:rsidRDefault="009B40F1" w:rsidP="0078138A">
            <w:pPr>
              <w:pStyle w:val="051Tabletext228pt"/>
              <w:rPr>
                <w:sz w:val="18"/>
                <w:szCs w:val="18"/>
              </w:rPr>
            </w:pPr>
            <w:proofErr w:type="spellStart"/>
            <w:r w:rsidRPr="005D71A4">
              <w:rPr>
                <w:sz w:val="18"/>
                <w:szCs w:val="18"/>
              </w:rPr>
              <w:t>Transobturator</w:t>
            </w:r>
            <w:proofErr w:type="spellEnd"/>
            <w:r w:rsidRPr="005D71A4">
              <w:rPr>
                <w:sz w:val="18"/>
                <w:szCs w:val="18"/>
              </w:rPr>
              <w:t xml:space="preserve"> Mid-Urethral Sling System with Blue </w:t>
            </w:r>
            <w:proofErr w:type="spellStart"/>
            <w:r w:rsidRPr="005D71A4">
              <w:rPr>
                <w:sz w:val="18"/>
                <w:szCs w:val="18"/>
              </w:rPr>
              <w:t>Prolene</w:t>
            </w:r>
            <w:proofErr w:type="spellEnd"/>
            <w:r w:rsidRPr="005D71A4">
              <w:rPr>
                <w:sz w:val="18"/>
                <w:szCs w:val="18"/>
              </w:rPr>
              <w:t xml:space="preserve"> Polypropylene Mesh</w:t>
            </w:r>
          </w:p>
        </w:tc>
        <w:tc>
          <w:tcPr>
            <w:tcW w:w="993" w:type="dxa"/>
          </w:tcPr>
          <w:p w14:paraId="4EAD0E70" w14:textId="00B10D9C" w:rsidR="009B40F1" w:rsidRPr="005D71A4" w:rsidRDefault="00F704B9" w:rsidP="0078138A">
            <w:pPr>
              <w:pStyle w:val="051Tabletext228pt"/>
              <w:rPr>
                <w:sz w:val="18"/>
                <w:szCs w:val="18"/>
              </w:rPr>
            </w:pPr>
            <w:r>
              <w:rPr>
                <w:sz w:val="18"/>
                <w:szCs w:val="18"/>
              </w:rPr>
              <w:t>TO</w:t>
            </w:r>
          </w:p>
        </w:tc>
        <w:tc>
          <w:tcPr>
            <w:tcW w:w="1701" w:type="dxa"/>
          </w:tcPr>
          <w:p w14:paraId="69CA90A6" w14:textId="5F18C746" w:rsidR="009B40F1" w:rsidRPr="005D71A4" w:rsidRDefault="009B40F1" w:rsidP="0078138A">
            <w:pPr>
              <w:pStyle w:val="051Tabletext228pt"/>
              <w:rPr>
                <w:sz w:val="18"/>
                <w:szCs w:val="18"/>
              </w:rPr>
            </w:pPr>
            <w:r w:rsidRPr="005D71A4">
              <w:rPr>
                <w:sz w:val="18"/>
                <w:szCs w:val="18"/>
              </w:rPr>
              <w:t>Boston Scientific Australia Pty</w:t>
            </w:r>
            <w:r w:rsidR="007918FF" w:rsidRPr="005D71A4">
              <w:rPr>
                <w:sz w:val="18"/>
                <w:szCs w:val="18"/>
              </w:rPr>
              <w:t>.</w:t>
            </w:r>
            <w:r w:rsidRPr="005D71A4">
              <w:rPr>
                <w:sz w:val="18"/>
                <w:szCs w:val="18"/>
              </w:rPr>
              <w:t xml:space="preserve"> Ltd</w:t>
            </w:r>
            <w:r w:rsidR="007918FF" w:rsidRPr="005D71A4">
              <w:rPr>
                <w:sz w:val="18"/>
                <w:szCs w:val="18"/>
              </w:rPr>
              <w:t>.</w:t>
            </w:r>
          </w:p>
        </w:tc>
        <w:tc>
          <w:tcPr>
            <w:tcW w:w="850" w:type="dxa"/>
          </w:tcPr>
          <w:p w14:paraId="055FD778" w14:textId="5EE0F6B0" w:rsidR="009B40F1" w:rsidRPr="005D71A4" w:rsidRDefault="009B40F1" w:rsidP="0078138A">
            <w:pPr>
              <w:pStyle w:val="051Tabletext228pt"/>
              <w:rPr>
                <w:sz w:val="18"/>
                <w:szCs w:val="18"/>
              </w:rPr>
            </w:pPr>
            <w:r w:rsidRPr="005D71A4">
              <w:rPr>
                <w:sz w:val="18"/>
                <w:szCs w:val="18"/>
              </w:rPr>
              <w:t>373426</w:t>
            </w:r>
          </w:p>
        </w:tc>
        <w:tc>
          <w:tcPr>
            <w:tcW w:w="992" w:type="dxa"/>
          </w:tcPr>
          <w:p w14:paraId="4DF7E355" w14:textId="23C54E21" w:rsidR="009B40F1" w:rsidRPr="005D71A4" w:rsidRDefault="00714DEC" w:rsidP="0078138A">
            <w:pPr>
              <w:pStyle w:val="051Tabletext228pt"/>
              <w:rPr>
                <w:sz w:val="18"/>
                <w:szCs w:val="18"/>
              </w:rPr>
            </w:pPr>
            <w:r w:rsidRPr="005D71A4">
              <w:rPr>
                <w:sz w:val="18"/>
                <w:szCs w:val="18"/>
              </w:rPr>
              <w:t>47986</w:t>
            </w:r>
          </w:p>
        </w:tc>
        <w:tc>
          <w:tcPr>
            <w:tcW w:w="851" w:type="dxa"/>
          </w:tcPr>
          <w:p w14:paraId="33BCFD8B" w14:textId="6304BD99" w:rsidR="009B40F1" w:rsidRPr="005D71A4" w:rsidRDefault="009B40F1" w:rsidP="0078138A">
            <w:pPr>
              <w:pStyle w:val="051Tabletext228pt"/>
              <w:rPr>
                <w:sz w:val="18"/>
                <w:szCs w:val="18"/>
              </w:rPr>
            </w:pPr>
            <w:r w:rsidRPr="005D71A4">
              <w:rPr>
                <w:sz w:val="18"/>
                <w:szCs w:val="18"/>
              </w:rPr>
              <w:t>BS403</w:t>
            </w:r>
          </w:p>
        </w:tc>
        <w:tc>
          <w:tcPr>
            <w:tcW w:w="850" w:type="dxa"/>
          </w:tcPr>
          <w:p w14:paraId="72488D43" w14:textId="5EC48206" w:rsidR="009B40F1" w:rsidRPr="005D71A4" w:rsidRDefault="009B40F1" w:rsidP="0078138A">
            <w:pPr>
              <w:pStyle w:val="051Tabletext228pt"/>
              <w:rPr>
                <w:sz w:val="18"/>
                <w:szCs w:val="18"/>
              </w:rPr>
            </w:pPr>
            <w:r w:rsidRPr="005D71A4">
              <w:rPr>
                <w:sz w:val="18"/>
                <w:szCs w:val="18"/>
              </w:rPr>
              <w:t>$822</w:t>
            </w:r>
          </w:p>
        </w:tc>
      </w:tr>
      <w:tr w:rsidR="009B40F1" w:rsidRPr="00B0485F" w14:paraId="4924DBE2" w14:textId="77777777" w:rsidTr="008223EA">
        <w:tc>
          <w:tcPr>
            <w:tcW w:w="1560" w:type="dxa"/>
          </w:tcPr>
          <w:p w14:paraId="32209973" w14:textId="2C9CF504" w:rsidR="009B40F1" w:rsidRPr="005D71A4" w:rsidRDefault="009B40F1" w:rsidP="0078138A">
            <w:pPr>
              <w:pStyle w:val="051Tabletext228pt"/>
              <w:rPr>
                <w:sz w:val="18"/>
                <w:szCs w:val="18"/>
              </w:rPr>
            </w:pPr>
            <w:r w:rsidRPr="005D71A4">
              <w:rPr>
                <w:sz w:val="18"/>
                <w:szCs w:val="18"/>
              </w:rPr>
              <w:lastRenderedPageBreak/>
              <w:t>Advantage Fit</w:t>
            </w:r>
          </w:p>
        </w:tc>
        <w:tc>
          <w:tcPr>
            <w:tcW w:w="1842" w:type="dxa"/>
          </w:tcPr>
          <w:p w14:paraId="1850F598" w14:textId="2BB58587" w:rsidR="009B40F1" w:rsidRPr="005D71A4" w:rsidRDefault="009B40F1" w:rsidP="0078138A">
            <w:pPr>
              <w:pStyle w:val="051Tabletext228pt"/>
              <w:rPr>
                <w:sz w:val="18"/>
                <w:szCs w:val="18"/>
              </w:rPr>
            </w:pPr>
            <w:r w:rsidRPr="005D71A4">
              <w:rPr>
                <w:sz w:val="18"/>
                <w:szCs w:val="18"/>
              </w:rPr>
              <w:t xml:space="preserve">Transvaginal Mid-Urethral Sling System with Blue </w:t>
            </w:r>
            <w:proofErr w:type="spellStart"/>
            <w:r w:rsidRPr="005D71A4">
              <w:rPr>
                <w:sz w:val="18"/>
                <w:szCs w:val="18"/>
              </w:rPr>
              <w:t>Prolene</w:t>
            </w:r>
            <w:proofErr w:type="spellEnd"/>
            <w:r w:rsidRPr="005D71A4">
              <w:rPr>
                <w:sz w:val="18"/>
                <w:szCs w:val="18"/>
              </w:rPr>
              <w:t xml:space="preserve"> Polypropylene Mesh </w:t>
            </w:r>
          </w:p>
        </w:tc>
        <w:tc>
          <w:tcPr>
            <w:tcW w:w="993" w:type="dxa"/>
          </w:tcPr>
          <w:p w14:paraId="2CF5C972" w14:textId="51A86F13" w:rsidR="009B40F1" w:rsidRPr="005D71A4" w:rsidRDefault="00F704B9" w:rsidP="0078138A">
            <w:pPr>
              <w:pStyle w:val="051Tabletext228pt"/>
              <w:rPr>
                <w:sz w:val="18"/>
                <w:szCs w:val="18"/>
              </w:rPr>
            </w:pPr>
            <w:r>
              <w:rPr>
                <w:sz w:val="18"/>
                <w:szCs w:val="18"/>
              </w:rPr>
              <w:t>RP</w:t>
            </w:r>
          </w:p>
        </w:tc>
        <w:tc>
          <w:tcPr>
            <w:tcW w:w="1701" w:type="dxa"/>
          </w:tcPr>
          <w:p w14:paraId="7238FE1E" w14:textId="5AC3813E" w:rsidR="009B40F1" w:rsidRPr="005D71A4" w:rsidRDefault="009B40F1" w:rsidP="0078138A">
            <w:pPr>
              <w:pStyle w:val="051Tabletext228pt"/>
              <w:rPr>
                <w:sz w:val="18"/>
                <w:szCs w:val="18"/>
              </w:rPr>
            </w:pPr>
            <w:r w:rsidRPr="005D71A4">
              <w:rPr>
                <w:sz w:val="18"/>
                <w:szCs w:val="18"/>
              </w:rPr>
              <w:t>Boston Scientific Australia Pty</w:t>
            </w:r>
            <w:r w:rsidR="007918FF" w:rsidRPr="005D71A4">
              <w:rPr>
                <w:sz w:val="18"/>
                <w:szCs w:val="18"/>
              </w:rPr>
              <w:t>.</w:t>
            </w:r>
            <w:r w:rsidRPr="005D71A4">
              <w:rPr>
                <w:sz w:val="18"/>
                <w:szCs w:val="18"/>
              </w:rPr>
              <w:t xml:space="preserve"> Ltd</w:t>
            </w:r>
            <w:r w:rsidR="007918FF" w:rsidRPr="005D71A4">
              <w:rPr>
                <w:sz w:val="18"/>
                <w:szCs w:val="18"/>
              </w:rPr>
              <w:t>.</w:t>
            </w:r>
          </w:p>
        </w:tc>
        <w:tc>
          <w:tcPr>
            <w:tcW w:w="850" w:type="dxa"/>
          </w:tcPr>
          <w:p w14:paraId="6824F77B" w14:textId="7764948D" w:rsidR="009B40F1" w:rsidRPr="005D71A4" w:rsidRDefault="009B40F1" w:rsidP="0078138A">
            <w:pPr>
              <w:pStyle w:val="051Tabletext228pt"/>
              <w:rPr>
                <w:sz w:val="18"/>
                <w:szCs w:val="18"/>
              </w:rPr>
            </w:pPr>
            <w:r w:rsidRPr="005D71A4">
              <w:rPr>
                <w:sz w:val="18"/>
                <w:szCs w:val="18"/>
              </w:rPr>
              <w:t>373425</w:t>
            </w:r>
          </w:p>
        </w:tc>
        <w:tc>
          <w:tcPr>
            <w:tcW w:w="992" w:type="dxa"/>
          </w:tcPr>
          <w:p w14:paraId="62FDAE2E" w14:textId="63530008" w:rsidR="009B40F1" w:rsidRPr="005D71A4" w:rsidRDefault="00714DEC" w:rsidP="0078138A">
            <w:pPr>
              <w:pStyle w:val="051Tabletext228pt"/>
              <w:rPr>
                <w:sz w:val="18"/>
                <w:szCs w:val="18"/>
              </w:rPr>
            </w:pPr>
            <w:r w:rsidRPr="005D71A4">
              <w:rPr>
                <w:sz w:val="18"/>
                <w:szCs w:val="18"/>
              </w:rPr>
              <w:t>47986</w:t>
            </w:r>
          </w:p>
        </w:tc>
        <w:tc>
          <w:tcPr>
            <w:tcW w:w="851" w:type="dxa"/>
          </w:tcPr>
          <w:p w14:paraId="58DBFA1F" w14:textId="47EA81CE" w:rsidR="009B40F1" w:rsidRPr="005D71A4" w:rsidRDefault="009B40F1" w:rsidP="0078138A">
            <w:pPr>
              <w:pStyle w:val="051Tabletext228pt"/>
              <w:rPr>
                <w:sz w:val="18"/>
                <w:szCs w:val="18"/>
              </w:rPr>
            </w:pPr>
            <w:r w:rsidRPr="005D71A4">
              <w:rPr>
                <w:sz w:val="18"/>
                <w:szCs w:val="18"/>
              </w:rPr>
              <w:t>BS404</w:t>
            </w:r>
          </w:p>
        </w:tc>
        <w:tc>
          <w:tcPr>
            <w:tcW w:w="850" w:type="dxa"/>
          </w:tcPr>
          <w:p w14:paraId="53679DFD" w14:textId="6553BF3A" w:rsidR="009B40F1" w:rsidRPr="005D71A4" w:rsidRDefault="009B40F1" w:rsidP="0078138A">
            <w:pPr>
              <w:pStyle w:val="051Tabletext228pt"/>
              <w:rPr>
                <w:sz w:val="18"/>
                <w:szCs w:val="18"/>
              </w:rPr>
            </w:pPr>
            <w:r w:rsidRPr="005D71A4">
              <w:rPr>
                <w:sz w:val="18"/>
                <w:szCs w:val="18"/>
              </w:rPr>
              <w:t>$822</w:t>
            </w:r>
          </w:p>
        </w:tc>
      </w:tr>
      <w:tr w:rsidR="009B40F1" w:rsidRPr="00B0485F" w14:paraId="3AA6AF09" w14:textId="77777777" w:rsidTr="008223EA">
        <w:tc>
          <w:tcPr>
            <w:tcW w:w="1560" w:type="dxa"/>
          </w:tcPr>
          <w:p w14:paraId="03B97E50" w14:textId="1EB78F1D" w:rsidR="009B40F1" w:rsidRPr="005D71A4" w:rsidRDefault="009B40F1" w:rsidP="0078138A">
            <w:pPr>
              <w:pStyle w:val="051Tabletext228pt"/>
              <w:rPr>
                <w:sz w:val="18"/>
                <w:szCs w:val="18"/>
              </w:rPr>
            </w:pPr>
            <w:r w:rsidRPr="005D71A4">
              <w:rPr>
                <w:sz w:val="18"/>
                <w:szCs w:val="18"/>
              </w:rPr>
              <w:t>GYNECARE TVT™: Device Tension Free Vaginal Tape / EXACT™ Continence System</w:t>
            </w:r>
          </w:p>
        </w:tc>
        <w:tc>
          <w:tcPr>
            <w:tcW w:w="1842" w:type="dxa"/>
          </w:tcPr>
          <w:p w14:paraId="453517E2" w14:textId="02FA0E9A" w:rsidR="009B40F1" w:rsidRPr="005D71A4" w:rsidRDefault="009B40F1" w:rsidP="0078138A">
            <w:pPr>
              <w:pStyle w:val="051Tabletext228pt"/>
              <w:rPr>
                <w:sz w:val="18"/>
                <w:szCs w:val="18"/>
              </w:rPr>
            </w:pPr>
            <w:r w:rsidRPr="005D71A4">
              <w:rPr>
                <w:sz w:val="18"/>
                <w:szCs w:val="18"/>
              </w:rPr>
              <w:t>Female stress urinary incontinence surgical mesh</w:t>
            </w:r>
          </w:p>
        </w:tc>
        <w:tc>
          <w:tcPr>
            <w:tcW w:w="993" w:type="dxa"/>
          </w:tcPr>
          <w:p w14:paraId="1592F6C5" w14:textId="083536F3" w:rsidR="009B40F1" w:rsidRPr="005D71A4" w:rsidRDefault="00F704B9" w:rsidP="0078138A">
            <w:pPr>
              <w:pStyle w:val="051Tabletext228pt"/>
              <w:rPr>
                <w:sz w:val="18"/>
                <w:szCs w:val="18"/>
              </w:rPr>
            </w:pPr>
            <w:r>
              <w:rPr>
                <w:sz w:val="18"/>
                <w:szCs w:val="18"/>
              </w:rPr>
              <w:t>RP</w:t>
            </w:r>
          </w:p>
        </w:tc>
        <w:tc>
          <w:tcPr>
            <w:tcW w:w="1701" w:type="dxa"/>
          </w:tcPr>
          <w:p w14:paraId="2F61E925" w14:textId="152F7378" w:rsidR="009B40F1" w:rsidRPr="005D71A4" w:rsidRDefault="009B40F1" w:rsidP="0078138A">
            <w:pPr>
              <w:pStyle w:val="051Tabletext228pt"/>
              <w:rPr>
                <w:sz w:val="18"/>
                <w:szCs w:val="18"/>
              </w:rPr>
            </w:pPr>
            <w:r w:rsidRPr="005D71A4">
              <w:rPr>
                <w:sz w:val="18"/>
                <w:szCs w:val="18"/>
              </w:rPr>
              <w:t>Johnson &amp; Johnson Medical Pty</w:t>
            </w:r>
            <w:r w:rsidR="007918FF" w:rsidRPr="005D71A4">
              <w:rPr>
                <w:sz w:val="18"/>
                <w:szCs w:val="18"/>
              </w:rPr>
              <w:t>.</w:t>
            </w:r>
            <w:r w:rsidRPr="005D71A4">
              <w:rPr>
                <w:sz w:val="18"/>
                <w:szCs w:val="18"/>
              </w:rPr>
              <w:t xml:space="preserve"> Ltd</w:t>
            </w:r>
            <w:r w:rsidR="007918FF" w:rsidRPr="005D71A4">
              <w:rPr>
                <w:sz w:val="18"/>
                <w:szCs w:val="18"/>
              </w:rPr>
              <w:t>.</w:t>
            </w:r>
          </w:p>
        </w:tc>
        <w:tc>
          <w:tcPr>
            <w:tcW w:w="850" w:type="dxa"/>
          </w:tcPr>
          <w:p w14:paraId="3C0CEE37" w14:textId="68A3E486" w:rsidR="009B40F1" w:rsidRPr="005D71A4" w:rsidRDefault="009B40F1" w:rsidP="0078138A">
            <w:pPr>
              <w:pStyle w:val="051Tabletext228pt"/>
              <w:rPr>
                <w:sz w:val="18"/>
                <w:szCs w:val="18"/>
              </w:rPr>
            </w:pPr>
            <w:r w:rsidRPr="005D71A4">
              <w:rPr>
                <w:sz w:val="18"/>
                <w:szCs w:val="18"/>
              </w:rPr>
              <w:t>351636</w:t>
            </w:r>
            <w:r w:rsidRPr="005D71A4">
              <w:rPr>
                <w:sz w:val="18"/>
                <w:szCs w:val="18"/>
              </w:rPr>
              <w:br/>
              <w:t>351635</w:t>
            </w:r>
          </w:p>
        </w:tc>
        <w:tc>
          <w:tcPr>
            <w:tcW w:w="992" w:type="dxa"/>
          </w:tcPr>
          <w:p w14:paraId="37B7101C" w14:textId="77777777" w:rsidR="009B40F1" w:rsidRPr="005D71A4" w:rsidRDefault="00761B46" w:rsidP="0078138A">
            <w:pPr>
              <w:pStyle w:val="051Tabletext228pt"/>
              <w:rPr>
                <w:sz w:val="18"/>
                <w:szCs w:val="18"/>
              </w:rPr>
            </w:pPr>
            <w:r w:rsidRPr="005D71A4">
              <w:rPr>
                <w:sz w:val="18"/>
                <w:szCs w:val="18"/>
              </w:rPr>
              <w:t>47986</w:t>
            </w:r>
          </w:p>
          <w:p w14:paraId="161B4C08" w14:textId="036687ED" w:rsidR="00EE14B0" w:rsidRPr="005D71A4" w:rsidRDefault="00EE14B0" w:rsidP="0078138A">
            <w:pPr>
              <w:pStyle w:val="051Tabletext228pt"/>
              <w:rPr>
                <w:sz w:val="18"/>
                <w:szCs w:val="18"/>
              </w:rPr>
            </w:pPr>
            <w:r w:rsidRPr="005D71A4">
              <w:rPr>
                <w:sz w:val="18"/>
                <w:szCs w:val="18"/>
              </w:rPr>
              <w:t>47986</w:t>
            </w:r>
          </w:p>
        </w:tc>
        <w:tc>
          <w:tcPr>
            <w:tcW w:w="851" w:type="dxa"/>
          </w:tcPr>
          <w:p w14:paraId="6AA36A11" w14:textId="0A8292E8" w:rsidR="009B40F1" w:rsidRPr="005D71A4" w:rsidRDefault="009B40F1" w:rsidP="0078138A">
            <w:pPr>
              <w:pStyle w:val="051Tabletext228pt"/>
              <w:rPr>
                <w:sz w:val="18"/>
                <w:szCs w:val="18"/>
              </w:rPr>
            </w:pPr>
            <w:r w:rsidRPr="005D71A4">
              <w:rPr>
                <w:sz w:val="18"/>
                <w:szCs w:val="18"/>
              </w:rPr>
              <w:t>JJ070</w:t>
            </w:r>
          </w:p>
        </w:tc>
        <w:tc>
          <w:tcPr>
            <w:tcW w:w="850" w:type="dxa"/>
          </w:tcPr>
          <w:p w14:paraId="01C34124" w14:textId="00F8FA35" w:rsidR="009B40F1" w:rsidRPr="005D71A4" w:rsidRDefault="009B40F1" w:rsidP="0078138A">
            <w:pPr>
              <w:pStyle w:val="051Tabletext228pt"/>
              <w:rPr>
                <w:sz w:val="18"/>
                <w:szCs w:val="18"/>
              </w:rPr>
            </w:pPr>
            <w:r w:rsidRPr="005D71A4">
              <w:rPr>
                <w:sz w:val="18"/>
                <w:szCs w:val="18"/>
              </w:rPr>
              <w:t>$822</w:t>
            </w:r>
          </w:p>
        </w:tc>
      </w:tr>
      <w:tr w:rsidR="009B40F1" w:rsidRPr="00B0485F" w14:paraId="1DFFF81E" w14:textId="77777777" w:rsidTr="008223EA">
        <w:tc>
          <w:tcPr>
            <w:tcW w:w="1560" w:type="dxa"/>
          </w:tcPr>
          <w:p w14:paraId="69049158" w14:textId="4E0ECCDD" w:rsidR="009B40F1" w:rsidRPr="005D71A4" w:rsidRDefault="009B40F1" w:rsidP="0078138A">
            <w:pPr>
              <w:pStyle w:val="051Tabletext228pt"/>
              <w:rPr>
                <w:sz w:val="18"/>
                <w:szCs w:val="18"/>
              </w:rPr>
            </w:pPr>
            <w:r w:rsidRPr="005D71A4">
              <w:rPr>
                <w:sz w:val="18"/>
                <w:szCs w:val="18"/>
              </w:rPr>
              <w:t>GYNECARE TVT™ Obturator System</w:t>
            </w:r>
          </w:p>
        </w:tc>
        <w:tc>
          <w:tcPr>
            <w:tcW w:w="1842" w:type="dxa"/>
          </w:tcPr>
          <w:p w14:paraId="7B6E41E6" w14:textId="28D6067E" w:rsidR="009B40F1" w:rsidRPr="005D71A4" w:rsidRDefault="009B40F1" w:rsidP="0078138A">
            <w:pPr>
              <w:pStyle w:val="051Tabletext228pt"/>
              <w:rPr>
                <w:sz w:val="18"/>
                <w:szCs w:val="18"/>
              </w:rPr>
            </w:pPr>
            <w:r w:rsidRPr="005D71A4">
              <w:rPr>
                <w:sz w:val="18"/>
                <w:szCs w:val="18"/>
              </w:rPr>
              <w:t>Female stress urinary incontinence surgical mesh</w:t>
            </w:r>
          </w:p>
        </w:tc>
        <w:tc>
          <w:tcPr>
            <w:tcW w:w="993" w:type="dxa"/>
          </w:tcPr>
          <w:p w14:paraId="264E5A52" w14:textId="0FEA1961" w:rsidR="009B40F1" w:rsidRPr="005D71A4" w:rsidRDefault="00F704B9" w:rsidP="0078138A">
            <w:pPr>
              <w:pStyle w:val="051Tabletext228pt"/>
              <w:rPr>
                <w:sz w:val="18"/>
                <w:szCs w:val="18"/>
              </w:rPr>
            </w:pPr>
            <w:r>
              <w:rPr>
                <w:sz w:val="18"/>
                <w:szCs w:val="18"/>
              </w:rPr>
              <w:t>TO</w:t>
            </w:r>
            <w:r w:rsidRPr="005D71A4">
              <w:rPr>
                <w:sz w:val="18"/>
                <w:szCs w:val="18"/>
              </w:rPr>
              <w:t xml:space="preserve"> </w:t>
            </w:r>
            <w:r w:rsidR="00147F5F" w:rsidRPr="005D71A4">
              <w:rPr>
                <w:sz w:val="18"/>
                <w:szCs w:val="18"/>
              </w:rPr>
              <w:t>(inside-out)</w:t>
            </w:r>
          </w:p>
        </w:tc>
        <w:tc>
          <w:tcPr>
            <w:tcW w:w="1701" w:type="dxa"/>
          </w:tcPr>
          <w:p w14:paraId="1D23843A" w14:textId="79858BA6" w:rsidR="009B40F1" w:rsidRPr="005D71A4" w:rsidRDefault="009B40F1" w:rsidP="0078138A">
            <w:pPr>
              <w:pStyle w:val="051Tabletext228pt"/>
              <w:rPr>
                <w:sz w:val="18"/>
                <w:szCs w:val="18"/>
              </w:rPr>
            </w:pPr>
            <w:r w:rsidRPr="005D71A4">
              <w:rPr>
                <w:sz w:val="18"/>
                <w:szCs w:val="18"/>
              </w:rPr>
              <w:t>Johnson &amp; Johnson Medical Pty</w:t>
            </w:r>
            <w:r w:rsidR="007918FF" w:rsidRPr="005D71A4">
              <w:rPr>
                <w:sz w:val="18"/>
                <w:szCs w:val="18"/>
              </w:rPr>
              <w:t>.</w:t>
            </w:r>
            <w:r w:rsidRPr="005D71A4">
              <w:rPr>
                <w:sz w:val="18"/>
                <w:szCs w:val="18"/>
              </w:rPr>
              <w:t xml:space="preserve"> Ltd</w:t>
            </w:r>
            <w:r w:rsidR="007918FF" w:rsidRPr="005D71A4">
              <w:rPr>
                <w:sz w:val="18"/>
                <w:szCs w:val="18"/>
              </w:rPr>
              <w:t>.</w:t>
            </w:r>
          </w:p>
        </w:tc>
        <w:tc>
          <w:tcPr>
            <w:tcW w:w="850" w:type="dxa"/>
          </w:tcPr>
          <w:p w14:paraId="1C8C0624" w14:textId="7282D9E5" w:rsidR="009B40F1" w:rsidRPr="005D71A4" w:rsidRDefault="009B40F1" w:rsidP="0078138A">
            <w:pPr>
              <w:pStyle w:val="051Tabletext228pt"/>
              <w:rPr>
                <w:sz w:val="18"/>
                <w:szCs w:val="18"/>
              </w:rPr>
            </w:pPr>
            <w:r w:rsidRPr="005D71A4">
              <w:rPr>
                <w:sz w:val="18"/>
                <w:szCs w:val="18"/>
              </w:rPr>
              <w:t>351637</w:t>
            </w:r>
          </w:p>
        </w:tc>
        <w:tc>
          <w:tcPr>
            <w:tcW w:w="992" w:type="dxa"/>
          </w:tcPr>
          <w:p w14:paraId="70F25C05" w14:textId="54EC3466" w:rsidR="009B40F1" w:rsidRPr="005D71A4" w:rsidRDefault="00E252AA" w:rsidP="0078138A">
            <w:pPr>
              <w:pStyle w:val="051Tabletext228pt"/>
              <w:rPr>
                <w:sz w:val="18"/>
                <w:szCs w:val="18"/>
              </w:rPr>
            </w:pPr>
            <w:r w:rsidRPr="005D71A4">
              <w:rPr>
                <w:sz w:val="18"/>
                <w:szCs w:val="18"/>
              </w:rPr>
              <w:t>47986</w:t>
            </w:r>
          </w:p>
        </w:tc>
        <w:tc>
          <w:tcPr>
            <w:tcW w:w="851" w:type="dxa"/>
          </w:tcPr>
          <w:p w14:paraId="39549647" w14:textId="4E4A844E" w:rsidR="009B40F1" w:rsidRPr="005D71A4" w:rsidRDefault="009B40F1" w:rsidP="0078138A">
            <w:pPr>
              <w:pStyle w:val="051Tabletext228pt"/>
              <w:rPr>
                <w:sz w:val="18"/>
                <w:szCs w:val="18"/>
              </w:rPr>
            </w:pPr>
            <w:r w:rsidRPr="005D71A4">
              <w:rPr>
                <w:sz w:val="18"/>
                <w:szCs w:val="18"/>
              </w:rPr>
              <w:t>JJ442</w:t>
            </w:r>
          </w:p>
        </w:tc>
        <w:tc>
          <w:tcPr>
            <w:tcW w:w="850" w:type="dxa"/>
          </w:tcPr>
          <w:p w14:paraId="5CA0C059" w14:textId="14987F33" w:rsidR="009B40F1" w:rsidRPr="005D71A4" w:rsidRDefault="009B40F1" w:rsidP="0078138A">
            <w:pPr>
              <w:pStyle w:val="051Tabletext228pt"/>
              <w:rPr>
                <w:sz w:val="18"/>
                <w:szCs w:val="18"/>
              </w:rPr>
            </w:pPr>
            <w:r w:rsidRPr="005D71A4">
              <w:rPr>
                <w:sz w:val="18"/>
                <w:szCs w:val="18"/>
              </w:rPr>
              <w:t>$822</w:t>
            </w:r>
          </w:p>
        </w:tc>
      </w:tr>
      <w:tr w:rsidR="009B40F1" w:rsidRPr="00B0485F" w14:paraId="746CFE08" w14:textId="77777777" w:rsidTr="008223EA">
        <w:tc>
          <w:tcPr>
            <w:tcW w:w="1560" w:type="dxa"/>
          </w:tcPr>
          <w:p w14:paraId="32F18422" w14:textId="35C3CFD7" w:rsidR="009B40F1" w:rsidRPr="005D71A4" w:rsidRDefault="009B40F1" w:rsidP="0078138A">
            <w:pPr>
              <w:pStyle w:val="051Tabletext228pt"/>
              <w:rPr>
                <w:sz w:val="18"/>
                <w:szCs w:val="18"/>
              </w:rPr>
            </w:pPr>
            <w:r w:rsidRPr="005D71A4">
              <w:rPr>
                <w:sz w:val="18"/>
                <w:szCs w:val="18"/>
              </w:rPr>
              <w:t>GYNECARE TVT™ ABBREVO™ Continence System</w:t>
            </w:r>
          </w:p>
        </w:tc>
        <w:tc>
          <w:tcPr>
            <w:tcW w:w="1842" w:type="dxa"/>
          </w:tcPr>
          <w:p w14:paraId="39FB2A38" w14:textId="34092A32" w:rsidR="009B40F1" w:rsidRPr="005D71A4" w:rsidRDefault="009B40F1" w:rsidP="0078138A">
            <w:pPr>
              <w:pStyle w:val="051Tabletext228pt"/>
              <w:rPr>
                <w:sz w:val="18"/>
                <w:szCs w:val="18"/>
              </w:rPr>
            </w:pPr>
            <w:r w:rsidRPr="005D71A4">
              <w:rPr>
                <w:sz w:val="18"/>
                <w:szCs w:val="18"/>
              </w:rPr>
              <w:t>Female stress urinary incontinence surgical mesh</w:t>
            </w:r>
          </w:p>
        </w:tc>
        <w:tc>
          <w:tcPr>
            <w:tcW w:w="993" w:type="dxa"/>
          </w:tcPr>
          <w:p w14:paraId="750B88C6" w14:textId="4B217CDC" w:rsidR="009B40F1" w:rsidRPr="005D71A4" w:rsidRDefault="00F704B9" w:rsidP="0078138A">
            <w:pPr>
              <w:pStyle w:val="051Tabletext228pt"/>
              <w:rPr>
                <w:sz w:val="18"/>
                <w:szCs w:val="18"/>
                <w:highlight w:val="yellow"/>
              </w:rPr>
            </w:pPr>
            <w:r>
              <w:rPr>
                <w:sz w:val="18"/>
                <w:szCs w:val="18"/>
              </w:rPr>
              <w:t>TO</w:t>
            </w:r>
            <w:r w:rsidRPr="005D71A4">
              <w:rPr>
                <w:sz w:val="18"/>
                <w:szCs w:val="18"/>
              </w:rPr>
              <w:t xml:space="preserve"> </w:t>
            </w:r>
            <w:r w:rsidR="00122D25" w:rsidRPr="005D71A4">
              <w:rPr>
                <w:sz w:val="18"/>
                <w:szCs w:val="18"/>
              </w:rPr>
              <w:t>(inside-out)</w:t>
            </w:r>
          </w:p>
        </w:tc>
        <w:tc>
          <w:tcPr>
            <w:tcW w:w="1701" w:type="dxa"/>
          </w:tcPr>
          <w:p w14:paraId="37ABAF00" w14:textId="4CA1BB26" w:rsidR="009B40F1" w:rsidRPr="005D71A4" w:rsidRDefault="009B40F1" w:rsidP="0078138A">
            <w:pPr>
              <w:pStyle w:val="051Tabletext228pt"/>
              <w:rPr>
                <w:sz w:val="18"/>
                <w:szCs w:val="18"/>
              </w:rPr>
            </w:pPr>
            <w:r w:rsidRPr="005D71A4">
              <w:rPr>
                <w:sz w:val="18"/>
                <w:szCs w:val="18"/>
              </w:rPr>
              <w:t>Johnson &amp; Johnson Medical Pty</w:t>
            </w:r>
            <w:r w:rsidR="007918FF" w:rsidRPr="005D71A4">
              <w:rPr>
                <w:sz w:val="18"/>
                <w:szCs w:val="18"/>
              </w:rPr>
              <w:t>.</w:t>
            </w:r>
            <w:r w:rsidRPr="005D71A4">
              <w:rPr>
                <w:sz w:val="18"/>
                <w:szCs w:val="18"/>
              </w:rPr>
              <w:t xml:space="preserve"> Ltd</w:t>
            </w:r>
            <w:r w:rsidR="007918FF" w:rsidRPr="005D71A4">
              <w:rPr>
                <w:sz w:val="18"/>
                <w:szCs w:val="18"/>
              </w:rPr>
              <w:t>.</w:t>
            </w:r>
          </w:p>
        </w:tc>
        <w:tc>
          <w:tcPr>
            <w:tcW w:w="850" w:type="dxa"/>
          </w:tcPr>
          <w:p w14:paraId="21F120B5" w14:textId="20EE11A4" w:rsidR="009B40F1" w:rsidRPr="005D71A4" w:rsidRDefault="009B40F1" w:rsidP="0078138A">
            <w:pPr>
              <w:pStyle w:val="051Tabletext228pt"/>
              <w:rPr>
                <w:sz w:val="18"/>
                <w:szCs w:val="18"/>
              </w:rPr>
            </w:pPr>
            <w:r w:rsidRPr="005D71A4">
              <w:rPr>
                <w:sz w:val="18"/>
                <w:szCs w:val="18"/>
              </w:rPr>
              <w:t>351638</w:t>
            </w:r>
          </w:p>
        </w:tc>
        <w:tc>
          <w:tcPr>
            <w:tcW w:w="992" w:type="dxa"/>
          </w:tcPr>
          <w:p w14:paraId="421B6F37" w14:textId="5616D846" w:rsidR="009B40F1" w:rsidRPr="005D71A4" w:rsidRDefault="000974FE" w:rsidP="0078138A">
            <w:pPr>
              <w:pStyle w:val="051Tabletext228pt"/>
              <w:rPr>
                <w:sz w:val="18"/>
                <w:szCs w:val="18"/>
              </w:rPr>
            </w:pPr>
            <w:r w:rsidRPr="005D71A4">
              <w:rPr>
                <w:sz w:val="18"/>
                <w:szCs w:val="18"/>
              </w:rPr>
              <w:t>47986</w:t>
            </w:r>
          </w:p>
        </w:tc>
        <w:tc>
          <w:tcPr>
            <w:tcW w:w="851" w:type="dxa"/>
          </w:tcPr>
          <w:p w14:paraId="511F3BB3" w14:textId="1BC27CC1" w:rsidR="009B40F1" w:rsidRPr="005D71A4" w:rsidRDefault="009B40F1" w:rsidP="0078138A">
            <w:pPr>
              <w:pStyle w:val="051Tabletext228pt"/>
              <w:rPr>
                <w:sz w:val="18"/>
                <w:szCs w:val="18"/>
              </w:rPr>
            </w:pPr>
            <w:r w:rsidRPr="005D71A4">
              <w:rPr>
                <w:sz w:val="18"/>
                <w:szCs w:val="18"/>
              </w:rPr>
              <w:t>MN039</w:t>
            </w:r>
          </w:p>
        </w:tc>
        <w:tc>
          <w:tcPr>
            <w:tcW w:w="850" w:type="dxa"/>
          </w:tcPr>
          <w:p w14:paraId="793B565C" w14:textId="13417481" w:rsidR="009B40F1" w:rsidRPr="005D71A4" w:rsidRDefault="009B40F1" w:rsidP="0078138A">
            <w:pPr>
              <w:pStyle w:val="051Tabletext228pt"/>
              <w:rPr>
                <w:sz w:val="18"/>
                <w:szCs w:val="18"/>
              </w:rPr>
            </w:pPr>
            <w:r w:rsidRPr="005D71A4">
              <w:rPr>
                <w:sz w:val="18"/>
                <w:szCs w:val="18"/>
              </w:rPr>
              <w:t>$822</w:t>
            </w:r>
          </w:p>
        </w:tc>
      </w:tr>
    </w:tbl>
    <w:p w14:paraId="0FBAE606" w14:textId="3F6A44DB" w:rsidR="00E9184D" w:rsidRDefault="00CC640E" w:rsidP="00E9184D">
      <w:pPr>
        <w:pStyle w:val="101Tablefootnotes8pt"/>
      </w:pPr>
      <w:r w:rsidRPr="00B0485F">
        <w:t xml:space="preserve">Source: </w:t>
      </w:r>
      <w:r w:rsidR="003A50C6" w:rsidRPr="00B0485F">
        <w:t>Prostheses List</w:t>
      </w:r>
      <w:r w:rsidR="000E53EE" w:rsidRPr="00B0485F">
        <w:t xml:space="preserve"> [accessed </w:t>
      </w:r>
      <w:r w:rsidR="00125F95">
        <w:t>April</w:t>
      </w:r>
      <w:r w:rsidR="000E53EE" w:rsidRPr="00B0485F">
        <w:t xml:space="preserve"> 2023], </w:t>
      </w:r>
      <w:r w:rsidR="00B778C7" w:rsidRPr="00B0485F">
        <w:t xml:space="preserve">ARTG public summary </w:t>
      </w:r>
      <w:r w:rsidR="009116F8" w:rsidRPr="00B0485F">
        <w:t xml:space="preserve">documents, </w:t>
      </w:r>
      <w:r w:rsidR="00D6786A" w:rsidRPr="00E41081">
        <w:t xml:space="preserve">NICE </w:t>
      </w:r>
      <w:r w:rsidR="008673C9" w:rsidRPr="00E41081">
        <w:t>E</w:t>
      </w:r>
      <w:r w:rsidR="00B06CFC" w:rsidRPr="00E41081">
        <w:t>vidence Reviews [E]</w:t>
      </w:r>
      <w:r w:rsidR="00E41081" w:rsidRPr="00E41081">
        <w:t xml:space="preserve"> </w:t>
      </w:r>
      <w:r w:rsidR="00245CE2">
        <w:rPr>
          <w:noProof/>
        </w:rPr>
        <w:t>(NICE 2019b)</w:t>
      </w:r>
      <w:r w:rsidR="003A3007" w:rsidRPr="00E41081">
        <w:t xml:space="preserve"> </w:t>
      </w:r>
      <w:r w:rsidR="00416495" w:rsidRPr="00E41081">
        <w:t>p26</w:t>
      </w:r>
      <w:r w:rsidR="00E9184D">
        <w:t xml:space="preserve">, </w:t>
      </w:r>
      <w:r w:rsidR="00265C9D">
        <w:t>Boston Scientific Advantage Fit and Advantage Brochure</w:t>
      </w:r>
      <w:r w:rsidR="00FA6755">
        <w:t xml:space="preserve"> (</w:t>
      </w:r>
      <w:hyperlink r:id="rId20" w:tooltip="Link goes to Boston Scientific Advantage Fit and Advantage brochure" w:history="1">
        <w:r w:rsidR="00146D2D" w:rsidRPr="00146D2D">
          <w:rPr>
            <w:rStyle w:val="Hyperlink"/>
          </w:rPr>
          <w:t>https://www.bostonscientific.com/content/dam/bostonscientific/uro-wh/portfolio-group/sling-systems/advantage-fit/pdf/WH-465202-AD-adv-adv-fit-brochure.pdf</w:t>
        </w:r>
      </w:hyperlink>
      <w:r w:rsidR="00FA6755" w:rsidRPr="00F65393">
        <w:rPr>
          <w:rStyle w:val="FootnoteReference"/>
        </w:rPr>
        <w:t xml:space="preserve"> </w:t>
      </w:r>
      <w:r w:rsidR="00FA6755">
        <w:t>)</w:t>
      </w:r>
      <w:r w:rsidR="008C6408" w:rsidRPr="00F65393">
        <w:t>,</w:t>
      </w:r>
      <w:r w:rsidR="008C6408">
        <w:t xml:space="preserve"> Boston Scientific </w:t>
      </w:r>
      <w:proofErr w:type="spellStart"/>
      <w:r w:rsidR="008C6408">
        <w:t>Obtryx</w:t>
      </w:r>
      <w:proofErr w:type="spellEnd"/>
      <w:r w:rsidR="008C6408">
        <w:t xml:space="preserve"> II brochure</w:t>
      </w:r>
      <w:r w:rsidR="00125F95">
        <w:t xml:space="preserve"> (</w:t>
      </w:r>
      <w:hyperlink r:id="rId21" w:tooltip="This link goes to the Boston Scientific Obtryx II brochure" w:history="1">
        <w:r w:rsidR="00C662F6" w:rsidRPr="00841621">
          <w:rPr>
            <w:rStyle w:val="Hyperlink"/>
          </w:rPr>
          <w:t>https://www.bostonscientific.com/content/dam/bostonscientific/uro-wh/portfolio-group/sling-systems/obtryx-II/pdf/WH-118616-AG-obtryx-II-brochure.pdf</w:t>
        </w:r>
      </w:hyperlink>
      <w:r w:rsidR="00125F95">
        <w:t>)</w:t>
      </w:r>
    </w:p>
    <w:p w14:paraId="7C8C4EFC" w14:textId="00A13DAD" w:rsidR="005447C6" w:rsidRDefault="005447C6" w:rsidP="00E9184D">
      <w:pPr>
        <w:pStyle w:val="101Tablefootnotes8pt"/>
      </w:pPr>
      <w:r>
        <w:t>Abbreviations</w:t>
      </w:r>
      <w:r w:rsidRPr="00775FD8">
        <w:t xml:space="preserve">: </w:t>
      </w:r>
      <w:r w:rsidR="000530BE" w:rsidRPr="00775FD8">
        <w:t>ARTG</w:t>
      </w:r>
      <w:r w:rsidR="008B058E" w:rsidRPr="00775FD8">
        <w:t>, Australian Register of Therapeutic Goods</w:t>
      </w:r>
      <w:r w:rsidR="000530BE" w:rsidRPr="00775FD8">
        <w:t>; GMDN</w:t>
      </w:r>
      <w:r w:rsidR="009237EB" w:rsidRPr="00775FD8">
        <w:t>, Global</w:t>
      </w:r>
      <w:r w:rsidR="009237EB">
        <w:t xml:space="preserve"> Medical Device Nomenclature</w:t>
      </w:r>
      <w:r w:rsidR="008C6FE1">
        <w:t xml:space="preserve">; RP, retropubic; TO, </w:t>
      </w:r>
      <w:proofErr w:type="spellStart"/>
      <w:r w:rsidR="008C6FE1">
        <w:t>transobturator</w:t>
      </w:r>
      <w:proofErr w:type="spellEnd"/>
      <w:r w:rsidR="008C6FE1">
        <w:t>.</w:t>
      </w:r>
      <w:r w:rsidR="008B058E">
        <w:t xml:space="preserve"> </w:t>
      </w:r>
    </w:p>
    <w:p w14:paraId="3784B14D" w14:textId="41771058" w:rsidR="008C3478" w:rsidRPr="00B0485F" w:rsidRDefault="00152DE4" w:rsidP="000530BE">
      <w:pPr>
        <w:pStyle w:val="111Tablefootnoteslast-nostick8pt"/>
      </w:pPr>
      <w:r w:rsidRPr="00B0485F">
        <w:t xml:space="preserve">Note: </w:t>
      </w:r>
      <w:r w:rsidR="00453363" w:rsidRPr="00B0485F">
        <w:t>GMDN 47986</w:t>
      </w:r>
      <w:r w:rsidR="00055647" w:rsidRPr="00B0485F">
        <w:t xml:space="preserve"> =</w:t>
      </w:r>
      <w:r w:rsidR="00453363" w:rsidRPr="00B0485F">
        <w:t xml:space="preserve"> Female stress urinary incontinence surgical mesh</w:t>
      </w:r>
    </w:p>
    <w:p w14:paraId="1BFB0AE8" w14:textId="4156D939" w:rsidR="0026434D" w:rsidRPr="00B0485F" w:rsidRDefault="0026434D" w:rsidP="00A36819">
      <w:pPr>
        <w:pStyle w:val="Heading5"/>
      </w:pPr>
      <w:r w:rsidRPr="00B0485F">
        <w:t>Utilisation</w:t>
      </w:r>
    </w:p>
    <w:p w14:paraId="43AF71BA" w14:textId="5CBB41DD" w:rsidR="002E7E3E" w:rsidRPr="00B0485F" w:rsidRDefault="002E7E3E" w:rsidP="00A36819">
      <w:pPr>
        <w:pStyle w:val="Heading6"/>
      </w:pPr>
      <w:r w:rsidRPr="00B0485F">
        <w:t xml:space="preserve">MBS item number </w:t>
      </w:r>
      <w:r w:rsidR="00C2148F" w:rsidRPr="00B0485F">
        <w:t>355</w:t>
      </w:r>
      <w:r w:rsidRPr="00B0485F">
        <w:t>99</w:t>
      </w:r>
    </w:p>
    <w:p w14:paraId="25C30F45" w14:textId="53296BD0" w:rsidR="00BA1118" w:rsidRPr="00B0485F" w:rsidRDefault="00B53076" w:rsidP="00BA1118">
      <w:pPr>
        <w:pStyle w:val="BodyText"/>
      </w:pPr>
      <w:r w:rsidRPr="00B0485F">
        <w:t xml:space="preserve">The procedure to insert a female synthetic </w:t>
      </w:r>
      <w:r w:rsidR="00794195">
        <w:t>MUS</w:t>
      </w:r>
      <w:r w:rsidRPr="00B0485F">
        <w:t xml:space="preserve"> is claimed under MBS item</w:t>
      </w:r>
      <w:r w:rsidR="001863B4" w:rsidRPr="00B0485F">
        <w:t xml:space="preserve"> </w:t>
      </w:r>
      <w:r w:rsidR="00603FD3" w:rsidRPr="00B0485F">
        <w:t xml:space="preserve">number </w:t>
      </w:r>
      <w:r w:rsidR="001863B4" w:rsidRPr="00B0485F">
        <w:t>35599</w:t>
      </w:r>
      <w:r w:rsidR="00753F3D" w:rsidRPr="00B0485F">
        <w:t xml:space="preserve"> </w:t>
      </w:r>
      <w:r w:rsidR="006B7BF6" w:rsidRPr="00B0485F">
        <w:rPr>
          <w:i/>
          <w:iCs/>
        </w:rPr>
        <w:t>‘Stress incontinence, procedure using a female synthetic mid-urethral sling, with diagnostic cystoscopy to assess the integrity of the lower urinary tract, other than a service associated with a service to which item 36812 applies (H)</w:t>
      </w:r>
      <w:r w:rsidR="00CC79BD" w:rsidRPr="00B0485F">
        <w:rPr>
          <w:i/>
          <w:iCs/>
        </w:rPr>
        <w:t>’</w:t>
      </w:r>
      <w:r w:rsidR="00A84ADE" w:rsidRPr="00B0485F">
        <w:t xml:space="preserve">. </w:t>
      </w:r>
      <w:r w:rsidR="00522141" w:rsidRPr="00B0485F">
        <w:t xml:space="preserve">Historical utilisation data for MBS item </w:t>
      </w:r>
      <w:r w:rsidR="007C1627" w:rsidRPr="00B0485F">
        <w:t xml:space="preserve">35599 for </w:t>
      </w:r>
      <w:r w:rsidR="00794195">
        <w:t>MUS</w:t>
      </w:r>
      <w:r w:rsidR="0028256C" w:rsidRPr="00B0485F">
        <w:t xml:space="preserve"> </w:t>
      </w:r>
      <w:r w:rsidR="00D7353A" w:rsidRPr="00B0485F">
        <w:t xml:space="preserve">procedures in females </w:t>
      </w:r>
      <w:r w:rsidR="007C1627" w:rsidRPr="00B0485F">
        <w:t xml:space="preserve">are presented in </w:t>
      </w:r>
      <w:r w:rsidR="007C1627" w:rsidRPr="00B0485F">
        <w:rPr>
          <w:b/>
          <w:bCs/>
        </w:rPr>
        <w:fldChar w:fldCharType="begin"/>
      </w:r>
      <w:r w:rsidR="007C1627" w:rsidRPr="00B0485F">
        <w:rPr>
          <w:b/>
          <w:bCs/>
        </w:rPr>
        <w:instrText xml:space="preserve"> REF _Ref130375091 \h  \* MERGEFORMAT </w:instrText>
      </w:r>
      <w:r w:rsidR="007C1627" w:rsidRPr="00B0485F">
        <w:rPr>
          <w:b/>
          <w:bCs/>
        </w:rPr>
      </w:r>
      <w:r w:rsidR="007C1627" w:rsidRPr="00B0485F">
        <w:rPr>
          <w:b/>
          <w:bCs/>
        </w:rPr>
        <w:fldChar w:fldCharType="separate"/>
      </w:r>
      <w:r w:rsidR="007105D3" w:rsidRPr="007105D3">
        <w:rPr>
          <w:b/>
          <w:bCs/>
        </w:rPr>
        <w:t xml:space="preserve">Table </w:t>
      </w:r>
      <w:r w:rsidR="007105D3" w:rsidRPr="007105D3">
        <w:rPr>
          <w:b/>
          <w:bCs/>
          <w:noProof/>
        </w:rPr>
        <w:t>3</w:t>
      </w:r>
      <w:r w:rsidR="007C1627" w:rsidRPr="00B0485F">
        <w:rPr>
          <w:b/>
          <w:bCs/>
        </w:rPr>
        <w:fldChar w:fldCharType="end"/>
      </w:r>
      <w:r w:rsidR="00D7353A" w:rsidRPr="00B0485F">
        <w:t xml:space="preserve">. </w:t>
      </w:r>
      <w:r w:rsidR="009C6A26" w:rsidRPr="00B0485F">
        <w:t xml:space="preserve">It should be noted that </w:t>
      </w:r>
      <w:r w:rsidR="000E5C09" w:rsidRPr="00B0485F">
        <w:t xml:space="preserve">the MBS item descriptor </w:t>
      </w:r>
      <w:r w:rsidR="00150E64" w:rsidRPr="00B0485F">
        <w:t xml:space="preserve">used </w:t>
      </w:r>
      <w:r w:rsidR="009C6A26" w:rsidRPr="00B0485F">
        <w:t>p</w:t>
      </w:r>
      <w:r w:rsidR="00D7353A" w:rsidRPr="00B0485F">
        <w:t xml:space="preserve">rior </w:t>
      </w:r>
      <w:r w:rsidR="00736B8A" w:rsidRPr="00B0485F">
        <w:t>to the 13 August 2021 did not restrict this MBS item to use in fe</w:t>
      </w:r>
      <w:r w:rsidR="00150E64" w:rsidRPr="00B0485F">
        <w:t>males</w:t>
      </w:r>
      <w:r w:rsidR="00D52A29" w:rsidRPr="00B0485F">
        <w:t xml:space="preserve">. </w:t>
      </w:r>
      <w:r w:rsidR="00B11D19">
        <w:t>D</w:t>
      </w:r>
      <w:r w:rsidR="00CF6C48" w:rsidRPr="00B0485F">
        <w:t xml:space="preserve">ata presented in </w:t>
      </w:r>
      <w:r w:rsidR="009F4490" w:rsidRPr="00B0485F">
        <w:rPr>
          <w:b/>
          <w:bCs/>
        </w:rPr>
        <w:fldChar w:fldCharType="begin"/>
      </w:r>
      <w:r w:rsidR="009F4490" w:rsidRPr="00B0485F">
        <w:rPr>
          <w:b/>
          <w:bCs/>
        </w:rPr>
        <w:instrText xml:space="preserve"> REF _Ref130375091 \h </w:instrText>
      </w:r>
      <w:r w:rsidR="004F1301" w:rsidRPr="00B0485F">
        <w:rPr>
          <w:b/>
          <w:bCs/>
        </w:rPr>
        <w:instrText xml:space="preserve"> \* MERGEFORMAT </w:instrText>
      </w:r>
      <w:r w:rsidR="009F4490" w:rsidRPr="00B0485F">
        <w:rPr>
          <w:b/>
          <w:bCs/>
        </w:rPr>
      </w:r>
      <w:r w:rsidR="009F4490" w:rsidRPr="00B0485F">
        <w:rPr>
          <w:b/>
          <w:bCs/>
        </w:rPr>
        <w:fldChar w:fldCharType="separate"/>
      </w:r>
      <w:r w:rsidR="007105D3" w:rsidRPr="007105D3">
        <w:rPr>
          <w:b/>
          <w:bCs/>
        </w:rPr>
        <w:t xml:space="preserve">Table </w:t>
      </w:r>
      <w:r w:rsidR="007105D3" w:rsidRPr="007105D3">
        <w:rPr>
          <w:b/>
          <w:bCs/>
          <w:noProof/>
        </w:rPr>
        <w:t>3</w:t>
      </w:r>
      <w:r w:rsidR="009F4490" w:rsidRPr="00B0485F">
        <w:rPr>
          <w:b/>
          <w:bCs/>
        </w:rPr>
        <w:fldChar w:fldCharType="end"/>
      </w:r>
      <w:r w:rsidR="009F4490" w:rsidRPr="00B0485F">
        <w:t xml:space="preserve"> </w:t>
      </w:r>
      <w:r w:rsidR="000552A2">
        <w:t>includes</w:t>
      </w:r>
      <w:r w:rsidR="009F4490" w:rsidRPr="00B0485F">
        <w:t xml:space="preserve"> </w:t>
      </w:r>
      <w:r w:rsidR="005A7D85">
        <w:t xml:space="preserve">only </w:t>
      </w:r>
      <w:r w:rsidR="004F1301" w:rsidRPr="00B0485F">
        <w:t xml:space="preserve">procedures </w:t>
      </w:r>
      <w:r w:rsidR="002F2183">
        <w:t xml:space="preserve">performed </w:t>
      </w:r>
      <w:r w:rsidR="004F1301" w:rsidRPr="00B0485F">
        <w:t xml:space="preserve">in </w:t>
      </w:r>
      <w:r w:rsidR="009F4490" w:rsidRPr="00B0485F">
        <w:t>female</w:t>
      </w:r>
      <w:r w:rsidR="004F1301" w:rsidRPr="00B0485F">
        <w:t>s</w:t>
      </w:r>
      <w:r w:rsidR="009F4490" w:rsidRPr="00B0485F">
        <w:t>.</w:t>
      </w:r>
    </w:p>
    <w:p w14:paraId="02656EA7" w14:textId="383F6658" w:rsidR="00DF4968" w:rsidRPr="00B0485F" w:rsidRDefault="00394BB8" w:rsidP="00EB4C4F">
      <w:pPr>
        <w:pStyle w:val="Caption"/>
      </w:pPr>
      <w:bookmarkStart w:id="39" w:name="_Ref130375091"/>
      <w:bookmarkStart w:id="40" w:name="_Toc165627871"/>
      <w:r w:rsidRPr="00B0485F">
        <w:t xml:space="preserve">Table </w:t>
      </w:r>
      <w:fldSimple w:instr=" SEQ Table \* ARABIC ">
        <w:r w:rsidR="007105D3">
          <w:rPr>
            <w:noProof/>
          </w:rPr>
          <w:t>3</w:t>
        </w:r>
      </w:fldSimple>
      <w:bookmarkEnd w:id="39"/>
      <w:r w:rsidRPr="00B0485F">
        <w:tab/>
        <w:t>Utilisation of MBS item 35599</w:t>
      </w:r>
      <w:r w:rsidR="00867A20" w:rsidRPr="00B0485F">
        <w:t xml:space="preserve"> </w:t>
      </w:r>
      <w:r w:rsidR="00607DBF" w:rsidRPr="00B0485F">
        <w:t xml:space="preserve">from January </w:t>
      </w:r>
      <w:r w:rsidR="00867A20" w:rsidRPr="00B0485F">
        <w:t>201</w:t>
      </w:r>
      <w:r w:rsidR="00607DBF" w:rsidRPr="00B0485F">
        <w:t>3</w:t>
      </w:r>
      <w:r w:rsidR="00867A20" w:rsidRPr="00B0485F">
        <w:t xml:space="preserve"> </w:t>
      </w:r>
      <w:r w:rsidR="00607DBF" w:rsidRPr="00B0485F">
        <w:t>to December</w:t>
      </w:r>
      <w:r w:rsidR="00867A20" w:rsidRPr="00B0485F">
        <w:t xml:space="preserve"> 2022</w:t>
      </w:r>
      <w:r w:rsidR="00E3432B" w:rsidRPr="00B0485F">
        <w:t xml:space="preserve"> for females</w:t>
      </w:r>
      <w:bookmarkEnd w:id="40"/>
    </w:p>
    <w:tbl>
      <w:tblPr>
        <w:tblStyle w:val="TableGrid"/>
        <w:tblW w:w="0" w:type="auto"/>
        <w:tblLook w:val="04A0" w:firstRow="1" w:lastRow="0" w:firstColumn="1" w:lastColumn="0" w:noHBand="0" w:noVBand="1"/>
        <w:tblCaption w:val="Utilisation of MBS item 35599 from January 2013 to December 2022 for females"/>
        <w:tblDescription w:val="This table shows the utilisation of MBS item 35599 by calendar year and age for the calendar years 2013 through to 2022. Total utilisaiton by calendar year and age category are also provided. "/>
      </w:tblPr>
      <w:tblGrid>
        <w:gridCol w:w="1167"/>
        <w:gridCol w:w="707"/>
        <w:gridCol w:w="755"/>
        <w:gridCol w:w="777"/>
        <w:gridCol w:w="864"/>
        <w:gridCol w:w="870"/>
        <w:gridCol w:w="865"/>
        <w:gridCol w:w="887"/>
        <w:gridCol w:w="886"/>
        <w:gridCol w:w="832"/>
        <w:gridCol w:w="1028"/>
      </w:tblGrid>
      <w:tr w:rsidR="00574766" w:rsidRPr="00B0485F" w14:paraId="6998DE10" w14:textId="77777777" w:rsidTr="00D16303">
        <w:trPr>
          <w:cnfStyle w:val="100000000000" w:firstRow="1" w:lastRow="0" w:firstColumn="0" w:lastColumn="0" w:oddVBand="0" w:evenVBand="0" w:oddHBand="0" w:evenHBand="0" w:firstRowFirstColumn="0" w:firstRowLastColumn="0" w:lastRowFirstColumn="0" w:lastRowLastColumn="0"/>
        </w:trPr>
        <w:tc>
          <w:tcPr>
            <w:tcW w:w="1624" w:type="dxa"/>
          </w:tcPr>
          <w:p w14:paraId="468FDE47" w14:textId="310F9A40" w:rsidR="00E93506" w:rsidRPr="005D71A4" w:rsidRDefault="00066ADC" w:rsidP="00EB4C4F">
            <w:pPr>
              <w:pStyle w:val="031Tablesubheading8pt"/>
              <w:rPr>
                <w:sz w:val="18"/>
                <w:szCs w:val="18"/>
              </w:rPr>
            </w:pPr>
            <w:r w:rsidRPr="005D71A4">
              <w:rPr>
                <w:sz w:val="18"/>
                <w:szCs w:val="18"/>
              </w:rPr>
              <w:t>Calendar Year</w:t>
            </w:r>
          </w:p>
        </w:tc>
        <w:tc>
          <w:tcPr>
            <w:tcW w:w="1203" w:type="dxa"/>
          </w:tcPr>
          <w:p w14:paraId="184F2941" w14:textId="2C8C9C4E" w:rsidR="00E93506" w:rsidRPr="005D71A4" w:rsidRDefault="00E93506" w:rsidP="00EB4C4F">
            <w:pPr>
              <w:pStyle w:val="031Tablesubheading8pt"/>
              <w:rPr>
                <w:sz w:val="18"/>
                <w:szCs w:val="18"/>
              </w:rPr>
            </w:pPr>
          </w:p>
        </w:tc>
        <w:tc>
          <w:tcPr>
            <w:tcW w:w="1239" w:type="dxa"/>
          </w:tcPr>
          <w:p w14:paraId="2FEE65D3" w14:textId="77777777" w:rsidR="00E93506" w:rsidRPr="005D71A4" w:rsidRDefault="00E93506" w:rsidP="00EB4C4F">
            <w:pPr>
              <w:pStyle w:val="031Tablesubheading8pt"/>
              <w:rPr>
                <w:sz w:val="18"/>
                <w:szCs w:val="18"/>
              </w:rPr>
            </w:pPr>
          </w:p>
        </w:tc>
        <w:tc>
          <w:tcPr>
            <w:tcW w:w="1239" w:type="dxa"/>
          </w:tcPr>
          <w:p w14:paraId="67C526DE" w14:textId="77777777" w:rsidR="00E93506" w:rsidRPr="005D71A4" w:rsidRDefault="00E93506" w:rsidP="00EB4C4F">
            <w:pPr>
              <w:pStyle w:val="031Tablesubheading8pt"/>
              <w:rPr>
                <w:sz w:val="18"/>
                <w:szCs w:val="18"/>
              </w:rPr>
            </w:pPr>
          </w:p>
        </w:tc>
        <w:tc>
          <w:tcPr>
            <w:tcW w:w="1245" w:type="dxa"/>
          </w:tcPr>
          <w:p w14:paraId="1170FCFA" w14:textId="77777777" w:rsidR="00E93506" w:rsidRPr="005D71A4" w:rsidRDefault="00E93506" w:rsidP="00EB4C4F">
            <w:pPr>
              <w:pStyle w:val="031Tablesubheading8pt"/>
              <w:rPr>
                <w:sz w:val="18"/>
                <w:szCs w:val="18"/>
              </w:rPr>
            </w:pPr>
          </w:p>
        </w:tc>
        <w:tc>
          <w:tcPr>
            <w:tcW w:w="1259" w:type="dxa"/>
          </w:tcPr>
          <w:p w14:paraId="36A5ACA2" w14:textId="31E37EBE" w:rsidR="00E93506" w:rsidRPr="005D71A4" w:rsidRDefault="00357A97" w:rsidP="00EB4C4F">
            <w:pPr>
              <w:pStyle w:val="031Tablesubheading8pt"/>
              <w:rPr>
                <w:sz w:val="18"/>
                <w:szCs w:val="18"/>
              </w:rPr>
            </w:pPr>
            <w:r w:rsidRPr="005D71A4">
              <w:rPr>
                <w:sz w:val="18"/>
                <w:szCs w:val="18"/>
              </w:rPr>
              <w:t>Age (</w:t>
            </w:r>
            <w:proofErr w:type="spellStart"/>
            <w:r w:rsidRPr="005D71A4">
              <w:rPr>
                <w:sz w:val="18"/>
                <w:szCs w:val="18"/>
              </w:rPr>
              <w:t>yrs</w:t>
            </w:r>
            <w:proofErr w:type="spellEnd"/>
            <w:r w:rsidRPr="005D71A4">
              <w:rPr>
                <w:sz w:val="18"/>
                <w:szCs w:val="18"/>
              </w:rPr>
              <w:t>)</w:t>
            </w:r>
          </w:p>
        </w:tc>
        <w:tc>
          <w:tcPr>
            <w:tcW w:w="1246" w:type="dxa"/>
          </w:tcPr>
          <w:p w14:paraId="0CDC83F8" w14:textId="77777777" w:rsidR="00E93506" w:rsidRPr="005D71A4" w:rsidRDefault="00E93506" w:rsidP="00EB4C4F">
            <w:pPr>
              <w:pStyle w:val="031Tablesubheading8pt"/>
              <w:rPr>
                <w:sz w:val="18"/>
                <w:szCs w:val="18"/>
              </w:rPr>
            </w:pPr>
          </w:p>
        </w:tc>
        <w:tc>
          <w:tcPr>
            <w:tcW w:w="1305" w:type="dxa"/>
          </w:tcPr>
          <w:p w14:paraId="02BF6EA7" w14:textId="77777777" w:rsidR="00E93506" w:rsidRPr="005D71A4" w:rsidRDefault="00E93506" w:rsidP="00EB4C4F">
            <w:pPr>
              <w:pStyle w:val="031Tablesubheading8pt"/>
              <w:rPr>
                <w:sz w:val="18"/>
                <w:szCs w:val="18"/>
              </w:rPr>
            </w:pPr>
          </w:p>
        </w:tc>
        <w:tc>
          <w:tcPr>
            <w:tcW w:w="1302" w:type="dxa"/>
          </w:tcPr>
          <w:p w14:paraId="0504C0EE" w14:textId="77777777" w:rsidR="00E93506" w:rsidRPr="005D71A4" w:rsidRDefault="00E93506" w:rsidP="00EB4C4F">
            <w:pPr>
              <w:pStyle w:val="031Tablesubheading8pt"/>
              <w:rPr>
                <w:sz w:val="18"/>
                <w:szCs w:val="18"/>
              </w:rPr>
            </w:pPr>
          </w:p>
        </w:tc>
        <w:tc>
          <w:tcPr>
            <w:tcW w:w="1382" w:type="dxa"/>
          </w:tcPr>
          <w:p w14:paraId="226A3026" w14:textId="77777777" w:rsidR="00E93506" w:rsidRPr="005D71A4" w:rsidRDefault="00E93506" w:rsidP="00EB4C4F">
            <w:pPr>
              <w:pStyle w:val="031Tablesubheading8pt"/>
              <w:rPr>
                <w:rFonts w:cs="Calibri"/>
                <w:sz w:val="18"/>
                <w:szCs w:val="18"/>
              </w:rPr>
            </w:pPr>
          </w:p>
        </w:tc>
        <w:tc>
          <w:tcPr>
            <w:tcW w:w="1526" w:type="dxa"/>
          </w:tcPr>
          <w:p w14:paraId="5EC5E96D" w14:textId="77777777" w:rsidR="00E93506" w:rsidRPr="005D71A4" w:rsidRDefault="00E93506" w:rsidP="00EB4C4F">
            <w:pPr>
              <w:pStyle w:val="031Tablesubheading8pt"/>
              <w:rPr>
                <w:sz w:val="18"/>
                <w:szCs w:val="18"/>
              </w:rPr>
            </w:pPr>
          </w:p>
        </w:tc>
      </w:tr>
      <w:tr w:rsidR="00807A76" w:rsidRPr="00B0485F" w14:paraId="4472FC14" w14:textId="77777777" w:rsidTr="00FD0D5D">
        <w:tc>
          <w:tcPr>
            <w:tcW w:w="1624" w:type="dxa"/>
            <w:shd w:val="clear" w:color="auto" w:fill="E7E6E6" w:themeFill="background2"/>
          </w:tcPr>
          <w:p w14:paraId="1D1F6EC0" w14:textId="5056E803" w:rsidR="00D16303" w:rsidRPr="005D71A4" w:rsidRDefault="00D16303" w:rsidP="00EB4C4F">
            <w:pPr>
              <w:pStyle w:val="031Tablesubheading8pt"/>
              <w:rPr>
                <w:sz w:val="18"/>
                <w:szCs w:val="18"/>
              </w:rPr>
            </w:pPr>
          </w:p>
        </w:tc>
        <w:tc>
          <w:tcPr>
            <w:tcW w:w="1203" w:type="dxa"/>
            <w:shd w:val="clear" w:color="auto" w:fill="E7E6E6" w:themeFill="background2"/>
          </w:tcPr>
          <w:p w14:paraId="30E93F26" w14:textId="374148A2" w:rsidR="00D16303" w:rsidRPr="005D71A4" w:rsidRDefault="00D16303" w:rsidP="00EB4C4F">
            <w:pPr>
              <w:pStyle w:val="031Tablesubheading8pt"/>
              <w:rPr>
                <w:sz w:val="18"/>
                <w:szCs w:val="18"/>
              </w:rPr>
            </w:pPr>
            <w:r w:rsidRPr="005D71A4">
              <w:rPr>
                <w:sz w:val="18"/>
                <w:szCs w:val="18"/>
              </w:rPr>
              <w:t>5-14</w:t>
            </w:r>
          </w:p>
        </w:tc>
        <w:tc>
          <w:tcPr>
            <w:tcW w:w="1239" w:type="dxa"/>
            <w:shd w:val="clear" w:color="auto" w:fill="E7E6E6" w:themeFill="background2"/>
          </w:tcPr>
          <w:p w14:paraId="06848787" w14:textId="0AB3DB1B" w:rsidR="00D16303" w:rsidRPr="005D71A4" w:rsidRDefault="00D16303" w:rsidP="00EB4C4F">
            <w:pPr>
              <w:pStyle w:val="031Tablesubheading8pt"/>
              <w:rPr>
                <w:sz w:val="18"/>
                <w:szCs w:val="18"/>
              </w:rPr>
            </w:pPr>
            <w:r w:rsidRPr="005D71A4">
              <w:rPr>
                <w:sz w:val="18"/>
                <w:szCs w:val="18"/>
              </w:rPr>
              <w:t>15-24</w:t>
            </w:r>
          </w:p>
        </w:tc>
        <w:tc>
          <w:tcPr>
            <w:tcW w:w="1239" w:type="dxa"/>
            <w:shd w:val="clear" w:color="auto" w:fill="E7E6E6" w:themeFill="background2"/>
          </w:tcPr>
          <w:p w14:paraId="287CCBDB" w14:textId="48555A5C" w:rsidR="00D16303" w:rsidRPr="005D71A4" w:rsidRDefault="00D16303" w:rsidP="00EB4C4F">
            <w:pPr>
              <w:pStyle w:val="031Tablesubheading8pt"/>
              <w:rPr>
                <w:sz w:val="18"/>
                <w:szCs w:val="18"/>
              </w:rPr>
            </w:pPr>
            <w:r w:rsidRPr="005D71A4">
              <w:rPr>
                <w:sz w:val="18"/>
                <w:szCs w:val="18"/>
              </w:rPr>
              <w:t>25-34</w:t>
            </w:r>
          </w:p>
        </w:tc>
        <w:tc>
          <w:tcPr>
            <w:tcW w:w="1245" w:type="dxa"/>
            <w:shd w:val="clear" w:color="auto" w:fill="E7E6E6" w:themeFill="background2"/>
          </w:tcPr>
          <w:p w14:paraId="6B800D8C" w14:textId="3D820438" w:rsidR="00D16303" w:rsidRPr="005D71A4" w:rsidRDefault="00D16303" w:rsidP="00EB4C4F">
            <w:pPr>
              <w:pStyle w:val="031Tablesubheading8pt"/>
              <w:rPr>
                <w:sz w:val="18"/>
                <w:szCs w:val="18"/>
              </w:rPr>
            </w:pPr>
            <w:r w:rsidRPr="005D71A4">
              <w:rPr>
                <w:sz w:val="18"/>
                <w:szCs w:val="18"/>
              </w:rPr>
              <w:t>35-44</w:t>
            </w:r>
          </w:p>
        </w:tc>
        <w:tc>
          <w:tcPr>
            <w:tcW w:w="1259" w:type="dxa"/>
            <w:shd w:val="clear" w:color="auto" w:fill="E7E6E6" w:themeFill="background2"/>
          </w:tcPr>
          <w:p w14:paraId="2C71A773" w14:textId="5C2F55EA" w:rsidR="00D16303" w:rsidRPr="005D71A4" w:rsidRDefault="00D16303" w:rsidP="00EB4C4F">
            <w:pPr>
              <w:pStyle w:val="031Tablesubheading8pt"/>
              <w:rPr>
                <w:sz w:val="18"/>
                <w:szCs w:val="18"/>
              </w:rPr>
            </w:pPr>
            <w:r w:rsidRPr="005D71A4">
              <w:rPr>
                <w:sz w:val="18"/>
                <w:szCs w:val="18"/>
              </w:rPr>
              <w:t>45-54</w:t>
            </w:r>
          </w:p>
        </w:tc>
        <w:tc>
          <w:tcPr>
            <w:tcW w:w="1246" w:type="dxa"/>
            <w:shd w:val="clear" w:color="auto" w:fill="E7E6E6" w:themeFill="background2"/>
          </w:tcPr>
          <w:p w14:paraId="6383C8CC" w14:textId="76BDC61E" w:rsidR="00D16303" w:rsidRPr="005D71A4" w:rsidRDefault="00D16303" w:rsidP="00EB4C4F">
            <w:pPr>
              <w:pStyle w:val="031Tablesubheading8pt"/>
              <w:rPr>
                <w:sz w:val="18"/>
                <w:szCs w:val="18"/>
              </w:rPr>
            </w:pPr>
            <w:r w:rsidRPr="005D71A4">
              <w:rPr>
                <w:sz w:val="18"/>
                <w:szCs w:val="18"/>
              </w:rPr>
              <w:t>55-64</w:t>
            </w:r>
          </w:p>
        </w:tc>
        <w:tc>
          <w:tcPr>
            <w:tcW w:w="1305" w:type="dxa"/>
            <w:shd w:val="clear" w:color="auto" w:fill="E7E6E6" w:themeFill="background2"/>
          </w:tcPr>
          <w:p w14:paraId="6528A42E" w14:textId="6A6CEFAD" w:rsidR="00D16303" w:rsidRPr="005D71A4" w:rsidRDefault="00D16303" w:rsidP="00EB4C4F">
            <w:pPr>
              <w:pStyle w:val="031Tablesubheading8pt"/>
              <w:rPr>
                <w:sz w:val="18"/>
                <w:szCs w:val="18"/>
              </w:rPr>
            </w:pPr>
            <w:r w:rsidRPr="005D71A4">
              <w:rPr>
                <w:sz w:val="18"/>
                <w:szCs w:val="18"/>
              </w:rPr>
              <w:t>65-74</w:t>
            </w:r>
          </w:p>
        </w:tc>
        <w:tc>
          <w:tcPr>
            <w:tcW w:w="1302" w:type="dxa"/>
            <w:shd w:val="clear" w:color="auto" w:fill="E7E6E6" w:themeFill="background2"/>
          </w:tcPr>
          <w:p w14:paraId="7929A18F" w14:textId="739DEBDA" w:rsidR="00D16303" w:rsidRPr="005D71A4" w:rsidRDefault="00D16303" w:rsidP="00EB4C4F">
            <w:pPr>
              <w:pStyle w:val="031Tablesubheading8pt"/>
              <w:rPr>
                <w:sz w:val="18"/>
                <w:szCs w:val="18"/>
              </w:rPr>
            </w:pPr>
            <w:r w:rsidRPr="005D71A4">
              <w:rPr>
                <w:sz w:val="18"/>
                <w:szCs w:val="18"/>
              </w:rPr>
              <w:t>75-84</w:t>
            </w:r>
          </w:p>
        </w:tc>
        <w:tc>
          <w:tcPr>
            <w:tcW w:w="1382" w:type="dxa"/>
            <w:shd w:val="clear" w:color="auto" w:fill="E7E6E6" w:themeFill="background2"/>
          </w:tcPr>
          <w:p w14:paraId="57DA10C8" w14:textId="70E90EC2" w:rsidR="00D16303" w:rsidRPr="005D71A4" w:rsidRDefault="00D16303" w:rsidP="00EB4C4F">
            <w:pPr>
              <w:pStyle w:val="031Tablesubheading8pt"/>
              <w:rPr>
                <w:sz w:val="18"/>
                <w:szCs w:val="18"/>
              </w:rPr>
            </w:pPr>
            <w:r w:rsidRPr="005D71A4">
              <w:rPr>
                <w:rFonts w:cs="Calibri"/>
                <w:sz w:val="18"/>
                <w:szCs w:val="18"/>
              </w:rPr>
              <w:t>≥</w:t>
            </w:r>
            <w:r w:rsidRPr="005D71A4">
              <w:rPr>
                <w:sz w:val="18"/>
                <w:szCs w:val="18"/>
              </w:rPr>
              <w:t>85</w:t>
            </w:r>
          </w:p>
        </w:tc>
        <w:tc>
          <w:tcPr>
            <w:tcW w:w="1526" w:type="dxa"/>
          </w:tcPr>
          <w:p w14:paraId="59E86B8E" w14:textId="471DCC69" w:rsidR="00D16303" w:rsidRPr="005D71A4" w:rsidRDefault="00BF63A9" w:rsidP="00EB4C4F">
            <w:pPr>
              <w:pStyle w:val="031Tablesubheading8pt"/>
              <w:rPr>
                <w:sz w:val="18"/>
                <w:szCs w:val="18"/>
              </w:rPr>
            </w:pPr>
            <w:r w:rsidRPr="005D71A4">
              <w:rPr>
                <w:sz w:val="18"/>
                <w:szCs w:val="18"/>
              </w:rPr>
              <w:t>Total</w:t>
            </w:r>
          </w:p>
        </w:tc>
      </w:tr>
      <w:tr w:rsidR="009D584D" w:rsidRPr="00B0485F" w14:paraId="457D44EF" w14:textId="77777777" w:rsidTr="00066ADC">
        <w:tc>
          <w:tcPr>
            <w:tcW w:w="1624" w:type="dxa"/>
            <w:shd w:val="clear" w:color="auto" w:fill="E7E6E6" w:themeFill="background2"/>
          </w:tcPr>
          <w:p w14:paraId="76C866F9" w14:textId="14629F09" w:rsidR="00D16303" w:rsidRPr="005D71A4" w:rsidRDefault="00D16303" w:rsidP="00EB4C4F">
            <w:pPr>
              <w:pStyle w:val="051Tabletext228pt"/>
              <w:keepNext/>
              <w:rPr>
                <w:b/>
                <w:bCs/>
                <w:sz w:val="18"/>
                <w:szCs w:val="18"/>
              </w:rPr>
            </w:pPr>
            <w:r w:rsidRPr="005D71A4">
              <w:rPr>
                <w:b/>
                <w:bCs/>
                <w:sz w:val="18"/>
                <w:szCs w:val="18"/>
              </w:rPr>
              <w:t>2013</w:t>
            </w:r>
          </w:p>
        </w:tc>
        <w:tc>
          <w:tcPr>
            <w:tcW w:w="1203" w:type="dxa"/>
          </w:tcPr>
          <w:p w14:paraId="780586A0" w14:textId="738C08D6" w:rsidR="00D16303" w:rsidRPr="005D71A4" w:rsidRDefault="00A329CE" w:rsidP="00EB4C4F">
            <w:pPr>
              <w:pStyle w:val="051Tabletext228pt"/>
              <w:keepNext/>
              <w:rPr>
                <w:sz w:val="18"/>
                <w:szCs w:val="18"/>
              </w:rPr>
            </w:pPr>
            <w:r w:rsidRPr="005D71A4">
              <w:rPr>
                <w:sz w:val="18"/>
                <w:szCs w:val="18"/>
              </w:rPr>
              <w:t>0</w:t>
            </w:r>
          </w:p>
        </w:tc>
        <w:tc>
          <w:tcPr>
            <w:tcW w:w="1239" w:type="dxa"/>
          </w:tcPr>
          <w:p w14:paraId="1493756E" w14:textId="174EF484" w:rsidR="00D16303" w:rsidRPr="005D71A4" w:rsidRDefault="00156546" w:rsidP="00EB4C4F">
            <w:pPr>
              <w:pStyle w:val="051Tabletext228pt"/>
              <w:keepNext/>
              <w:rPr>
                <w:sz w:val="18"/>
                <w:szCs w:val="18"/>
              </w:rPr>
            </w:pPr>
            <w:r w:rsidRPr="005D71A4">
              <w:rPr>
                <w:sz w:val="18"/>
                <w:szCs w:val="18"/>
              </w:rPr>
              <w:t>4</w:t>
            </w:r>
          </w:p>
        </w:tc>
        <w:tc>
          <w:tcPr>
            <w:tcW w:w="1239" w:type="dxa"/>
          </w:tcPr>
          <w:p w14:paraId="7616FB84" w14:textId="5E17961B" w:rsidR="00D16303" w:rsidRPr="005D71A4" w:rsidRDefault="00156546" w:rsidP="00EB4C4F">
            <w:pPr>
              <w:pStyle w:val="051Tabletext228pt"/>
              <w:keepNext/>
              <w:rPr>
                <w:sz w:val="18"/>
                <w:szCs w:val="18"/>
              </w:rPr>
            </w:pPr>
            <w:r w:rsidRPr="005D71A4">
              <w:rPr>
                <w:sz w:val="18"/>
                <w:szCs w:val="18"/>
              </w:rPr>
              <w:t>107</w:t>
            </w:r>
          </w:p>
        </w:tc>
        <w:tc>
          <w:tcPr>
            <w:tcW w:w="1245" w:type="dxa"/>
          </w:tcPr>
          <w:p w14:paraId="19A727EB" w14:textId="53FE5B3A" w:rsidR="00D16303" w:rsidRPr="005D71A4" w:rsidRDefault="00DA3F24" w:rsidP="00EB4C4F">
            <w:pPr>
              <w:pStyle w:val="051Tabletext228pt"/>
              <w:keepNext/>
              <w:rPr>
                <w:sz w:val="18"/>
                <w:szCs w:val="18"/>
              </w:rPr>
            </w:pPr>
            <w:r w:rsidRPr="005D71A4">
              <w:rPr>
                <w:sz w:val="18"/>
                <w:szCs w:val="18"/>
              </w:rPr>
              <w:t>892</w:t>
            </w:r>
          </w:p>
        </w:tc>
        <w:tc>
          <w:tcPr>
            <w:tcW w:w="1259" w:type="dxa"/>
          </w:tcPr>
          <w:p w14:paraId="46166B71" w14:textId="2B8D5532" w:rsidR="00D16303" w:rsidRPr="005D71A4" w:rsidRDefault="001D61F3"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585</w:t>
            </w:r>
          </w:p>
        </w:tc>
        <w:tc>
          <w:tcPr>
            <w:tcW w:w="1246" w:type="dxa"/>
          </w:tcPr>
          <w:p w14:paraId="3ADAFC37" w14:textId="4774E50A" w:rsidR="00D16303" w:rsidRPr="005D71A4" w:rsidRDefault="002E5B20"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395</w:t>
            </w:r>
          </w:p>
        </w:tc>
        <w:tc>
          <w:tcPr>
            <w:tcW w:w="1305" w:type="dxa"/>
          </w:tcPr>
          <w:p w14:paraId="1DF58AF5" w14:textId="411F9BA7" w:rsidR="00D16303" w:rsidRPr="005D71A4" w:rsidRDefault="007D3291"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087</w:t>
            </w:r>
          </w:p>
        </w:tc>
        <w:tc>
          <w:tcPr>
            <w:tcW w:w="1302" w:type="dxa"/>
          </w:tcPr>
          <w:p w14:paraId="667CEAAB" w14:textId="47B294CF" w:rsidR="00D16303" w:rsidRPr="005D71A4" w:rsidRDefault="00084318" w:rsidP="00EB4C4F">
            <w:pPr>
              <w:pStyle w:val="051Tabletext228pt"/>
              <w:keepNext/>
              <w:rPr>
                <w:sz w:val="18"/>
                <w:szCs w:val="18"/>
              </w:rPr>
            </w:pPr>
            <w:r w:rsidRPr="005D71A4">
              <w:rPr>
                <w:sz w:val="18"/>
                <w:szCs w:val="18"/>
              </w:rPr>
              <w:t>405</w:t>
            </w:r>
          </w:p>
        </w:tc>
        <w:tc>
          <w:tcPr>
            <w:tcW w:w="1382" w:type="dxa"/>
          </w:tcPr>
          <w:p w14:paraId="1CC09598" w14:textId="2EE3550A" w:rsidR="00D16303" w:rsidRPr="005D71A4" w:rsidRDefault="00F5579B" w:rsidP="00EB4C4F">
            <w:pPr>
              <w:pStyle w:val="051Tabletext228pt"/>
              <w:keepNext/>
              <w:rPr>
                <w:sz w:val="18"/>
                <w:szCs w:val="18"/>
              </w:rPr>
            </w:pPr>
            <w:r w:rsidRPr="005D71A4">
              <w:rPr>
                <w:sz w:val="18"/>
                <w:szCs w:val="18"/>
              </w:rPr>
              <w:t>48</w:t>
            </w:r>
          </w:p>
        </w:tc>
        <w:tc>
          <w:tcPr>
            <w:tcW w:w="1526" w:type="dxa"/>
          </w:tcPr>
          <w:p w14:paraId="01236243" w14:textId="66C2828A" w:rsidR="00D16303" w:rsidRPr="005D71A4" w:rsidRDefault="00EE553E" w:rsidP="00EB4C4F">
            <w:pPr>
              <w:pStyle w:val="051Tabletext228pt"/>
              <w:keepNext/>
              <w:rPr>
                <w:b/>
                <w:bCs/>
                <w:sz w:val="18"/>
                <w:szCs w:val="18"/>
              </w:rPr>
            </w:pPr>
            <w:r w:rsidRPr="005D71A4">
              <w:rPr>
                <w:b/>
                <w:bCs/>
                <w:sz w:val="18"/>
                <w:szCs w:val="18"/>
              </w:rPr>
              <w:t>5</w:t>
            </w:r>
            <w:r w:rsidR="00AB543B" w:rsidRPr="005D71A4">
              <w:rPr>
                <w:b/>
                <w:bCs/>
                <w:sz w:val="18"/>
                <w:szCs w:val="18"/>
              </w:rPr>
              <w:t>,</w:t>
            </w:r>
            <w:r w:rsidRPr="005D71A4">
              <w:rPr>
                <w:b/>
                <w:bCs/>
                <w:sz w:val="18"/>
                <w:szCs w:val="18"/>
              </w:rPr>
              <w:t>523</w:t>
            </w:r>
          </w:p>
        </w:tc>
      </w:tr>
      <w:tr w:rsidR="009D584D" w:rsidRPr="00B0485F" w14:paraId="54CB1B43" w14:textId="77777777" w:rsidTr="00066ADC">
        <w:tc>
          <w:tcPr>
            <w:tcW w:w="1624" w:type="dxa"/>
            <w:shd w:val="clear" w:color="auto" w:fill="E7E6E6" w:themeFill="background2"/>
          </w:tcPr>
          <w:p w14:paraId="4167DDF8" w14:textId="5C0C0F53" w:rsidR="00D16303" w:rsidRPr="005D71A4" w:rsidRDefault="00D16303" w:rsidP="00EB4C4F">
            <w:pPr>
              <w:pStyle w:val="051Tabletext228pt"/>
              <w:keepNext/>
              <w:rPr>
                <w:b/>
                <w:bCs/>
                <w:sz w:val="18"/>
                <w:szCs w:val="18"/>
              </w:rPr>
            </w:pPr>
            <w:r w:rsidRPr="005D71A4">
              <w:rPr>
                <w:b/>
                <w:bCs/>
                <w:sz w:val="18"/>
                <w:szCs w:val="18"/>
              </w:rPr>
              <w:t>2014</w:t>
            </w:r>
          </w:p>
        </w:tc>
        <w:tc>
          <w:tcPr>
            <w:tcW w:w="1203" w:type="dxa"/>
          </w:tcPr>
          <w:p w14:paraId="1692F1F9" w14:textId="5E3BF61F" w:rsidR="00D16303" w:rsidRPr="005D71A4" w:rsidRDefault="00A329CE" w:rsidP="00EB4C4F">
            <w:pPr>
              <w:pStyle w:val="051Tabletext228pt"/>
              <w:keepNext/>
              <w:rPr>
                <w:sz w:val="18"/>
                <w:szCs w:val="18"/>
              </w:rPr>
            </w:pPr>
            <w:r w:rsidRPr="005D71A4">
              <w:rPr>
                <w:sz w:val="18"/>
                <w:szCs w:val="18"/>
              </w:rPr>
              <w:t>1</w:t>
            </w:r>
          </w:p>
        </w:tc>
        <w:tc>
          <w:tcPr>
            <w:tcW w:w="1239" w:type="dxa"/>
          </w:tcPr>
          <w:p w14:paraId="60AEFE57" w14:textId="4B0738C1" w:rsidR="00D16303" w:rsidRPr="005D71A4" w:rsidRDefault="00156546" w:rsidP="00EB4C4F">
            <w:pPr>
              <w:pStyle w:val="051Tabletext228pt"/>
              <w:keepNext/>
              <w:rPr>
                <w:sz w:val="18"/>
                <w:szCs w:val="18"/>
              </w:rPr>
            </w:pPr>
            <w:r w:rsidRPr="005D71A4">
              <w:rPr>
                <w:sz w:val="18"/>
                <w:szCs w:val="18"/>
              </w:rPr>
              <w:t>4</w:t>
            </w:r>
          </w:p>
        </w:tc>
        <w:tc>
          <w:tcPr>
            <w:tcW w:w="1239" w:type="dxa"/>
          </w:tcPr>
          <w:p w14:paraId="03478264" w14:textId="45A09D1B" w:rsidR="00D16303" w:rsidRPr="005D71A4" w:rsidRDefault="002A48CA" w:rsidP="00EB4C4F">
            <w:pPr>
              <w:pStyle w:val="051Tabletext228pt"/>
              <w:keepNext/>
              <w:rPr>
                <w:sz w:val="18"/>
                <w:szCs w:val="18"/>
              </w:rPr>
            </w:pPr>
            <w:r w:rsidRPr="005D71A4">
              <w:rPr>
                <w:sz w:val="18"/>
                <w:szCs w:val="18"/>
              </w:rPr>
              <w:t>85</w:t>
            </w:r>
          </w:p>
        </w:tc>
        <w:tc>
          <w:tcPr>
            <w:tcW w:w="1245" w:type="dxa"/>
          </w:tcPr>
          <w:p w14:paraId="1E79D891" w14:textId="7B4718AF" w:rsidR="00D16303" w:rsidRPr="005D71A4" w:rsidRDefault="00CB2F70" w:rsidP="00EB4C4F">
            <w:pPr>
              <w:pStyle w:val="051Tabletext228pt"/>
              <w:keepNext/>
              <w:rPr>
                <w:sz w:val="18"/>
                <w:szCs w:val="18"/>
              </w:rPr>
            </w:pPr>
            <w:r w:rsidRPr="005D71A4">
              <w:rPr>
                <w:sz w:val="18"/>
                <w:szCs w:val="18"/>
              </w:rPr>
              <w:t>856</w:t>
            </w:r>
          </w:p>
        </w:tc>
        <w:tc>
          <w:tcPr>
            <w:tcW w:w="1259" w:type="dxa"/>
          </w:tcPr>
          <w:p w14:paraId="2F7AED99" w14:textId="680A2465" w:rsidR="00D16303" w:rsidRPr="005D71A4" w:rsidRDefault="001D61F3"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635</w:t>
            </w:r>
          </w:p>
        </w:tc>
        <w:tc>
          <w:tcPr>
            <w:tcW w:w="1246" w:type="dxa"/>
          </w:tcPr>
          <w:p w14:paraId="376EC350" w14:textId="6A8397A8" w:rsidR="00D16303" w:rsidRPr="005D71A4" w:rsidRDefault="002E5B20"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307</w:t>
            </w:r>
          </w:p>
        </w:tc>
        <w:tc>
          <w:tcPr>
            <w:tcW w:w="1305" w:type="dxa"/>
          </w:tcPr>
          <w:p w14:paraId="32C9FCF4" w14:textId="74A31B6C" w:rsidR="00D16303" w:rsidRPr="005D71A4" w:rsidRDefault="007D3291"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087</w:t>
            </w:r>
          </w:p>
        </w:tc>
        <w:tc>
          <w:tcPr>
            <w:tcW w:w="1302" w:type="dxa"/>
          </w:tcPr>
          <w:p w14:paraId="3A8066E9" w14:textId="219ADF28" w:rsidR="00D16303" w:rsidRPr="005D71A4" w:rsidRDefault="00084318" w:rsidP="00EB4C4F">
            <w:pPr>
              <w:pStyle w:val="051Tabletext228pt"/>
              <w:keepNext/>
              <w:rPr>
                <w:sz w:val="18"/>
                <w:szCs w:val="18"/>
              </w:rPr>
            </w:pPr>
            <w:r w:rsidRPr="005D71A4">
              <w:rPr>
                <w:sz w:val="18"/>
                <w:szCs w:val="18"/>
              </w:rPr>
              <w:t>370</w:t>
            </w:r>
          </w:p>
        </w:tc>
        <w:tc>
          <w:tcPr>
            <w:tcW w:w="1382" w:type="dxa"/>
          </w:tcPr>
          <w:p w14:paraId="6DE0A998" w14:textId="206B5569" w:rsidR="00D16303" w:rsidRPr="005D71A4" w:rsidRDefault="00F5579B" w:rsidP="00EB4C4F">
            <w:pPr>
              <w:pStyle w:val="051Tabletext228pt"/>
              <w:keepNext/>
              <w:rPr>
                <w:sz w:val="18"/>
                <w:szCs w:val="18"/>
              </w:rPr>
            </w:pPr>
            <w:r w:rsidRPr="005D71A4">
              <w:rPr>
                <w:sz w:val="18"/>
                <w:szCs w:val="18"/>
              </w:rPr>
              <w:t>45</w:t>
            </w:r>
          </w:p>
        </w:tc>
        <w:tc>
          <w:tcPr>
            <w:tcW w:w="1526" w:type="dxa"/>
          </w:tcPr>
          <w:p w14:paraId="48BB4ECE" w14:textId="4F16C2DF" w:rsidR="00D16303" w:rsidRPr="005D71A4" w:rsidRDefault="007F4444" w:rsidP="00EB4C4F">
            <w:pPr>
              <w:pStyle w:val="051Tabletext228pt"/>
              <w:keepNext/>
              <w:rPr>
                <w:b/>
                <w:bCs/>
                <w:sz w:val="18"/>
                <w:szCs w:val="18"/>
              </w:rPr>
            </w:pPr>
            <w:r w:rsidRPr="005D71A4">
              <w:rPr>
                <w:b/>
                <w:bCs/>
                <w:sz w:val="18"/>
                <w:szCs w:val="18"/>
              </w:rPr>
              <w:t>5</w:t>
            </w:r>
            <w:r w:rsidR="00AB543B" w:rsidRPr="005D71A4">
              <w:rPr>
                <w:b/>
                <w:bCs/>
                <w:sz w:val="18"/>
                <w:szCs w:val="18"/>
              </w:rPr>
              <w:t>,</w:t>
            </w:r>
            <w:r w:rsidRPr="005D71A4">
              <w:rPr>
                <w:b/>
                <w:bCs/>
                <w:sz w:val="18"/>
                <w:szCs w:val="18"/>
              </w:rPr>
              <w:t>390</w:t>
            </w:r>
          </w:p>
        </w:tc>
      </w:tr>
      <w:tr w:rsidR="009D584D" w:rsidRPr="00B0485F" w14:paraId="0B4359A6" w14:textId="77777777" w:rsidTr="00066ADC">
        <w:tc>
          <w:tcPr>
            <w:tcW w:w="1624" w:type="dxa"/>
            <w:shd w:val="clear" w:color="auto" w:fill="E7E6E6" w:themeFill="background2"/>
          </w:tcPr>
          <w:p w14:paraId="076CF055" w14:textId="3EE65CD5" w:rsidR="00D16303" w:rsidRPr="005D71A4" w:rsidRDefault="00D16303" w:rsidP="00EB4C4F">
            <w:pPr>
              <w:pStyle w:val="051Tabletext228pt"/>
              <w:keepNext/>
              <w:rPr>
                <w:b/>
                <w:bCs/>
                <w:sz w:val="18"/>
                <w:szCs w:val="18"/>
              </w:rPr>
            </w:pPr>
            <w:r w:rsidRPr="005D71A4">
              <w:rPr>
                <w:b/>
                <w:bCs/>
                <w:sz w:val="18"/>
                <w:szCs w:val="18"/>
              </w:rPr>
              <w:t>2015</w:t>
            </w:r>
          </w:p>
        </w:tc>
        <w:tc>
          <w:tcPr>
            <w:tcW w:w="1203" w:type="dxa"/>
          </w:tcPr>
          <w:p w14:paraId="6EFE6DA6" w14:textId="3D5DF12F" w:rsidR="00D16303" w:rsidRPr="005D71A4" w:rsidRDefault="00A329CE" w:rsidP="00EB4C4F">
            <w:pPr>
              <w:pStyle w:val="051Tabletext228pt"/>
              <w:keepNext/>
              <w:rPr>
                <w:sz w:val="18"/>
                <w:szCs w:val="18"/>
              </w:rPr>
            </w:pPr>
            <w:r w:rsidRPr="005D71A4">
              <w:rPr>
                <w:sz w:val="18"/>
                <w:szCs w:val="18"/>
              </w:rPr>
              <w:t>0</w:t>
            </w:r>
          </w:p>
        </w:tc>
        <w:tc>
          <w:tcPr>
            <w:tcW w:w="1239" w:type="dxa"/>
          </w:tcPr>
          <w:p w14:paraId="165BF3F9" w14:textId="6F1924EB" w:rsidR="00D16303" w:rsidRPr="005D71A4" w:rsidRDefault="00156546" w:rsidP="00EB4C4F">
            <w:pPr>
              <w:pStyle w:val="051Tabletext228pt"/>
              <w:keepNext/>
              <w:rPr>
                <w:sz w:val="18"/>
                <w:szCs w:val="18"/>
              </w:rPr>
            </w:pPr>
            <w:r w:rsidRPr="005D71A4">
              <w:rPr>
                <w:sz w:val="18"/>
                <w:szCs w:val="18"/>
              </w:rPr>
              <w:t>1</w:t>
            </w:r>
          </w:p>
        </w:tc>
        <w:tc>
          <w:tcPr>
            <w:tcW w:w="1239" w:type="dxa"/>
          </w:tcPr>
          <w:p w14:paraId="319DFC56" w14:textId="52C43990" w:rsidR="00D16303" w:rsidRPr="005D71A4" w:rsidRDefault="002A48CA" w:rsidP="00EB4C4F">
            <w:pPr>
              <w:pStyle w:val="051Tabletext228pt"/>
              <w:keepNext/>
              <w:rPr>
                <w:sz w:val="18"/>
                <w:szCs w:val="18"/>
              </w:rPr>
            </w:pPr>
            <w:r w:rsidRPr="005D71A4">
              <w:rPr>
                <w:sz w:val="18"/>
                <w:szCs w:val="18"/>
              </w:rPr>
              <w:t>73</w:t>
            </w:r>
          </w:p>
        </w:tc>
        <w:tc>
          <w:tcPr>
            <w:tcW w:w="1245" w:type="dxa"/>
          </w:tcPr>
          <w:p w14:paraId="1408F736" w14:textId="5CBED63C" w:rsidR="00D16303" w:rsidRPr="005D71A4" w:rsidRDefault="00CB2F70" w:rsidP="00EB4C4F">
            <w:pPr>
              <w:pStyle w:val="051Tabletext228pt"/>
              <w:keepNext/>
              <w:rPr>
                <w:sz w:val="18"/>
                <w:szCs w:val="18"/>
              </w:rPr>
            </w:pPr>
            <w:r w:rsidRPr="005D71A4">
              <w:rPr>
                <w:sz w:val="18"/>
                <w:szCs w:val="18"/>
              </w:rPr>
              <w:t>849</w:t>
            </w:r>
          </w:p>
        </w:tc>
        <w:tc>
          <w:tcPr>
            <w:tcW w:w="1259" w:type="dxa"/>
          </w:tcPr>
          <w:p w14:paraId="2AF06F1D" w14:textId="68233099" w:rsidR="00D16303" w:rsidRPr="005D71A4" w:rsidRDefault="00A45D73"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497</w:t>
            </w:r>
          </w:p>
        </w:tc>
        <w:tc>
          <w:tcPr>
            <w:tcW w:w="1246" w:type="dxa"/>
          </w:tcPr>
          <w:p w14:paraId="7DE98B44" w14:textId="555DFEDE" w:rsidR="00D16303" w:rsidRPr="005D71A4" w:rsidRDefault="007C22A1"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213</w:t>
            </w:r>
          </w:p>
        </w:tc>
        <w:tc>
          <w:tcPr>
            <w:tcW w:w="1305" w:type="dxa"/>
          </w:tcPr>
          <w:p w14:paraId="1F1CC2C0" w14:textId="3060028F" w:rsidR="00D16303" w:rsidRPr="005D71A4" w:rsidRDefault="00012E38"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098</w:t>
            </w:r>
          </w:p>
        </w:tc>
        <w:tc>
          <w:tcPr>
            <w:tcW w:w="1302" w:type="dxa"/>
          </w:tcPr>
          <w:p w14:paraId="2294493D" w14:textId="4B56C72E" w:rsidR="00D16303" w:rsidRPr="005D71A4" w:rsidRDefault="0054795D" w:rsidP="00EB4C4F">
            <w:pPr>
              <w:pStyle w:val="051Tabletext228pt"/>
              <w:keepNext/>
              <w:rPr>
                <w:sz w:val="18"/>
                <w:szCs w:val="18"/>
              </w:rPr>
            </w:pPr>
            <w:r w:rsidRPr="005D71A4">
              <w:rPr>
                <w:sz w:val="18"/>
                <w:szCs w:val="18"/>
              </w:rPr>
              <w:t>465</w:t>
            </w:r>
          </w:p>
        </w:tc>
        <w:tc>
          <w:tcPr>
            <w:tcW w:w="1382" w:type="dxa"/>
          </w:tcPr>
          <w:p w14:paraId="64EFD066" w14:textId="7D4A3124" w:rsidR="00D16303" w:rsidRPr="005D71A4" w:rsidRDefault="001A046F" w:rsidP="00EB4C4F">
            <w:pPr>
              <w:pStyle w:val="051Tabletext228pt"/>
              <w:keepNext/>
              <w:rPr>
                <w:sz w:val="18"/>
                <w:szCs w:val="18"/>
              </w:rPr>
            </w:pPr>
            <w:r w:rsidRPr="005D71A4">
              <w:rPr>
                <w:sz w:val="18"/>
                <w:szCs w:val="18"/>
              </w:rPr>
              <w:t>42</w:t>
            </w:r>
          </w:p>
        </w:tc>
        <w:tc>
          <w:tcPr>
            <w:tcW w:w="1526" w:type="dxa"/>
          </w:tcPr>
          <w:p w14:paraId="794C9D81" w14:textId="373EBD94" w:rsidR="00D16303" w:rsidRPr="005D71A4" w:rsidRDefault="005F761A" w:rsidP="00EB4C4F">
            <w:pPr>
              <w:pStyle w:val="051Tabletext228pt"/>
              <w:keepNext/>
              <w:rPr>
                <w:b/>
                <w:bCs/>
                <w:sz w:val="18"/>
                <w:szCs w:val="18"/>
              </w:rPr>
            </w:pPr>
            <w:r w:rsidRPr="005D71A4">
              <w:rPr>
                <w:b/>
                <w:bCs/>
                <w:sz w:val="18"/>
                <w:szCs w:val="18"/>
              </w:rPr>
              <w:t>5</w:t>
            </w:r>
            <w:r w:rsidR="00AB543B" w:rsidRPr="005D71A4">
              <w:rPr>
                <w:b/>
                <w:bCs/>
                <w:sz w:val="18"/>
                <w:szCs w:val="18"/>
              </w:rPr>
              <w:t>,</w:t>
            </w:r>
            <w:r w:rsidRPr="005D71A4">
              <w:rPr>
                <w:b/>
                <w:bCs/>
                <w:sz w:val="18"/>
                <w:szCs w:val="18"/>
              </w:rPr>
              <w:t>238</w:t>
            </w:r>
          </w:p>
        </w:tc>
      </w:tr>
      <w:tr w:rsidR="009D584D" w:rsidRPr="00B0485F" w14:paraId="6CAD8614" w14:textId="77777777" w:rsidTr="00066ADC">
        <w:tc>
          <w:tcPr>
            <w:tcW w:w="1624" w:type="dxa"/>
            <w:shd w:val="clear" w:color="auto" w:fill="E7E6E6" w:themeFill="background2"/>
          </w:tcPr>
          <w:p w14:paraId="660256A0" w14:textId="550C3044" w:rsidR="00D16303" w:rsidRPr="005D71A4" w:rsidRDefault="00D16303" w:rsidP="00EB4C4F">
            <w:pPr>
              <w:pStyle w:val="051Tabletext228pt"/>
              <w:keepNext/>
              <w:rPr>
                <w:b/>
                <w:bCs/>
                <w:sz w:val="18"/>
                <w:szCs w:val="18"/>
              </w:rPr>
            </w:pPr>
            <w:r w:rsidRPr="005D71A4">
              <w:rPr>
                <w:b/>
                <w:bCs/>
                <w:sz w:val="18"/>
                <w:szCs w:val="18"/>
              </w:rPr>
              <w:t>2016</w:t>
            </w:r>
          </w:p>
        </w:tc>
        <w:tc>
          <w:tcPr>
            <w:tcW w:w="1203" w:type="dxa"/>
          </w:tcPr>
          <w:p w14:paraId="3367F33B" w14:textId="57FA5D75" w:rsidR="00D16303" w:rsidRPr="005D71A4" w:rsidRDefault="00A329CE" w:rsidP="00EB4C4F">
            <w:pPr>
              <w:pStyle w:val="051Tabletext228pt"/>
              <w:keepNext/>
              <w:rPr>
                <w:sz w:val="18"/>
                <w:szCs w:val="18"/>
              </w:rPr>
            </w:pPr>
            <w:r w:rsidRPr="005D71A4">
              <w:rPr>
                <w:sz w:val="18"/>
                <w:szCs w:val="18"/>
              </w:rPr>
              <w:t>0</w:t>
            </w:r>
          </w:p>
        </w:tc>
        <w:tc>
          <w:tcPr>
            <w:tcW w:w="1239" w:type="dxa"/>
          </w:tcPr>
          <w:p w14:paraId="29358439" w14:textId="32AA3F49" w:rsidR="00D16303" w:rsidRPr="005D71A4" w:rsidRDefault="00156546" w:rsidP="00EB4C4F">
            <w:pPr>
              <w:pStyle w:val="051Tabletext228pt"/>
              <w:keepNext/>
              <w:rPr>
                <w:sz w:val="18"/>
                <w:szCs w:val="18"/>
              </w:rPr>
            </w:pPr>
            <w:r w:rsidRPr="005D71A4">
              <w:rPr>
                <w:sz w:val="18"/>
                <w:szCs w:val="18"/>
              </w:rPr>
              <w:t>1</w:t>
            </w:r>
          </w:p>
        </w:tc>
        <w:tc>
          <w:tcPr>
            <w:tcW w:w="1239" w:type="dxa"/>
          </w:tcPr>
          <w:p w14:paraId="358A6FB4" w14:textId="45FE65A6" w:rsidR="00D16303" w:rsidRPr="005D71A4" w:rsidRDefault="00900664" w:rsidP="00EB4C4F">
            <w:pPr>
              <w:pStyle w:val="051Tabletext228pt"/>
              <w:keepNext/>
              <w:rPr>
                <w:sz w:val="18"/>
                <w:szCs w:val="18"/>
              </w:rPr>
            </w:pPr>
            <w:r w:rsidRPr="005D71A4">
              <w:rPr>
                <w:sz w:val="18"/>
                <w:szCs w:val="18"/>
              </w:rPr>
              <w:t>86</w:t>
            </w:r>
          </w:p>
        </w:tc>
        <w:tc>
          <w:tcPr>
            <w:tcW w:w="1245" w:type="dxa"/>
          </w:tcPr>
          <w:p w14:paraId="76C3F0D5" w14:textId="246DEA95" w:rsidR="00D16303" w:rsidRPr="005D71A4" w:rsidRDefault="001D61F3" w:rsidP="00EB4C4F">
            <w:pPr>
              <w:pStyle w:val="051Tabletext228pt"/>
              <w:keepNext/>
              <w:rPr>
                <w:sz w:val="18"/>
                <w:szCs w:val="18"/>
              </w:rPr>
            </w:pPr>
            <w:r w:rsidRPr="005D71A4">
              <w:rPr>
                <w:sz w:val="18"/>
                <w:szCs w:val="18"/>
              </w:rPr>
              <w:t>672</w:t>
            </w:r>
          </w:p>
        </w:tc>
        <w:tc>
          <w:tcPr>
            <w:tcW w:w="1259" w:type="dxa"/>
          </w:tcPr>
          <w:p w14:paraId="7D4847CD" w14:textId="290C4BBA" w:rsidR="00D16303" w:rsidRPr="005D71A4" w:rsidRDefault="002E5B20"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307</w:t>
            </w:r>
          </w:p>
        </w:tc>
        <w:tc>
          <w:tcPr>
            <w:tcW w:w="1246" w:type="dxa"/>
          </w:tcPr>
          <w:p w14:paraId="3ADB8897" w14:textId="120767A3" w:rsidR="00D16303" w:rsidRPr="005D71A4" w:rsidRDefault="007C22A1"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040</w:t>
            </w:r>
          </w:p>
        </w:tc>
        <w:tc>
          <w:tcPr>
            <w:tcW w:w="1305" w:type="dxa"/>
          </w:tcPr>
          <w:p w14:paraId="28F6931C" w14:textId="6E4EF965" w:rsidR="00D16303" w:rsidRPr="005D71A4" w:rsidRDefault="006A6882"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053</w:t>
            </w:r>
          </w:p>
        </w:tc>
        <w:tc>
          <w:tcPr>
            <w:tcW w:w="1302" w:type="dxa"/>
          </w:tcPr>
          <w:p w14:paraId="31C83F3F" w14:textId="3F4E1291" w:rsidR="00D16303" w:rsidRPr="005D71A4" w:rsidRDefault="00A40982" w:rsidP="00EB4C4F">
            <w:pPr>
              <w:pStyle w:val="051Tabletext228pt"/>
              <w:keepNext/>
              <w:rPr>
                <w:sz w:val="18"/>
                <w:szCs w:val="18"/>
              </w:rPr>
            </w:pPr>
            <w:r w:rsidRPr="005D71A4">
              <w:rPr>
                <w:sz w:val="18"/>
                <w:szCs w:val="18"/>
              </w:rPr>
              <w:t>390</w:t>
            </w:r>
          </w:p>
        </w:tc>
        <w:tc>
          <w:tcPr>
            <w:tcW w:w="1382" w:type="dxa"/>
          </w:tcPr>
          <w:p w14:paraId="308D97A9" w14:textId="2DD33205" w:rsidR="00D16303" w:rsidRPr="005D71A4" w:rsidRDefault="00EE553E" w:rsidP="00EB4C4F">
            <w:pPr>
              <w:pStyle w:val="051Tabletext228pt"/>
              <w:keepNext/>
              <w:rPr>
                <w:sz w:val="18"/>
                <w:szCs w:val="18"/>
              </w:rPr>
            </w:pPr>
            <w:r w:rsidRPr="005D71A4">
              <w:rPr>
                <w:sz w:val="18"/>
                <w:szCs w:val="18"/>
              </w:rPr>
              <w:t>63</w:t>
            </w:r>
          </w:p>
        </w:tc>
        <w:tc>
          <w:tcPr>
            <w:tcW w:w="1526" w:type="dxa"/>
          </w:tcPr>
          <w:p w14:paraId="02C22261" w14:textId="7CFBA510" w:rsidR="00D16303" w:rsidRPr="005D71A4" w:rsidRDefault="001233F9" w:rsidP="00EB4C4F">
            <w:pPr>
              <w:pStyle w:val="051Tabletext228pt"/>
              <w:keepNext/>
              <w:rPr>
                <w:b/>
                <w:bCs/>
                <w:sz w:val="18"/>
                <w:szCs w:val="18"/>
              </w:rPr>
            </w:pPr>
            <w:r w:rsidRPr="005D71A4">
              <w:rPr>
                <w:b/>
                <w:bCs/>
                <w:sz w:val="18"/>
                <w:szCs w:val="18"/>
              </w:rPr>
              <w:t>4</w:t>
            </w:r>
            <w:r w:rsidR="00AB543B" w:rsidRPr="005D71A4">
              <w:rPr>
                <w:b/>
                <w:bCs/>
                <w:sz w:val="18"/>
                <w:szCs w:val="18"/>
              </w:rPr>
              <w:t>,</w:t>
            </w:r>
            <w:r w:rsidRPr="005D71A4">
              <w:rPr>
                <w:b/>
                <w:bCs/>
                <w:sz w:val="18"/>
                <w:szCs w:val="18"/>
              </w:rPr>
              <w:t>612</w:t>
            </w:r>
          </w:p>
        </w:tc>
      </w:tr>
      <w:tr w:rsidR="009D584D" w:rsidRPr="00B0485F" w14:paraId="107383C0" w14:textId="77777777" w:rsidTr="00066ADC">
        <w:tc>
          <w:tcPr>
            <w:tcW w:w="1624" w:type="dxa"/>
            <w:shd w:val="clear" w:color="auto" w:fill="E7E6E6" w:themeFill="background2"/>
          </w:tcPr>
          <w:p w14:paraId="0E1713F4" w14:textId="4AB03AED" w:rsidR="00D16303" w:rsidRPr="005D71A4" w:rsidRDefault="00D16303" w:rsidP="00EB4C4F">
            <w:pPr>
              <w:pStyle w:val="051Tabletext228pt"/>
              <w:keepNext/>
              <w:rPr>
                <w:b/>
                <w:bCs/>
                <w:sz w:val="18"/>
                <w:szCs w:val="18"/>
              </w:rPr>
            </w:pPr>
            <w:r w:rsidRPr="005D71A4">
              <w:rPr>
                <w:b/>
                <w:bCs/>
                <w:sz w:val="18"/>
                <w:szCs w:val="18"/>
              </w:rPr>
              <w:t>2017</w:t>
            </w:r>
          </w:p>
        </w:tc>
        <w:tc>
          <w:tcPr>
            <w:tcW w:w="1203" w:type="dxa"/>
          </w:tcPr>
          <w:p w14:paraId="46EAEB12" w14:textId="07F2C9C9" w:rsidR="00D16303" w:rsidRPr="005D71A4" w:rsidRDefault="00A329CE" w:rsidP="00EB4C4F">
            <w:pPr>
              <w:pStyle w:val="051Tabletext228pt"/>
              <w:keepNext/>
              <w:rPr>
                <w:sz w:val="18"/>
                <w:szCs w:val="18"/>
              </w:rPr>
            </w:pPr>
            <w:r w:rsidRPr="005D71A4">
              <w:rPr>
                <w:sz w:val="18"/>
                <w:szCs w:val="18"/>
              </w:rPr>
              <w:t>0</w:t>
            </w:r>
          </w:p>
        </w:tc>
        <w:tc>
          <w:tcPr>
            <w:tcW w:w="1239" w:type="dxa"/>
          </w:tcPr>
          <w:p w14:paraId="6A738A3E" w14:textId="32D23FEB" w:rsidR="00D16303" w:rsidRPr="005D71A4" w:rsidRDefault="00D16303" w:rsidP="00EB4C4F">
            <w:pPr>
              <w:pStyle w:val="051Tabletext228pt"/>
              <w:keepNext/>
              <w:rPr>
                <w:sz w:val="18"/>
                <w:szCs w:val="18"/>
              </w:rPr>
            </w:pPr>
            <w:r w:rsidRPr="005D71A4">
              <w:rPr>
                <w:sz w:val="18"/>
                <w:szCs w:val="18"/>
              </w:rPr>
              <w:t>0</w:t>
            </w:r>
          </w:p>
        </w:tc>
        <w:tc>
          <w:tcPr>
            <w:tcW w:w="1239" w:type="dxa"/>
          </w:tcPr>
          <w:p w14:paraId="78A0193D" w14:textId="0309F4C9" w:rsidR="00D16303" w:rsidRPr="005D71A4" w:rsidRDefault="00D16303" w:rsidP="00EB4C4F">
            <w:pPr>
              <w:pStyle w:val="051Tabletext228pt"/>
              <w:keepNext/>
              <w:rPr>
                <w:sz w:val="18"/>
                <w:szCs w:val="18"/>
              </w:rPr>
            </w:pPr>
            <w:r w:rsidRPr="005D71A4">
              <w:rPr>
                <w:sz w:val="18"/>
                <w:szCs w:val="18"/>
              </w:rPr>
              <w:t>62</w:t>
            </w:r>
          </w:p>
        </w:tc>
        <w:tc>
          <w:tcPr>
            <w:tcW w:w="1245" w:type="dxa"/>
          </w:tcPr>
          <w:p w14:paraId="3EBB538A" w14:textId="71C23797" w:rsidR="00D16303" w:rsidRPr="005D71A4" w:rsidRDefault="00D16303" w:rsidP="00EB4C4F">
            <w:pPr>
              <w:pStyle w:val="051Tabletext228pt"/>
              <w:keepNext/>
              <w:rPr>
                <w:sz w:val="18"/>
                <w:szCs w:val="18"/>
              </w:rPr>
            </w:pPr>
            <w:r w:rsidRPr="005D71A4">
              <w:rPr>
                <w:sz w:val="18"/>
                <w:szCs w:val="18"/>
              </w:rPr>
              <w:t>539</w:t>
            </w:r>
          </w:p>
        </w:tc>
        <w:tc>
          <w:tcPr>
            <w:tcW w:w="1259" w:type="dxa"/>
          </w:tcPr>
          <w:p w14:paraId="7411AA25" w14:textId="57C1F8DC" w:rsidR="00D16303" w:rsidRPr="005D71A4" w:rsidRDefault="00D16303" w:rsidP="00EB4C4F">
            <w:pPr>
              <w:pStyle w:val="051Tabletext228pt"/>
              <w:keepNext/>
              <w:rPr>
                <w:sz w:val="18"/>
                <w:szCs w:val="18"/>
              </w:rPr>
            </w:pPr>
            <w:r w:rsidRPr="005D71A4">
              <w:rPr>
                <w:sz w:val="18"/>
                <w:szCs w:val="18"/>
              </w:rPr>
              <w:t>1</w:t>
            </w:r>
            <w:r w:rsidR="00AB543B" w:rsidRPr="005D71A4">
              <w:rPr>
                <w:sz w:val="18"/>
                <w:szCs w:val="18"/>
              </w:rPr>
              <w:t>,</w:t>
            </w:r>
            <w:r w:rsidRPr="005D71A4">
              <w:rPr>
                <w:sz w:val="18"/>
                <w:szCs w:val="18"/>
              </w:rPr>
              <w:t>109</w:t>
            </w:r>
          </w:p>
        </w:tc>
        <w:tc>
          <w:tcPr>
            <w:tcW w:w="1246" w:type="dxa"/>
          </w:tcPr>
          <w:p w14:paraId="72AE096D" w14:textId="1CD8C516" w:rsidR="00D16303" w:rsidRPr="005D71A4" w:rsidRDefault="00D16303" w:rsidP="00EB4C4F">
            <w:pPr>
              <w:pStyle w:val="051Tabletext228pt"/>
              <w:keepNext/>
              <w:rPr>
                <w:sz w:val="18"/>
                <w:szCs w:val="18"/>
              </w:rPr>
            </w:pPr>
            <w:r w:rsidRPr="005D71A4">
              <w:rPr>
                <w:sz w:val="18"/>
                <w:szCs w:val="18"/>
              </w:rPr>
              <w:t>894</w:t>
            </w:r>
          </w:p>
        </w:tc>
        <w:tc>
          <w:tcPr>
            <w:tcW w:w="1305" w:type="dxa"/>
          </w:tcPr>
          <w:p w14:paraId="4413CC19" w14:textId="124E8B99" w:rsidR="00D16303" w:rsidRPr="005D71A4" w:rsidRDefault="00D16303" w:rsidP="00EB4C4F">
            <w:pPr>
              <w:pStyle w:val="051Tabletext228pt"/>
              <w:keepNext/>
              <w:rPr>
                <w:sz w:val="18"/>
                <w:szCs w:val="18"/>
              </w:rPr>
            </w:pPr>
            <w:r w:rsidRPr="005D71A4">
              <w:rPr>
                <w:sz w:val="18"/>
                <w:szCs w:val="18"/>
              </w:rPr>
              <w:t>921</w:t>
            </w:r>
          </w:p>
        </w:tc>
        <w:tc>
          <w:tcPr>
            <w:tcW w:w="1302" w:type="dxa"/>
          </w:tcPr>
          <w:p w14:paraId="2E8C18B7" w14:textId="1C583796" w:rsidR="00D16303" w:rsidRPr="005D71A4" w:rsidRDefault="00D16303" w:rsidP="00EB4C4F">
            <w:pPr>
              <w:pStyle w:val="051Tabletext228pt"/>
              <w:keepNext/>
              <w:rPr>
                <w:sz w:val="18"/>
                <w:szCs w:val="18"/>
              </w:rPr>
            </w:pPr>
            <w:r w:rsidRPr="005D71A4">
              <w:rPr>
                <w:sz w:val="18"/>
                <w:szCs w:val="18"/>
              </w:rPr>
              <w:t>361</w:t>
            </w:r>
          </w:p>
        </w:tc>
        <w:tc>
          <w:tcPr>
            <w:tcW w:w="1382" w:type="dxa"/>
          </w:tcPr>
          <w:p w14:paraId="6CCF3FF1" w14:textId="3B296306" w:rsidR="00D16303" w:rsidRPr="005D71A4" w:rsidRDefault="00D16303" w:rsidP="00EB4C4F">
            <w:pPr>
              <w:pStyle w:val="051Tabletext228pt"/>
              <w:keepNext/>
              <w:rPr>
                <w:sz w:val="18"/>
                <w:szCs w:val="18"/>
              </w:rPr>
            </w:pPr>
            <w:r w:rsidRPr="005D71A4">
              <w:rPr>
                <w:sz w:val="18"/>
                <w:szCs w:val="18"/>
              </w:rPr>
              <w:t>47</w:t>
            </w:r>
          </w:p>
        </w:tc>
        <w:tc>
          <w:tcPr>
            <w:tcW w:w="1526" w:type="dxa"/>
          </w:tcPr>
          <w:p w14:paraId="26651F6E" w14:textId="5CF84FE5" w:rsidR="00D16303" w:rsidRPr="005D71A4" w:rsidRDefault="00D16303" w:rsidP="00EB4C4F">
            <w:pPr>
              <w:pStyle w:val="051Tabletext228pt"/>
              <w:keepNext/>
              <w:rPr>
                <w:b/>
                <w:bCs/>
                <w:sz w:val="18"/>
                <w:szCs w:val="18"/>
              </w:rPr>
            </w:pPr>
            <w:r w:rsidRPr="005D71A4">
              <w:rPr>
                <w:b/>
                <w:bCs/>
                <w:sz w:val="18"/>
                <w:szCs w:val="18"/>
              </w:rPr>
              <w:t>3</w:t>
            </w:r>
            <w:r w:rsidR="00AB543B" w:rsidRPr="005D71A4">
              <w:rPr>
                <w:b/>
                <w:bCs/>
                <w:sz w:val="18"/>
                <w:szCs w:val="18"/>
              </w:rPr>
              <w:t>,</w:t>
            </w:r>
            <w:r w:rsidRPr="005D71A4">
              <w:rPr>
                <w:b/>
                <w:bCs/>
                <w:sz w:val="18"/>
                <w:szCs w:val="18"/>
              </w:rPr>
              <w:t>933</w:t>
            </w:r>
          </w:p>
        </w:tc>
      </w:tr>
      <w:tr w:rsidR="009D584D" w:rsidRPr="00B0485F" w14:paraId="3B4E39F8" w14:textId="77777777" w:rsidTr="00066ADC">
        <w:tc>
          <w:tcPr>
            <w:tcW w:w="1624" w:type="dxa"/>
            <w:shd w:val="clear" w:color="auto" w:fill="E7E6E6" w:themeFill="background2"/>
          </w:tcPr>
          <w:p w14:paraId="0A3D6EC6" w14:textId="32DF7F0F" w:rsidR="00D16303" w:rsidRPr="005D71A4" w:rsidRDefault="00D16303" w:rsidP="00160850">
            <w:pPr>
              <w:pStyle w:val="051Tabletext228pt"/>
              <w:rPr>
                <w:b/>
                <w:bCs/>
                <w:sz w:val="18"/>
                <w:szCs w:val="18"/>
              </w:rPr>
            </w:pPr>
            <w:r w:rsidRPr="005D71A4">
              <w:rPr>
                <w:b/>
                <w:bCs/>
                <w:sz w:val="18"/>
                <w:szCs w:val="18"/>
              </w:rPr>
              <w:t>2018</w:t>
            </w:r>
          </w:p>
        </w:tc>
        <w:tc>
          <w:tcPr>
            <w:tcW w:w="1203" w:type="dxa"/>
          </w:tcPr>
          <w:p w14:paraId="1780C5C5" w14:textId="4610D373" w:rsidR="00D16303" w:rsidRPr="005D71A4" w:rsidRDefault="00A329CE"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43B7D4BE" w14:textId="05B1F7EC" w:rsidR="00D16303" w:rsidRPr="005D71A4" w:rsidRDefault="00D16303"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40D88674" w14:textId="1F585A96" w:rsidR="00D16303" w:rsidRPr="005D71A4" w:rsidRDefault="00D16303" w:rsidP="00160850">
            <w:pPr>
              <w:pStyle w:val="051Tabletext228pt"/>
              <w:rPr>
                <w:sz w:val="18"/>
                <w:szCs w:val="18"/>
                <w:shd w:val="clear" w:color="auto" w:fill="FFFFFF"/>
              </w:rPr>
            </w:pPr>
            <w:r w:rsidRPr="005D71A4">
              <w:rPr>
                <w:sz w:val="18"/>
                <w:szCs w:val="18"/>
                <w:shd w:val="clear" w:color="auto" w:fill="FFFFFF"/>
              </w:rPr>
              <w:t>38</w:t>
            </w:r>
          </w:p>
        </w:tc>
        <w:tc>
          <w:tcPr>
            <w:tcW w:w="1245" w:type="dxa"/>
          </w:tcPr>
          <w:p w14:paraId="5ADF988B" w14:textId="2FFCD692" w:rsidR="00D16303" w:rsidRPr="005D71A4" w:rsidRDefault="00D16303" w:rsidP="00160850">
            <w:pPr>
              <w:pStyle w:val="051Tabletext228pt"/>
              <w:rPr>
                <w:sz w:val="18"/>
                <w:szCs w:val="18"/>
                <w:shd w:val="clear" w:color="auto" w:fill="FFFFFF"/>
              </w:rPr>
            </w:pPr>
            <w:r w:rsidRPr="005D71A4">
              <w:rPr>
                <w:sz w:val="18"/>
                <w:szCs w:val="18"/>
                <w:shd w:val="clear" w:color="auto" w:fill="FFFFFF"/>
              </w:rPr>
              <w:t>384</w:t>
            </w:r>
          </w:p>
        </w:tc>
        <w:tc>
          <w:tcPr>
            <w:tcW w:w="1259" w:type="dxa"/>
          </w:tcPr>
          <w:p w14:paraId="75D2DAD3" w14:textId="3F5C5A01" w:rsidR="00D16303" w:rsidRPr="005D71A4" w:rsidRDefault="00D16303" w:rsidP="00160850">
            <w:pPr>
              <w:pStyle w:val="051Tabletext228pt"/>
              <w:rPr>
                <w:sz w:val="18"/>
                <w:szCs w:val="18"/>
                <w:shd w:val="clear" w:color="auto" w:fill="FFFFFF"/>
              </w:rPr>
            </w:pPr>
            <w:r w:rsidRPr="005D71A4">
              <w:rPr>
                <w:sz w:val="18"/>
                <w:szCs w:val="18"/>
                <w:shd w:val="clear" w:color="auto" w:fill="FFFFFF"/>
              </w:rPr>
              <w:t>763</w:t>
            </w:r>
          </w:p>
        </w:tc>
        <w:tc>
          <w:tcPr>
            <w:tcW w:w="1246" w:type="dxa"/>
          </w:tcPr>
          <w:p w14:paraId="1D64E374" w14:textId="70D625A2" w:rsidR="00D16303" w:rsidRPr="005D71A4" w:rsidRDefault="00D16303" w:rsidP="00160850">
            <w:pPr>
              <w:pStyle w:val="051Tabletext228pt"/>
              <w:rPr>
                <w:sz w:val="18"/>
                <w:szCs w:val="18"/>
                <w:shd w:val="clear" w:color="auto" w:fill="FFFFFF"/>
              </w:rPr>
            </w:pPr>
            <w:r w:rsidRPr="005D71A4">
              <w:rPr>
                <w:sz w:val="18"/>
                <w:szCs w:val="18"/>
                <w:shd w:val="clear" w:color="auto" w:fill="FFFFFF"/>
              </w:rPr>
              <w:t>578</w:t>
            </w:r>
          </w:p>
        </w:tc>
        <w:tc>
          <w:tcPr>
            <w:tcW w:w="1305" w:type="dxa"/>
          </w:tcPr>
          <w:p w14:paraId="3256786A" w14:textId="6EAF2342" w:rsidR="00D16303" w:rsidRPr="005D71A4" w:rsidRDefault="00D16303" w:rsidP="00160850">
            <w:pPr>
              <w:pStyle w:val="051Tabletext228pt"/>
              <w:rPr>
                <w:sz w:val="18"/>
                <w:szCs w:val="18"/>
                <w:shd w:val="clear" w:color="auto" w:fill="FFFFFF"/>
              </w:rPr>
            </w:pPr>
            <w:r w:rsidRPr="005D71A4">
              <w:rPr>
                <w:sz w:val="18"/>
                <w:szCs w:val="18"/>
                <w:shd w:val="clear" w:color="auto" w:fill="FFFFFF"/>
              </w:rPr>
              <w:t>632</w:t>
            </w:r>
          </w:p>
        </w:tc>
        <w:tc>
          <w:tcPr>
            <w:tcW w:w="1302" w:type="dxa"/>
          </w:tcPr>
          <w:p w14:paraId="42D0F895" w14:textId="67458451" w:rsidR="00D16303" w:rsidRPr="005D71A4" w:rsidRDefault="00D16303" w:rsidP="00160850">
            <w:pPr>
              <w:pStyle w:val="051Tabletext228pt"/>
              <w:rPr>
                <w:sz w:val="18"/>
                <w:szCs w:val="18"/>
                <w:shd w:val="clear" w:color="auto" w:fill="FFFFFF"/>
              </w:rPr>
            </w:pPr>
            <w:r w:rsidRPr="005D71A4">
              <w:rPr>
                <w:sz w:val="18"/>
                <w:szCs w:val="18"/>
                <w:shd w:val="clear" w:color="auto" w:fill="FFFFFF"/>
              </w:rPr>
              <w:t>243</w:t>
            </w:r>
          </w:p>
        </w:tc>
        <w:tc>
          <w:tcPr>
            <w:tcW w:w="1382" w:type="dxa"/>
          </w:tcPr>
          <w:p w14:paraId="1B84197A" w14:textId="555EEC4D" w:rsidR="00D16303" w:rsidRPr="005D71A4" w:rsidRDefault="00D16303" w:rsidP="00160850">
            <w:pPr>
              <w:pStyle w:val="051Tabletext228pt"/>
              <w:rPr>
                <w:sz w:val="18"/>
                <w:szCs w:val="18"/>
                <w:shd w:val="clear" w:color="auto" w:fill="FFFFFF"/>
              </w:rPr>
            </w:pPr>
            <w:r w:rsidRPr="005D71A4">
              <w:rPr>
                <w:sz w:val="18"/>
                <w:szCs w:val="18"/>
                <w:shd w:val="clear" w:color="auto" w:fill="FFFFFF"/>
              </w:rPr>
              <w:t>44</w:t>
            </w:r>
          </w:p>
        </w:tc>
        <w:tc>
          <w:tcPr>
            <w:tcW w:w="1526" w:type="dxa"/>
          </w:tcPr>
          <w:p w14:paraId="71CF5DCB" w14:textId="10DF70AB" w:rsidR="00D16303" w:rsidRPr="005D71A4" w:rsidRDefault="00D16303" w:rsidP="00160850">
            <w:pPr>
              <w:pStyle w:val="051Tabletext228pt"/>
              <w:rPr>
                <w:b/>
                <w:bCs/>
                <w:sz w:val="18"/>
                <w:szCs w:val="18"/>
              </w:rPr>
            </w:pPr>
            <w:r w:rsidRPr="005D71A4">
              <w:rPr>
                <w:b/>
                <w:bCs/>
                <w:sz w:val="18"/>
                <w:szCs w:val="18"/>
              </w:rPr>
              <w:t>2,682</w:t>
            </w:r>
          </w:p>
        </w:tc>
      </w:tr>
      <w:tr w:rsidR="009D584D" w:rsidRPr="00B0485F" w14:paraId="59E0EDB6" w14:textId="77777777" w:rsidTr="00066ADC">
        <w:tc>
          <w:tcPr>
            <w:tcW w:w="1624" w:type="dxa"/>
            <w:shd w:val="clear" w:color="auto" w:fill="E7E6E6" w:themeFill="background2"/>
          </w:tcPr>
          <w:p w14:paraId="4312B76F" w14:textId="24461023" w:rsidR="00D16303" w:rsidRPr="005D71A4" w:rsidRDefault="00D16303" w:rsidP="00160850">
            <w:pPr>
              <w:pStyle w:val="051Tabletext228pt"/>
              <w:rPr>
                <w:b/>
                <w:bCs/>
                <w:sz w:val="18"/>
                <w:szCs w:val="18"/>
              </w:rPr>
            </w:pPr>
            <w:r w:rsidRPr="005D71A4">
              <w:rPr>
                <w:b/>
                <w:bCs/>
                <w:sz w:val="18"/>
                <w:szCs w:val="18"/>
              </w:rPr>
              <w:t>2019</w:t>
            </w:r>
          </w:p>
        </w:tc>
        <w:tc>
          <w:tcPr>
            <w:tcW w:w="1203" w:type="dxa"/>
          </w:tcPr>
          <w:p w14:paraId="1A5C670E" w14:textId="0E8CBDD2" w:rsidR="00D16303" w:rsidRPr="005D71A4" w:rsidRDefault="00A329CE"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0E145D42" w14:textId="281A7738" w:rsidR="00D16303" w:rsidRPr="005D71A4" w:rsidRDefault="00D16303" w:rsidP="00160850">
            <w:pPr>
              <w:pStyle w:val="051Tabletext228pt"/>
              <w:rPr>
                <w:sz w:val="18"/>
                <w:szCs w:val="18"/>
                <w:shd w:val="clear" w:color="auto" w:fill="FFFFFF"/>
              </w:rPr>
            </w:pPr>
            <w:r w:rsidRPr="005D71A4">
              <w:rPr>
                <w:sz w:val="18"/>
                <w:szCs w:val="18"/>
                <w:shd w:val="clear" w:color="auto" w:fill="FFFFFF"/>
              </w:rPr>
              <w:t>1</w:t>
            </w:r>
          </w:p>
        </w:tc>
        <w:tc>
          <w:tcPr>
            <w:tcW w:w="1239" w:type="dxa"/>
          </w:tcPr>
          <w:p w14:paraId="51A4BA92" w14:textId="5C526C5F" w:rsidR="00D16303" w:rsidRPr="005D71A4" w:rsidRDefault="00D16303" w:rsidP="00160850">
            <w:pPr>
              <w:pStyle w:val="051Tabletext228pt"/>
              <w:rPr>
                <w:sz w:val="18"/>
                <w:szCs w:val="18"/>
                <w:shd w:val="clear" w:color="auto" w:fill="FFFFFF"/>
              </w:rPr>
            </w:pPr>
            <w:r w:rsidRPr="005D71A4">
              <w:rPr>
                <w:sz w:val="18"/>
                <w:szCs w:val="18"/>
                <w:shd w:val="clear" w:color="auto" w:fill="FFFFFF"/>
              </w:rPr>
              <w:t>41</w:t>
            </w:r>
          </w:p>
        </w:tc>
        <w:tc>
          <w:tcPr>
            <w:tcW w:w="1245" w:type="dxa"/>
          </w:tcPr>
          <w:p w14:paraId="528A0E36" w14:textId="018CE9DD" w:rsidR="00D16303" w:rsidRPr="005D71A4" w:rsidRDefault="00D16303" w:rsidP="00160850">
            <w:pPr>
              <w:pStyle w:val="051Tabletext228pt"/>
              <w:rPr>
                <w:sz w:val="18"/>
                <w:szCs w:val="18"/>
                <w:shd w:val="clear" w:color="auto" w:fill="FFFFFF"/>
              </w:rPr>
            </w:pPr>
            <w:r w:rsidRPr="005D71A4">
              <w:rPr>
                <w:sz w:val="18"/>
                <w:szCs w:val="18"/>
                <w:shd w:val="clear" w:color="auto" w:fill="FFFFFF"/>
              </w:rPr>
              <w:t>338</w:t>
            </w:r>
          </w:p>
        </w:tc>
        <w:tc>
          <w:tcPr>
            <w:tcW w:w="1259" w:type="dxa"/>
          </w:tcPr>
          <w:p w14:paraId="1DD7DF17" w14:textId="1B94598E" w:rsidR="00D16303" w:rsidRPr="005D71A4" w:rsidRDefault="00D16303" w:rsidP="00160850">
            <w:pPr>
              <w:pStyle w:val="051Tabletext228pt"/>
              <w:rPr>
                <w:sz w:val="18"/>
                <w:szCs w:val="18"/>
                <w:shd w:val="clear" w:color="auto" w:fill="FFFFFF"/>
              </w:rPr>
            </w:pPr>
            <w:r w:rsidRPr="005D71A4">
              <w:rPr>
                <w:sz w:val="18"/>
                <w:szCs w:val="18"/>
                <w:shd w:val="clear" w:color="auto" w:fill="FFFFFF"/>
              </w:rPr>
              <w:t>623</w:t>
            </w:r>
          </w:p>
        </w:tc>
        <w:tc>
          <w:tcPr>
            <w:tcW w:w="1246" w:type="dxa"/>
          </w:tcPr>
          <w:p w14:paraId="0C878A4D" w14:textId="0918173C" w:rsidR="00D16303" w:rsidRPr="005D71A4" w:rsidRDefault="00D16303" w:rsidP="00160850">
            <w:pPr>
              <w:pStyle w:val="051Tabletext228pt"/>
              <w:rPr>
                <w:sz w:val="18"/>
                <w:szCs w:val="18"/>
                <w:shd w:val="clear" w:color="auto" w:fill="FFFFFF"/>
              </w:rPr>
            </w:pPr>
            <w:r w:rsidRPr="005D71A4">
              <w:rPr>
                <w:sz w:val="18"/>
                <w:szCs w:val="18"/>
                <w:shd w:val="clear" w:color="auto" w:fill="FFFFFF"/>
              </w:rPr>
              <w:t>511</w:t>
            </w:r>
          </w:p>
        </w:tc>
        <w:tc>
          <w:tcPr>
            <w:tcW w:w="1305" w:type="dxa"/>
          </w:tcPr>
          <w:p w14:paraId="0ED6F161" w14:textId="1242AF40" w:rsidR="00D16303" w:rsidRPr="005D71A4" w:rsidRDefault="00D16303" w:rsidP="00160850">
            <w:pPr>
              <w:pStyle w:val="051Tabletext228pt"/>
              <w:rPr>
                <w:sz w:val="18"/>
                <w:szCs w:val="18"/>
                <w:shd w:val="clear" w:color="auto" w:fill="FFFFFF"/>
              </w:rPr>
            </w:pPr>
            <w:r w:rsidRPr="005D71A4">
              <w:rPr>
                <w:sz w:val="18"/>
                <w:szCs w:val="18"/>
                <w:shd w:val="clear" w:color="auto" w:fill="FFFFFF"/>
              </w:rPr>
              <w:t>569</w:t>
            </w:r>
          </w:p>
        </w:tc>
        <w:tc>
          <w:tcPr>
            <w:tcW w:w="1302" w:type="dxa"/>
          </w:tcPr>
          <w:p w14:paraId="38C3C482" w14:textId="2249D16A" w:rsidR="00D16303" w:rsidRPr="005D71A4" w:rsidRDefault="00D16303" w:rsidP="00160850">
            <w:pPr>
              <w:pStyle w:val="051Tabletext228pt"/>
              <w:rPr>
                <w:sz w:val="18"/>
                <w:szCs w:val="18"/>
                <w:shd w:val="clear" w:color="auto" w:fill="FFFFFF"/>
              </w:rPr>
            </w:pPr>
            <w:r w:rsidRPr="005D71A4">
              <w:rPr>
                <w:sz w:val="18"/>
                <w:szCs w:val="18"/>
                <w:shd w:val="clear" w:color="auto" w:fill="FFFFFF"/>
              </w:rPr>
              <w:t>267</w:t>
            </w:r>
          </w:p>
        </w:tc>
        <w:tc>
          <w:tcPr>
            <w:tcW w:w="1382" w:type="dxa"/>
          </w:tcPr>
          <w:p w14:paraId="594DCE63" w14:textId="0DAB7BFF" w:rsidR="00D16303" w:rsidRPr="005D71A4" w:rsidRDefault="00D16303" w:rsidP="00160850">
            <w:pPr>
              <w:pStyle w:val="051Tabletext228pt"/>
              <w:rPr>
                <w:sz w:val="18"/>
                <w:szCs w:val="18"/>
                <w:shd w:val="clear" w:color="auto" w:fill="FFFFFF"/>
              </w:rPr>
            </w:pPr>
            <w:r w:rsidRPr="005D71A4">
              <w:rPr>
                <w:sz w:val="18"/>
                <w:szCs w:val="18"/>
                <w:shd w:val="clear" w:color="auto" w:fill="FFFFFF"/>
              </w:rPr>
              <w:t>31</w:t>
            </w:r>
          </w:p>
        </w:tc>
        <w:tc>
          <w:tcPr>
            <w:tcW w:w="1526" w:type="dxa"/>
          </w:tcPr>
          <w:p w14:paraId="4013FD15" w14:textId="3692E4DE" w:rsidR="00D16303" w:rsidRPr="005D71A4" w:rsidRDefault="00D16303" w:rsidP="00160850">
            <w:pPr>
              <w:pStyle w:val="051Tabletext228pt"/>
              <w:rPr>
                <w:b/>
                <w:bCs/>
                <w:sz w:val="18"/>
                <w:szCs w:val="18"/>
              </w:rPr>
            </w:pPr>
            <w:r w:rsidRPr="005D71A4">
              <w:rPr>
                <w:b/>
                <w:bCs/>
                <w:sz w:val="18"/>
                <w:szCs w:val="18"/>
              </w:rPr>
              <w:t>2,381</w:t>
            </w:r>
          </w:p>
        </w:tc>
      </w:tr>
      <w:tr w:rsidR="009D584D" w:rsidRPr="00B0485F" w14:paraId="6EF57423" w14:textId="77777777" w:rsidTr="00066ADC">
        <w:tc>
          <w:tcPr>
            <w:tcW w:w="1624" w:type="dxa"/>
            <w:shd w:val="clear" w:color="auto" w:fill="E7E6E6" w:themeFill="background2"/>
          </w:tcPr>
          <w:p w14:paraId="250C4C37" w14:textId="04145DA1" w:rsidR="00D16303" w:rsidRPr="005D71A4" w:rsidRDefault="00D16303" w:rsidP="00160850">
            <w:pPr>
              <w:pStyle w:val="051Tabletext228pt"/>
              <w:rPr>
                <w:b/>
                <w:bCs/>
                <w:sz w:val="18"/>
                <w:szCs w:val="18"/>
              </w:rPr>
            </w:pPr>
            <w:r w:rsidRPr="005D71A4">
              <w:rPr>
                <w:b/>
                <w:bCs/>
                <w:sz w:val="18"/>
                <w:szCs w:val="18"/>
              </w:rPr>
              <w:t>2020</w:t>
            </w:r>
          </w:p>
        </w:tc>
        <w:tc>
          <w:tcPr>
            <w:tcW w:w="1203" w:type="dxa"/>
          </w:tcPr>
          <w:p w14:paraId="3BE98FC6" w14:textId="485AC900" w:rsidR="00D16303" w:rsidRPr="005D71A4" w:rsidRDefault="00A329CE"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6FC38B9D" w14:textId="10418074" w:rsidR="00D16303" w:rsidRPr="005D71A4" w:rsidRDefault="00D16303" w:rsidP="00160850">
            <w:pPr>
              <w:pStyle w:val="051Tabletext228pt"/>
              <w:rPr>
                <w:sz w:val="18"/>
                <w:szCs w:val="18"/>
                <w:shd w:val="clear" w:color="auto" w:fill="FFFFFF"/>
              </w:rPr>
            </w:pPr>
            <w:r w:rsidRPr="005D71A4">
              <w:rPr>
                <w:sz w:val="18"/>
                <w:szCs w:val="18"/>
                <w:shd w:val="clear" w:color="auto" w:fill="FFFFFF"/>
              </w:rPr>
              <w:t>1</w:t>
            </w:r>
          </w:p>
        </w:tc>
        <w:tc>
          <w:tcPr>
            <w:tcW w:w="1239" w:type="dxa"/>
          </w:tcPr>
          <w:p w14:paraId="7C31B712" w14:textId="54FAE54E" w:rsidR="00D16303" w:rsidRPr="005D71A4" w:rsidRDefault="00D16303" w:rsidP="00160850">
            <w:pPr>
              <w:pStyle w:val="051Tabletext228pt"/>
              <w:rPr>
                <w:sz w:val="18"/>
                <w:szCs w:val="18"/>
                <w:shd w:val="clear" w:color="auto" w:fill="FFFFFF"/>
              </w:rPr>
            </w:pPr>
            <w:r w:rsidRPr="005D71A4">
              <w:rPr>
                <w:sz w:val="18"/>
                <w:szCs w:val="18"/>
                <w:shd w:val="clear" w:color="auto" w:fill="FFFFFF"/>
              </w:rPr>
              <w:t>26</w:t>
            </w:r>
          </w:p>
        </w:tc>
        <w:tc>
          <w:tcPr>
            <w:tcW w:w="1245" w:type="dxa"/>
          </w:tcPr>
          <w:p w14:paraId="7C69E202" w14:textId="77C4B41A" w:rsidR="00D16303" w:rsidRPr="005D71A4" w:rsidRDefault="00D16303" w:rsidP="00160850">
            <w:pPr>
              <w:pStyle w:val="051Tabletext228pt"/>
              <w:rPr>
                <w:sz w:val="18"/>
                <w:szCs w:val="18"/>
                <w:shd w:val="clear" w:color="auto" w:fill="FFFFFF"/>
              </w:rPr>
            </w:pPr>
            <w:r w:rsidRPr="005D71A4">
              <w:rPr>
                <w:sz w:val="18"/>
                <w:szCs w:val="18"/>
                <w:shd w:val="clear" w:color="auto" w:fill="FFFFFF"/>
              </w:rPr>
              <w:t>219</w:t>
            </w:r>
          </w:p>
        </w:tc>
        <w:tc>
          <w:tcPr>
            <w:tcW w:w="1259" w:type="dxa"/>
          </w:tcPr>
          <w:p w14:paraId="22665D71" w14:textId="46A8647C" w:rsidR="00D16303" w:rsidRPr="005D71A4" w:rsidRDefault="00D16303" w:rsidP="00160850">
            <w:pPr>
              <w:pStyle w:val="051Tabletext228pt"/>
              <w:rPr>
                <w:sz w:val="18"/>
                <w:szCs w:val="18"/>
                <w:shd w:val="clear" w:color="auto" w:fill="FFFFFF"/>
              </w:rPr>
            </w:pPr>
            <w:r w:rsidRPr="005D71A4">
              <w:rPr>
                <w:sz w:val="18"/>
                <w:szCs w:val="18"/>
                <w:shd w:val="clear" w:color="auto" w:fill="FFFFFF"/>
              </w:rPr>
              <w:t>500</w:t>
            </w:r>
          </w:p>
        </w:tc>
        <w:tc>
          <w:tcPr>
            <w:tcW w:w="1246" w:type="dxa"/>
          </w:tcPr>
          <w:p w14:paraId="13C57B99" w14:textId="62C9CAA0" w:rsidR="00D16303" w:rsidRPr="005D71A4" w:rsidRDefault="00D16303" w:rsidP="00160850">
            <w:pPr>
              <w:pStyle w:val="051Tabletext228pt"/>
              <w:rPr>
                <w:sz w:val="18"/>
                <w:szCs w:val="18"/>
                <w:shd w:val="clear" w:color="auto" w:fill="FFFFFF"/>
              </w:rPr>
            </w:pPr>
            <w:r w:rsidRPr="005D71A4">
              <w:rPr>
                <w:sz w:val="18"/>
                <w:szCs w:val="18"/>
                <w:shd w:val="clear" w:color="auto" w:fill="FFFFFF"/>
              </w:rPr>
              <w:t>352</w:t>
            </w:r>
          </w:p>
        </w:tc>
        <w:tc>
          <w:tcPr>
            <w:tcW w:w="1305" w:type="dxa"/>
          </w:tcPr>
          <w:p w14:paraId="47A620EE" w14:textId="4741146F" w:rsidR="00D16303" w:rsidRPr="005D71A4" w:rsidRDefault="00D16303" w:rsidP="00160850">
            <w:pPr>
              <w:pStyle w:val="051Tabletext228pt"/>
              <w:rPr>
                <w:sz w:val="18"/>
                <w:szCs w:val="18"/>
                <w:shd w:val="clear" w:color="auto" w:fill="FFFFFF"/>
              </w:rPr>
            </w:pPr>
            <w:r w:rsidRPr="005D71A4">
              <w:rPr>
                <w:sz w:val="18"/>
                <w:szCs w:val="18"/>
                <w:shd w:val="clear" w:color="auto" w:fill="FFFFFF"/>
              </w:rPr>
              <w:t>360</w:t>
            </w:r>
          </w:p>
        </w:tc>
        <w:tc>
          <w:tcPr>
            <w:tcW w:w="1302" w:type="dxa"/>
          </w:tcPr>
          <w:p w14:paraId="614A7DD1" w14:textId="3C0794C2" w:rsidR="00D16303" w:rsidRPr="005D71A4" w:rsidRDefault="00D16303" w:rsidP="00160850">
            <w:pPr>
              <w:pStyle w:val="051Tabletext228pt"/>
              <w:rPr>
                <w:sz w:val="18"/>
                <w:szCs w:val="18"/>
                <w:shd w:val="clear" w:color="auto" w:fill="FFFFFF"/>
              </w:rPr>
            </w:pPr>
            <w:r w:rsidRPr="005D71A4">
              <w:rPr>
                <w:sz w:val="18"/>
                <w:szCs w:val="18"/>
                <w:shd w:val="clear" w:color="auto" w:fill="FFFFFF"/>
              </w:rPr>
              <w:t>167</w:t>
            </w:r>
          </w:p>
        </w:tc>
        <w:tc>
          <w:tcPr>
            <w:tcW w:w="1382" w:type="dxa"/>
          </w:tcPr>
          <w:p w14:paraId="10D2D188" w14:textId="5B516BBB" w:rsidR="00D16303" w:rsidRPr="005D71A4" w:rsidRDefault="00D16303" w:rsidP="00160850">
            <w:pPr>
              <w:pStyle w:val="051Tabletext228pt"/>
              <w:rPr>
                <w:sz w:val="18"/>
                <w:szCs w:val="18"/>
                <w:shd w:val="clear" w:color="auto" w:fill="FFFFFF"/>
              </w:rPr>
            </w:pPr>
            <w:r w:rsidRPr="005D71A4">
              <w:rPr>
                <w:sz w:val="18"/>
                <w:szCs w:val="18"/>
                <w:shd w:val="clear" w:color="auto" w:fill="FFFFFF"/>
              </w:rPr>
              <w:t>23</w:t>
            </w:r>
          </w:p>
        </w:tc>
        <w:tc>
          <w:tcPr>
            <w:tcW w:w="1526" w:type="dxa"/>
          </w:tcPr>
          <w:p w14:paraId="63D49F70" w14:textId="5A3B9373" w:rsidR="00D16303" w:rsidRPr="005D71A4" w:rsidRDefault="00D16303" w:rsidP="00160850">
            <w:pPr>
              <w:pStyle w:val="051Tabletext228pt"/>
              <w:rPr>
                <w:b/>
                <w:bCs/>
                <w:sz w:val="18"/>
                <w:szCs w:val="18"/>
              </w:rPr>
            </w:pPr>
            <w:r w:rsidRPr="005D71A4">
              <w:rPr>
                <w:b/>
                <w:bCs/>
                <w:sz w:val="18"/>
                <w:szCs w:val="18"/>
              </w:rPr>
              <w:t>1,648</w:t>
            </w:r>
          </w:p>
        </w:tc>
      </w:tr>
      <w:tr w:rsidR="009D584D" w:rsidRPr="00B0485F" w14:paraId="3DB2A6A6" w14:textId="77777777" w:rsidTr="00066ADC">
        <w:tc>
          <w:tcPr>
            <w:tcW w:w="1624" w:type="dxa"/>
            <w:shd w:val="clear" w:color="auto" w:fill="E7E6E6" w:themeFill="background2"/>
          </w:tcPr>
          <w:p w14:paraId="5975447F" w14:textId="74E471D7" w:rsidR="00D16303" w:rsidRPr="005D71A4" w:rsidRDefault="00D16303" w:rsidP="00160850">
            <w:pPr>
              <w:pStyle w:val="051Tabletext228pt"/>
              <w:rPr>
                <w:b/>
                <w:bCs/>
                <w:sz w:val="18"/>
                <w:szCs w:val="18"/>
              </w:rPr>
            </w:pPr>
            <w:r w:rsidRPr="005D71A4">
              <w:rPr>
                <w:b/>
                <w:bCs/>
                <w:sz w:val="18"/>
                <w:szCs w:val="18"/>
              </w:rPr>
              <w:t>2021</w:t>
            </w:r>
          </w:p>
        </w:tc>
        <w:tc>
          <w:tcPr>
            <w:tcW w:w="1203" w:type="dxa"/>
          </w:tcPr>
          <w:p w14:paraId="52F8680F" w14:textId="5DDDE92D" w:rsidR="00D16303" w:rsidRPr="005D71A4" w:rsidRDefault="00A329CE"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429181BC" w14:textId="369A27DF" w:rsidR="00D16303" w:rsidRPr="005D71A4" w:rsidRDefault="00D16303"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7E15C68F" w14:textId="6774346A" w:rsidR="00D16303" w:rsidRPr="005D71A4" w:rsidRDefault="00D16303" w:rsidP="00160850">
            <w:pPr>
              <w:pStyle w:val="051Tabletext228pt"/>
              <w:rPr>
                <w:sz w:val="18"/>
                <w:szCs w:val="18"/>
                <w:shd w:val="clear" w:color="auto" w:fill="FFFFFF"/>
              </w:rPr>
            </w:pPr>
            <w:r w:rsidRPr="005D71A4">
              <w:rPr>
                <w:sz w:val="18"/>
                <w:szCs w:val="18"/>
                <w:shd w:val="clear" w:color="auto" w:fill="FFFFFF"/>
              </w:rPr>
              <w:t>22</w:t>
            </w:r>
          </w:p>
        </w:tc>
        <w:tc>
          <w:tcPr>
            <w:tcW w:w="1245" w:type="dxa"/>
          </w:tcPr>
          <w:p w14:paraId="750F4A8A" w14:textId="37035201" w:rsidR="00D16303" w:rsidRPr="005D71A4" w:rsidRDefault="00D16303" w:rsidP="00160850">
            <w:pPr>
              <w:pStyle w:val="051Tabletext228pt"/>
              <w:rPr>
                <w:sz w:val="18"/>
                <w:szCs w:val="18"/>
                <w:shd w:val="clear" w:color="auto" w:fill="FFFFFF"/>
              </w:rPr>
            </w:pPr>
            <w:r w:rsidRPr="005D71A4">
              <w:rPr>
                <w:sz w:val="18"/>
                <w:szCs w:val="18"/>
                <w:shd w:val="clear" w:color="auto" w:fill="FFFFFF"/>
              </w:rPr>
              <w:t>224</w:t>
            </w:r>
          </w:p>
        </w:tc>
        <w:tc>
          <w:tcPr>
            <w:tcW w:w="1259" w:type="dxa"/>
          </w:tcPr>
          <w:p w14:paraId="67C1D07B" w14:textId="42D61D34" w:rsidR="00D16303" w:rsidRPr="005D71A4" w:rsidRDefault="00D16303" w:rsidP="00160850">
            <w:pPr>
              <w:pStyle w:val="051Tabletext228pt"/>
              <w:rPr>
                <w:sz w:val="18"/>
                <w:szCs w:val="18"/>
                <w:shd w:val="clear" w:color="auto" w:fill="FFFFFF"/>
              </w:rPr>
            </w:pPr>
            <w:r w:rsidRPr="005D71A4">
              <w:rPr>
                <w:sz w:val="18"/>
                <w:szCs w:val="18"/>
                <w:shd w:val="clear" w:color="auto" w:fill="FFFFFF"/>
              </w:rPr>
              <w:t>365</w:t>
            </w:r>
          </w:p>
        </w:tc>
        <w:tc>
          <w:tcPr>
            <w:tcW w:w="1246" w:type="dxa"/>
          </w:tcPr>
          <w:p w14:paraId="3751B48F" w14:textId="586C7C56" w:rsidR="00D16303" w:rsidRPr="005D71A4" w:rsidRDefault="00D16303" w:rsidP="00160850">
            <w:pPr>
              <w:pStyle w:val="051Tabletext228pt"/>
              <w:rPr>
                <w:sz w:val="18"/>
                <w:szCs w:val="18"/>
                <w:shd w:val="clear" w:color="auto" w:fill="FFFFFF"/>
              </w:rPr>
            </w:pPr>
            <w:r w:rsidRPr="005D71A4">
              <w:rPr>
                <w:sz w:val="18"/>
                <w:szCs w:val="18"/>
                <w:shd w:val="clear" w:color="auto" w:fill="FFFFFF"/>
              </w:rPr>
              <w:t>318</w:t>
            </w:r>
          </w:p>
        </w:tc>
        <w:tc>
          <w:tcPr>
            <w:tcW w:w="1305" w:type="dxa"/>
          </w:tcPr>
          <w:p w14:paraId="6DF363B8" w14:textId="623146B6" w:rsidR="00D16303" w:rsidRPr="005D71A4" w:rsidRDefault="00D16303" w:rsidP="00160850">
            <w:pPr>
              <w:pStyle w:val="051Tabletext228pt"/>
              <w:rPr>
                <w:sz w:val="18"/>
                <w:szCs w:val="18"/>
                <w:shd w:val="clear" w:color="auto" w:fill="FFFFFF"/>
              </w:rPr>
            </w:pPr>
            <w:r w:rsidRPr="005D71A4">
              <w:rPr>
                <w:sz w:val="18"/>
                <w:szCs w:val="18"/>
                <w:shd w:val="clear" w:color="auto" w:fill="FFFFFF"/>
              </w:rPr>
              <w:t>308</w:t>
            </w:r>
          </w:p>
        </w:tc>
        <w:tc>
          <w:tcPr>
            <w:tcW w:w="1302" w:type="dxa"/>
          </w:tcPr>
          <w:p w14:paraId="46912C42" w14:textId="7ABBD43D" w:rsidR="00D16303" w:rsidRPr="005D71A4" w:rsidRDefault="00D16303" w:rsidP="00160850">
            <w:pPr>
              <w:pStyle w:val="051Tabletext228pt"/>
              <w:rPr>
                <w:sz w:val="18"/>
                <w:szCs w:val="18"/>
                <w:shd w:val="clear" w:color="auto" w:fill="FFFFFF"/>
              </w:rPr>
            </w:pPr>
            <w:r w:rsidRPr="005D71A4">
              <w:rPr>
                <w:sz w:val="18"/>
                <w:szCs w:val="18"/>
                <w:shd w:val="clear" w:color="auto" w:fill="FFFFFF"/>
              </w:rPr>
              <w:t>156</w:t>
            </w:r>
          </w:p>
        </w:tc>
        <w:tc>
          <w:tcPr>
            <w:tcW w:w="1382" w:type="dxa"/>
          </w:tcPr>
          <w:p w14:paraId="315C7C34" w14:textId="2F73B34F" w:rsidR="00D16303" w:rsidRPr="005D71A4" w:rsidRDefault="00D16303" w:rsidP="00160850">
            <w:pPr>
              <w:pStyle w:val="051Tabletext228pt"/>
              <w:rPr>
                <w:sz w:val="18"/>
                <w:szCs w:val="18"/>
                <w:shd w:val="clear" w:color="auto" w:fill="FFFFFF"/>
              </w:rPr>
            </w:pPr>
            <w:r w:rsidRPr="005D71A4">
              <w:rPr>
                <w:sz w:val="18"/>
                <w:szCs w:val="18"/>
                <w:shd w:val="clear" w:color="auto" w:fill="FFFFFF"/>
              </w:rPr>
              <w:t>18</w:t>
            </w:r>
          </w:p>
        </w:tc>
        <w:tc>
          <w:tcPr>
            <w:tcW w:w="1526" w:type="dxa"/>
          </w:tcPr>
          <w:p w14:paraId="02D197A1" w14:textId="64AA4103" w:rsidR="00D16303" w:rsidRPr="005D71A4" w:rsidRDefault="00D16303" w:rsidP="00160850">
            <w:pPr>
              <w:pStyle w:val="051Tabletext228pt"/>
              <w:rPr>
                <w:b/>
                <w:bCs/>
                <w:sz w:val="18"/>
                <w:szCs w:val="18"/>
              </w:rPr>
            </w:pPr>
            <w:r w:rsidRPr="005D71A4">
              <w:rPr>
                <w:b/>
                <w:bCs/>
                <w:sz w:val="18"/>
                <w:szCs w:val="18"/>
              </w:rPr>
              <w:t>1,411</w:t>
            </w:r>
          </w:p>
        </w:tc>
      </w:tr>
      <w:tr w:rsidR="009D584D" w:rsidRPr="00B0485F" w14:paraId="024C5038" w14:textId="77777777" w:rsidTr="00066ADC">
        <w:tc>
          <w:tcPr>
            <w:tcW w:w="1624" w:type="dxa"/>
            <w:shd w:val="clear" w:color="auto" w:fill="E7E6E6" w:themeFill="background2"/>
          </w:tcPr>
          <w:p w14:paraId="09AFF9C3" w14:textId="2C25DF48" w:rsidR="00D16303" w:rsidRPr="005D71A4" w:rsidRDefault="00D16303" w:rsidP="00160850">
            <w:pPr>
              <w:pStyle w:val="051Tabletext228pt"/>
              <w:rPr>
                <w:b/>
                <w:bCs/>
                <w:sz w:val="18"/>
                <w:szCs w:val="18"/>
              </w:rPr>
            </w:pPr>
            <w:r w:rsidRPr="005D71A4">
              <w:rPr>
                <w:b/>
                <w:bCs/>
                <w:sz w:val="18"/>
                <w:szCs w:val="18"/>
              </w:rPr>
              <w:t>2022</w:t>
            </w:r>
          </w:p>
        </w:tc>
        <w:tc>
          <w:tcPr>
            <w:tcW w:w="1203" w:type="dxa"/>
          </w:tcPr>
          <w:p w14:paraId="7910D74C" w14:textId="25475DEF" w:rsidR="00D16303" w:rsidRPr="005D71A4" w:rsidRDefault="00A329CE"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00801A00" w14:textId="1E1725C6" w:rsidR="00D16303" w:rsidRPr="005D71A4" w:rsidRDefault="00D16303" w:rsidP="00160850">
            <w:pPr>
              <w:pStyle w:val="051Tabletext228pt"/>
              <w:rPr>
                <w:sz w:val="18"/>
                <w:szCs w:val="18"/>
                <w:shd w:val="clear" w:color="auto" w:fill="FFFFFF"/>
              </w:rPr>
            </w:pPr>
            <w:r w:rsidRPr="005D71A4">
              <w:rPr>
                <w:sz w:val="18"/>
                <w:szCs w:val="18"/>
                <w:shd w:val="clear" w:color="auto" w:fill="FFFFFF"/>
              </w:rPr>
              <w:t>0</w:t>
            </w:r>
          </w:p>
        </w:tc>
        <w:tc>
          <w:tcPr>
            <w:tcW w:w="1239" w:type="dxa"/>
          </w:tcPr>
          <w:p w14:paraId="0A125EE7" w14:textId="0DB7D9A5" w:rsidR="00D16303" w:rsidRPr="005D71A4" w:rsidRDefault="00D16303" w:rsidP="00160850">
            <w:pPr>
              <w:pStyle w:val="051Tabletext228pt"/>
              <w:rPr>
                <w:sz w:val="18"/>
                <w:szCs w:val="18"/>
                <w:shd w:val="clear" w:color="auto" w:fill="FFFFFF"/>
              </w:rPr>
            </w:pPr>
            <w:r w:rsidRPr="005D71A4">
              <w:rPr>
                <w:sz w:val="18"/>
                <w:szCs w:val="18"/>
                <w:shd w:val="clear" w:color="auto" w:fill="FFFFFF"/>
              </w:rPr>
              <w:t>12</w:t>
            </w:r>
          </w:p>
        </w:tc>
        <w:tc>
          <w:tcPr>
            <w:tcW w:w="1245" w:type="dxa"/>
          </w:tcPr>
          <w:p w14:paraId="246ED18A" w14:textId="65434F1F" w:rsidR="00D16303" w:rsidRPr="005D71A4" w:rsidRDefault="00D16303" w:rsidP="00160850">
            <w:pPr>
              <w:pStyle w:val="051Tabletext228pt"/>
              <w:rPr>
                <w:sz w:val="18"/>
                <w:szCs w:val="18"/>
                <w:shd w:val="clear" w:color="auto" w:fill="FFFFFF"/>
              </w:rPr>
            </w:pPr>
            <w:r w:rsidRPr="005D71A4">
              <w:rPr>
                <w:sz w:val="18"/>
                <w:szCs w:val="18"/>
                <w:shd w:val="clear" w:color="auto" w:fill="FFFFFF"/>
              </w:rPr>
              <w:t>161</w:t>
            </w:r>
          </w:p>
        </w:tc>
        <w:tc>
          <w:tcPr>
            <w:tcW w:w="1259" w:type="dxa"/>
          </w:tcPr>
          <w:p w14:paraId="21D97740" w14:textId="0C6F977F" w:rsidR="00D16303" w:rsidRPr="005D71A4" w:rsidRDefault="00D16303" w:rsidP="00160850">
            <w:pPr>
              <w:pStyle w:val="051Tabletext228pt"/>
              <w:rPr>
                <w:sz w:val="18"/>
                <w:szCs w:val="18"/>
                <w:shd w:val="clear" w:color="auto" w:fill="FFFFFF"/>
              </w:rPr>
            </w:pPr>
            <w:r w:rsidRPr="005D71A4">
              <w:rPr>
                <w:sz w:val="18"/>
                <w:szCs w:val="18"/>
                <w:shd w:val="clear" w:color="auto" w:fill="FFFFFF"/>
              </w:rPr>
              <w:t>302</w:t>
            </w:r>
          </w:p>
        </w:tc>
        <w:tc>
          <w:tcPr>
            <w:tcW w:w="1246" w:type="dxa"/>
          </w:tcPr>
          <w:p w14:paraId="31BC7D2F" w14:textId="693CA5FB" w:rsidR="00D16303" w:rsidRPr="005D71A4" w:rsidRDefault="00D16303" w:rsidP="00160850">
            <w:pPr>
              <w:pStyle w:val="051Tabletext228pt"/>
              <w:rPr>
                <w:sz w:val="18"/>
                <w:szCs w:val="18"/>
                <w:shd w:val="clear" w:color="auto" w:fill="FFFFFF"/>
              </w:rPr>
            </w:pPr>
            <w:r w:rsidRPr="005D71A4">
              <w:rPr>
                <w:sz w:val="18"/>
                <w:szCs w:val="18"/>
                <w:shd w:val="clear" w:color="auto" w:fill="FFFFFF"/>
              </w:rPr>
              <w:t>254</w:t>
            </w:r>
          </w:p>
        </w:tc>
        <w:tc>
          <w:tcPr>
            <w:tcW w:w="1305" w:type="dxa"/>
          </w:tcPr>
          <w:p w14:paraId="2988E218" w14:textId="0952BC31" w:rsidR="00D16303" w:rsidRPr="005D71A4" w:rsidRDefault="00D16303" w:rsidP="00160850">
            <w:pPr>
              <w:pStyle w:val="051Tabletext228pt"/>
              <w:rPr>
                <w:sz w:val="18"/>
                <w:szCs w:val="18"/>
                <w:shd w:val="clear" w:color="auto" w:fill="FFFFFF"/>
              </w:rPr>
            </w:pPr>
            <w:r w:rsidRPr="005D71A4">
              <w:rPr>
                <w:sz w:val="18"/>
                <w:szCs w:val="18"/>
                <w:shd w:val="clear" w:color="auto" w:fill="FFFFFF"/>
              </w:rPr>
              <w:t>250</w:t>
            </w:r>
          </w:p>
        </w:tc>
        <w:tc>
          <w:tcPr>
            <w:tcW w:w="1302" w:type="dxa"/>
          </w:tcPr>
          <w:p w14:paraId="10D13814" w14:textId="38FCF6EE" w:rsidR="00D16303" w:rsidRPr="005D71A4" w:rsidRDefault="00D16303" w:rsidP="00160850">
            <w:pPr>
              <w:pStyle w:val="051Tabletext228pt"/>
              <w:rPr>
                <w:sz w:val="18"/>
                <w:szCs w:val="18"/>
                <w:shd w:val="clear" w:color="auto" w:fill="FFFFFF"/>
              </w:rPr>
            </w:pPr>
            <w:r w:rsidRPr="005D71A4">
              <w:rPr>
                <w:sz w:val="18"/>
                <w:szCs w:val="18"/>
                <w:shd w:val="clear" w:color="auto" w:fill="FFFFFF"/>
              </w:rPr>
              <w:t>155</w:t>
            </w:r>
          </w:p>
        </w:tc>
        <w:tc>
          <w:tcPr>
            <w:tcW w:w="1382" w:type="dxa"/>
          </w:tcPr>
          <w:p w14:paraId="1E21A93A" w14:textId="0FB7C479" w:rsidR="00D16303" w:rsidRPr="005D71A4" w:rsidRDefault="00D16303" w:rsidP="00160850">
            <w:pPr>
              <w:pStyle w:val="051Tabletext228pt"/>
              <w:rPr>
                <w:sz w:val="18"/>
                <w:szCs w:val="18"/>
                <w:shd w:val="clear" w:color="auto" w:fill="FFFFFF"/>
              </w:rPr>
            </w:pPr>
            <w:r w:rsidRPr="005D71A4">
              <w:rPr>
                <w:sz w:val="18"/>
                <w:szCs w:val="18"/>
                <w:shd w:val="clear" w:color="auto" w:fill="FFFFFF"/>
              </w:rPr>
              <w:t>20</w:t>
            </w:r>
          </w:p>
        </w:tc>
        <w:tc>
          <w:tcPr>
            <w:tcW w:w="1526" w:type="dxa"/>
          </w:tcPr>
          <w:p w14:paraId="3F0D74F2" w14:textId="67F2780B" w:rsidR="00D16303" w:rsidRPr="005D71A4" w:rsidRDefault="00D16303" w:rsidP="00160850">
            <w:pPr>
              <w:pStyle w:val="051Tabletext228pt"/>
              <w:rPr>
                <w:b/>
                <w:bCs/>
                <w:sz w:val="18"/>
                <w:szCs w:val="18"/>
              </w:rPr>
            </w:pPr>
            <w:r w:rsidRPr="005D71A4">
              <w:rPr>
                <w:b/>
                <w:bCs/>
                <w:sz w:val="18"/>
                <w:szCs w:val="18"/>
              </w:rPr>
              <w:t>1,154</w:t>
            </w:r>
          </w:p>
        </w:tc>
      </w:tr>
      <w:tr w:rsidR="009D584D" w:rsidRPr="00B0485F" w14:paraId="486C982E" w14:textId="77777777" w:rsidTr="00D16303">
        <w:tc>
          <w:tcPr>
            <w:tcW w:w="1624" w:type="dxa"/>
          </w:tcPr>
          <w:p w14:paraId="226E1742" w14:textId="06B239E5" w:rsidR="002A7CAA" w:rsidRPr="005D71A4" w:rsidRDefault="002A7CAA" w:rsidP="00160850">
            <w:pPr>
              <w:pStyle w:val="051Tabletext228pt"/>
              <w:rPr>
                <w:b/>
                <w:bCs/>
                <w:sz w:val="18"/>
                <w:szCs w:val="18"/>
              </w:rPr>
            </w:pPr>
            <w:r w:rsidRPr="005D71A4">
              <w:rPr>
                <w:b/>
                <w:bCs/>
                <w:sz w:val="18"/>
                <w:szCs w:val="18"/>
              </w:rPr>
              <w:t>Total</w:t>
            </w:r>
          </w:p>
        </w:tc>
        <w:tc>
          <w:tcPr>
            <w:tcW w:w="1203" w:type="dxa"/>
          </w:tcPr>
          <w:p w14:paraId="7A42857B" w14:textId="516E1AE1" w:rsidR="002A7CAA" w:rsidRPr="005D71A4" w:rsidRDefault="002A7CAA" w:rsidP="00160850">
            <w:pPr>
              <w:pStyle w:val="051Tabletext228pt"/>
              <w:rPr>
                <w:b/>
                <w:bCs/>
                <w:sz w:val="18"/>
                <w:szCs w:val="18"/>
                <w:shd w:val="clear" w:color="auto" w:fill="FFFFFF"/>
              </w:rPr>
            </w:pPr>
            <w:r w:rsidRPr="005D71A4">
              <w:rPr>
                <w:b/>
                <w:bCs/>
                <w:sz w:val="18"/>
                <w:szCs w:val="18"/>
              </w:rPr>
              <w:t>1</w:t>
            </w:r>
          </w:p>
        </w:tc>
        <w:tc>
          <w:tcPr>
            <w:tcW w:w="1239" w:type="dxa"/>
          </w:tcPr>
          <w:p w14:paraId="1CE7738C" w14:textId="01C826FF" w:rsidR="002A7CAA" w:rsidRPr="005D71A4" w:rsidRDefault="002A7CAA" w:rsidP="00160850">
            <w:pPr>
              <w:pStyle w:val="051Tabletext228pt"/>
              <w:rPr>
                <w:b/>
                <w:bCs/>
                <w:sz w:val="18"/>
                <w:szCs w:val="18"/>
                <w:shd w:val="clear" w:color="auto" w:fill="FFFFFF"/>
              </w:rPr>
            </w:pPr>
            <w:r w:rsidRPr="005D71A4">
              <w:rPr>
                <w:b/>
                <w:bCs/>
                <w:sz w:val="18"/>
                <w:szCs w:val="18"/>
              </w:rPr>
              <w:t>12</w:t>
            </w:r>
          </w:p>
        </w:tc>
        <w:tc>
          <w:tcPr>
            <w:tcW w:w="1239" w:type="dxa"/>
          </w:tcPr>
          <w:p w14:paraId="780FC8B0" w14:textId="0DFED38B" w:rsidR="002A7CAA" w:rsidRPr="005D71A4" w:rsidRDefault="002A7CAA" w:rsidP="00160850">
            <w:pPr>
              <w:pStyle w:val="051Tabletext228pt"/>
              <w:rPr>
                <w:b/>
                <w:bCs/>
                <w:sz w:val="18"/>
                <w:szCs w:val="18"/>
                <w:shd w:val="clear" w:color="auto" w:fill="FFFFFF"/>
              </w:rPr>
            </w:pPr>
            <w:r w:rsidRPr="005D71A4">
              <w:rPr>
                <w:b/>
                <w:bCs/>
                <w:sz w:val="18"/>
                <w:szCs w:val="18"/>
              </w:rPr>
              <w:t>552</w:t>
            </w:r>
          </w:p>
        </w:tc>
        <w:tc>
          <w:tcPr>
            <w:tcW w:w="1245" w:type="dxa"/>
          </w:tcPr>
          <w:p w14:paraId="50D6BDD8" w14:textId="44B62039" w:rsidR="002A7CAA" w:rsidRPr="005D71A4" w:rsidRDefault="002A7CAA" w:rsidP="00160850">
            <w:pPr>
              <w:pStyle w:val="051Tabletext228pt"/>
              <w:rPr>
                <w:b/>
                <w:bCs/>
                <w:sz w:val="18"/>
                <w:szCs w:val="18"/>
                <w:shd w:val="clear" w:color="auto" w:fill="FFFFFF"/>
              </w:rPr>
            </w:pPr>
            <w:r w:rsidRPr="005D71A4">
              <w:rPr>
                <w:b/>
                <w:bCs/>
                <w:sz w:val="18"/>
                <w:szCs w:val="18"/>
              </w:rPr>
              <w:t>5,134</w:t>
            </w:r>
          </w:p>
        </w:tc>
        <w:tc>
          <w:tcPr>
            <w:tcW w:w="1259" w:type="dxa"/>
          </w:tcPr>
          <w:p w14:paraId="2D6B07F1" w14:textId="19FF0632" w:rsidR="002A7CAA" w:rsidRPr="005D71A4" w:rsidRDefault="002A7CAA" w:rsidP="00160850">
            <w:pPr>
              <w:pStyle w:val="051Tabletext228pt"/>
              <w:rPr>
                <w:b/>
                <w:bCs/>
                <w:sz w:val="18"/>
                <w:szCs w:val="18"/>
                <w:shd w:val="clear" w:color="auto" w:fill="FFFFFF"/>
              </w:rPr>
            </w:pPr>
            <w:r w:rsidRPr="005D71A4">
              <w:rPr>
                <w:b/>
                <w:bCs/>
                <w:sz w:val="18"/>
                <w:szCs w:val="18"/>
              </w:rPr>
              <w:t>9,686</w:t>
            </w:r>
          </w:p>
        </w:tc>
        <w:tc>
          <w:tcPr>
            <w:tcW w:w="1246" w:type="dxa"/>
          </w:tcPr>
          <w:p w14:paraId="64ABCEA9" w14:textId="679D7DAF" w:rsidR="002A7CAA" w:rsidRPr="005D71A4" w:rsidRDefault="002A7CAA" w:rsidP="00160850">
            <w:pPr>
              <w:pStyle w:val="051Tabletext228pt"/>
              <w:rPr>
                <w:b/>
                <w:bCs/>
                <w:sz w:val="18"/>
                <w:szCs w:val="18"/>
                <w:shd w:val="clear" w:color="auto" w:fill="FFFFFF"/>
              </w:rPr>
            </w:pPr>
            <w:r w:rsidRPr="005D71A4">
              <w:rPr>
                <w:b/>
                <w:bCs/>
                <w:sz w:val="18"/>
                <w:szCs w:val="18"/>
              </w:rPr>
              <w:t>7,862</w:t>
            </w:r>
          </w:p>
        </w:tc>
        <w:tc>
          <w:tcPr>
            <w:tcW w:w="1305" w:type="dxa"/>
          </w:tcPr>
          <w:p w14:paraId="23D3B3FB" w14:textId="1FEB9464" w:rsidR="002A7CAA" w:rsidRPr="005D71A4" w:rsidRDefault="002A7CAA" w:rsidP="00160850">
            <w:pPr>
              <w:pStyle w:val="051Tabletext228pt"/>
              <w:rPr>
                <w:b/>
                <w:bCs/>
                <w:sz w:val="18"/>
                <w:szCs w:val="18"/>
                <w:shd w:val="clear" w:color="auto" w:fill="FFFFFF"/>
              </w:rPr>
            </w:pPr>
            <w:r w:rsidRPr="005D71A4">
              <w:rPr>
                <w:b/>
                <w:bCs/>
                <w:sz w:val="18"/>
                <w:szCs w:val="18"/>
              </w:rPr>
              <w:t>7,365</w:t>
            </w:r>
          </w:p>
        </w:tc>
        <w:tc>
          <w:tcPr>
            <w:tcW w:w="1302" w:type="dxa"/>
          </w:tcPr>
          <w:p w14:paraId="21D54F78" w14:textId="2BA896CC" w:rsidR="002A7CAA" w:rsidRPr="005D71A4" w:rsidRDefault="002A7CAA" w:rsidP="00160850">
            <w:pPr>
              <w:pStyle w:val="051Tabletext228pt"/>
              <w:rPr>
                <w:b/>
                <w:bCs/>
                <w:sz w:val="18"/>
                <w:szCs w:val="18"/>
                <w:shd w:val="clear" w:color="auto" w:fill="FFFFFF"/>
              </w:rPr>
            </w:pPr>
            <w:r w:rsidRPr="005D71A4">
              <w:rPr>
                <w:b/>
                <w:bCs/>
                <w:sz w:val="18"/>
                <w:szCs w:val="18"/>
              </w:rPr>
              <w:t>2,979</w:t>
            </w:r>
          </w:p>
        </w:tc>
        <w:tc>
          <w:tcPr>
            <w:tcW w:w="1382" w:type="dxa"/>
          </w:tcPr>
          <w:p w14:paraId="62DB0C33" w14:textId="72E6A029" w:rsidR="002A7CAA" w:rsidRPr="005D71A4" w:rsidRDefault="002A7CAA" w:rsidP="00160850">
            <w:pPr>
              <w:pStyle w:val="051Tabletext228pt"/>
              <w:rPr>
                <w:b/>
                <w:bCs/>
                <w:sz w:val="18"/>
                <w:szCs w:val="18"/>
                <w:shd w:val="clear" w:color="auto" w:fill="FFFFFF"/>
              </w:rPr>
            </w:pPr>
            <w:r w:rsidRPr="005D71A4">
              <w:rPr>
                <w:b/>
                <w:bCs/>
                <w:sz w:val="18"/>
                <w:szCs w:val="18"/>
              </w:rPr>
              <w:t>381</w:t>
            </w:r>
          </w:p>
        </w:tc>
        <w:tc>
          <w:tcPr>
            <w:tcW w:w="1526" w:type="dxa"/>
          </w:tcPr>
          <w:p w14:paraId="747F0841" w14:textId="7D956E29" w:rsidR="002A7CAA" w:rsidRPr="005D71A4" w:rsidRDefault="00631E58" w:rsidP="00160850">
            <w:pPr>
              <w:pStyle w:val="051Tabletext228pt"/>
              <w:rPr>
                <w:b/>
                <w:bCs/>
                <w:sz w:val="18"/>
                <w:szCs w:val="18"/>
              </w:rPr>
            </w:pPr>
            <w:r w:rsidRPr="005D71A4">
              <w:rPr>
                <w:b/>
                <w:bCs/>
                <w:sz w:val="18"/>
                <w:szCs w:val="18"/>
              </w:rPr>
              <w:t>33</w:t>
            </w:r>
            <w:r w:rsidR="00DE08E6" w:rsidRPr="005D71A4">
              <w:rPr>
                <w:b/>
                <w:bCs/>
                <w:sz w:val="18"/>
                <w:szCs w:val="18"/>
              </w:rPr>
              <w:t>,</w:t>
            </w:r>
            <w:r w:rsidRPr="005D71A4">
              <w:rPr>
                <w:b/>
                <w:bCs/>
                <w:sz w:val="18"/>
                <w:szCs w:val="18"/>
              </w:rPr>
              <w:t>972</w:t>
            </w:r>
          </w:p>
        </w:tc>
      </w:tr>
    </w:tbl>
    <w:p w14:paraId="53A740D1" w14:textId="7EB84AF8" w:rsidR="0022664D" w:rsidRDefault="00A54296" w:rsidP="00F20C86">
      <w:pPr>
        <w:pStyle w:val="101Tablefootnotes8pt"/>
      </w:pPr>
      <w:r>
        <w:t xml:space="preserve">Source: </w:t>
      </w:r>
      <w:r w:rsidR="00513562">
        <w:t xml:space="preserve">Services Australia Medicare Item Reports </w:t>
      </w:r>
    </w:p>
    <w:p w14:paraId="648AC0D0" w14:textId="4150B0BB" w:rsidR="00F20C86" w:rsidRPr="00B0485F" w:rsidRDefault="00F20C86" w:rsidP="00F20C86">
      <w:pPr>
        <w:pStyle w:val="111Tablefootnoteslast-nostick8pt"/>
      </w:pPr>
      <w:r>
        <w:t xml:space="preserve">Abbreviations: </w:t>
      </w:r>
      <w:proofErr w:type="spellStart"/>
      <w:r>
        <w:t>yrs</w:t>
      </w:r>
      <w:proofErr w:type="spellEnd"/>
      <w:r w:rsidR="00FF1AEA">
        <w:t>,</w:t>
      </w:r>
      <w:r>
        <w:t xml:space="preserve"> years</w:t>
      </w:r>
      <w:r w:rsidR="00FF1AEA">
        <w:t>.</w:t>
      </w:r>
    </w:p>
    <w:p w14:paraId="048C1DB6" w14:textId="32190A0E" w:rsidR="003E63EE" w:rsidRPr="00B0485F" w:rsidRDefault="006753A3" w:rsidP="003E63EE">
      <w:pPr>
        <w:pStyle w:val="BodyText"/>
      </w:pPr>
      <w:r w:rsidRPr="00B0485F">
        <w:lastRenderedPageBreak/>
        <w:t xml:space="preserve">The </w:t>
      </w:r>
      <w:r w:rsidR="009949A1">
        <w:t>MBS</w:t>
      </w:r>
      <w:r w:rsidRPr="00B0485F">
        <w:t xml:space="preserve"> data demonstrate</w:t>
      </w:r>
      <w:r w:rsidR="00C46684">
        <w:t>s</w:t>
      </w:r>
      <w:r w:rsidRPr="00B0485F">
        <w:t xml:space="preserve"> a </w:t>
      </w:r>
      <w:r w:rsidR="00811106" w:rsidRPr="00B0485F">
        <w:t xml:space="preserve">consistent </w:t>
      </w:r>
      <w:r w:rsidR="00875027" w:rsidRPr="00B0485F">
        <w:t xml:space="preserve">decrease in utilisation </w:t>
      </w:r>
      <w:r w:rsidR="00C46684">
        <w:t xml:space="preserve">of </w:t>
      </w:r>
      <w:r w:rsidR="005D71A4">
        <w:t>MUS</w:t>
      </w:r>
      <w:r w:rsidR="00C46684">
        <w:t xml:space="preserve"> </w:t>
      </w:r>
      <w:r w:rsidR="00875027" w:rsidRPr="00B0485F">
        <w:t xml:space="preserve">over the last 10 years. </w:t>
      </w:r>
      <w:r w:rsidR="00446CB3" w:rsidRPr="00B0485F">
        <w:t xml:space="preserve">The number of female </w:t>
      </w:r>
      <w:r w:rsidR="00C3601A">
        <w:t>MUS</w:t>
      </w:r>
      <w:r w:rsidR="00446CB3" w:rsidRPr="00B0485F">
        <w:t xml:space="preserve"> procedures claimed under this item number in 2022 was 21% of the number claimed in </w:t>
      </w:r>
      <w:r w:rsidR="00553F36" w:rsidRPr="00B0485F">
        <w:t xml:space="preserve">2013. </w:t>
      </w:r>
      <w:r w:rsidR="00161CA6" w:rsidRPr="00B0485F">
        <w:t xml:space="preserve">Public </w:t>
      </w:r>
      <w:r w:rsidR="00E946C7" w:rsidRPr="00B0485F">
        <w:t>concern</w:t>
      </w:r>
      <w:r w:rsidR="00582CAE" w:rsidRPr="00B0485F">
        <w:t xml:space="preserve"> regarding the safety of</w:t>
      </w:r>
      <w:r w:rsidR="00E946C7" w:rsidRPr="00B0485F">
        <w:t xml:space="preserve"> </w:t>
      </w:r>
      <w:proofErr w:type="spellStart"/>
      <w:r w:rsidR="00E946C7" w:rsidRPr="00B0485F">
        <w:t>urogynaecological</w:t>
      </w:r>
      <w:proofErr w:type="spellEnd"/>
      <w:r w:rsidR="00E946C7" w:rsidRPr="00B0485F">
        <w:t xml:space="preserve"> mesh </w:t>
      </w:r>
      <w:r w:rsidR="001E199B" w:rsidRPr="00B0485F">
        <w:t>in response to regulatory action by the TGA and other jurisdictions</w:t>
      </w:r>
      <w:r w:rsidR="0077472F" w:rsidRPr="00B0485F">
        <w:t xml:space="preserve"> </w:t>
      </w:r>
      <w:r w:rsidR="00D46EA9" w:rsidRPr="00B0485F">
        <w:t xml:space="preserve">may </w:t>
      </w:r>
      <w:r w:rsidR="00C3601A">
        <w:t>have contributed</w:t>
      </w:r>
      <w:r w:rsidR="00E10715" w:rsidRPr="00B0485F">
        <w:t xml:space="preserve"> to th</w:t>
      </w:r>
      <w:r w:rsidR="00C3601A">
        <w:t>e</w:t>
      </w:r>
      <w:r w:rsidR="003F18C6" w:rsidRPr="00B0485F">
        <w:t xml:space="preserve"> decline in utilisation. </w:t>
      </w:r>
      <w:r w:rsidR="001003BA" w:rsidRPr="00B0485F">
        <w:t xml:space="preserve">Restrictions on elective surgery, as well as patient willingness to </w:t>
      </w:r>
      <w:r w:rsidR="003B1827" w:rsidRPr="00B0485F">
        <w:t xml:space="preserve">undergo treatment during the COVID-19 pandemic </w:t>
      </w:r>
      <w:r w:rsidR="00D47BD8" w:rsidRPr="00B0485F">
        <w:t xml:space="preserve">could also be </w:t>
      </w:r>
      <w:r w:rsidR="00B01C7C">
        <w:t xml:space="preserve">a </w:t>
      </w:r>
      <w:r w:rsidR="00D47BD8" w:rsidRPr="00B0485F">
        <w:t xml:space="preserve">contributing </w:t>
      </w:r>
      <w:r w:rsidR="00B01C7C">
        <w:t>factor</w:t>
      </w:r>
      <w:r w:rsidR="00080E8F" w:rsidRPr="00B0485F">
        <w:t xml:space="preserve"> </w:t>
      </w:r>
      <w:r w:rsidR="00D47BD8" w:rsidRPr="00B0485F">
        <w:t xml:space="preserve">from </w:t>
      </w:r>
      <w:r w:rsidR="001B0414" w:rsidRPr="00B0485F">
        <w:t xml:space="preserve">2020 </w:t>
      </w:r>
      <w:r w:rsidR="00DC5FF7" w:rsidRPr="00B0485F">
        <w:t>to</w:t>
      </w:r>
      <w:r w:rsidR="001B0414" w:rsidRPr="00B0485F">
        <w:t xml:space="preserve"> 2022.</w:t>
      </w:r>
    </w:p>
    <w:p w14:paraId="0BEF5E25" w14:textId="2CBD9CD8" w:rsidR="00EC5F2F" w:rsidRPr="00B0485F" w:rsidRDefault="00EC5F2F" w:rsidP="00EC5F2F">
      <w:pPr>
        <w:pStyle w:val="Heading3"/>
      </w:pPr>
      <w:bookmarkStart w:id="41" w:name="_Toc165627818"/>
      <w:r>
        <w:t>Description of the c</w:t>
      </w:r>
      <w:r w:rsidRPr="00B0485F">
        <w:t>omparators</w:t>
      </w:r>
      <w:bookmarkEnd w:id="41"/>
    </w:p>
    <w:p w14:paraId="78FB71BA" w14:textId="1DEACEF2" w:rsidR="00EC5F2F" w:rsidRPr="00B0485F" w:rsidRDefault="00EC5F2F" w:rsidP="00EC5F2F">
      <w:pPr>
        <w:pStyle w:val="BodyText"/>
      </w:pPr>
      <w:r w:rsidRPr="005F4F21">
        <w:t xml:space="preserve">Appropriate comparators for this review were selected based on the ACSQHC care pathway (see </w:t>
      </w:r>
      <w:r w:rsidRPr="007279A7">
        <w:rPr>
          <w:b/>
        </w:rPr>
        <w:fldChar w:fldCharType="begin"/>
      </w:r>
      <w:r w:rsidRPr="007279A7">
        <w:rPr>
          <w:b/>
        </w:rPr>
        <w:instrText xml:space="preserve"> REF _Ref129345751 \h </w:instrText>
      </w:r>
      <w:r>
        <w:rPr>
          <w:b/>
        </w:rPr>
        <w:instrText xml:space="preserve"> \* MERGEFORMAT </w:instrText>
      </w:r>
      <w:r w:rsidRPr="007279A7">
        <w:rPr>
          <w:b/>
        </w:rPr>
      </w:r>
      <w:r w:rsidRPr="007279A7">
        <w:rPr>
          <w:b/>
        </w:rPr>
        <w:fldChar w:fldCharType="separate"/>
      </w:r>
      <w:r w:rsidR="007105D3" w:rsidRPr="007105D3">
        <w:rPr>
          <w:b/>
        </w:rPr>
        <w:t>Figure 1</w:t>
      </w:r>
      <w:r w:rsidRPr="007279A7">
        <w:rPr>
          <w:b/>
        </w:rPr>
        <w:fldChar w:fldCharType="end"/>
      </w:r>
      <w:r w:rsidRPr="005F4F21">
        <w:t>)</w:t>
      </w:r>
      <w:r>
        <w:t xml:space="preserve"> </w:t>
      </w:r>
      <w:r w:rsidRPr="00B0485F">
        <w:t>for the management of SUI</w:t>
      </w:r>
      <w:r w:rsidR="00C564E7">
        <w:t xml:space="preserve"> </w:t>
      </w:r>
      <w:r w:rsidR="00245CE2">
        <w:rPr>
          <w:noProof/>
        </w:rPr>
        <w:t>(ACSQHC 2018a)</w:t>
      </w:r>
      <w:r w:rsidRPr="00B0485F">
        <w:t xml:space="preserve"> and include </w:t>
      </w:r>
      <w:proofErr w:type="spellStart"/>
      <w:r w:rsidRPr="00B0485F">
        <w:t>colposuspension</w:t>
      </w:r>
      <w:proofErr w:type="spellEnd"/>
      <w:r w:rsidR="00865A66">
        <w:t xml:space="preserve"> (native tissue)</w:t>
      </w:r>
      <w:r>
        <w:t>,</w:t>
      </w:r>
      <w:r w:rsidRPr="00B0485F">
        <w:t xml:space="preserve"> pubovaginal sling (native tissue)</w:t>
      </w:r>
      <w:r>
        <w:t xml:space="preserve"> and bulking agents</w:t>
      </w:r>
      <w:r w:rsidRPr="00B0485F">
        <w:t>.</w:t>
      </w:r>
    </w:p>
    <w:p w14:paraId="1FF8BF04" w14:textId="1BCC399A" w:rsidR="006A5FEE" w:rsidRDefault="00EC5F2F" w:rsidP="006A5FEE">
      <w:pPr>
        <w:pStyle w:val="Heading5"/>
      </w:pPr>
      <w:proofErr w:type="spellStart"/>
      <w:r w:rsidRPr="00B0485F">
        <w:t>Colposuspension</w:t>
      </w:r>
      <w:proofErr w:type="spellEnd"/>
    </w:p>
    <w:p w14:paraId="781603C3" w14:textId="04CA7C46" w:rsidR="00EC5F2F" w:rsidRPr="00B0485F" w:rsidRDefault="00EC5F2F" w:rsidP="00770C93">
      <w:pPr>
        <w:pStyle w:val="BodyText"/>
      </w:pPr>
      <w:proofErr w:type="spellStart"/>
      <w:r w:rsidRPr="00B0485F">
        <w:t>Colposuspension</w:t>
      </w:r>
      <w:proofErr w:type="spellEnd"/>
      <w:r w:rsidRPr="00B0485F">
        <w:t xml:space="preserve"> </w:t>
      </w:r>
      <w:r w:rsidR="00132C8E">
        <w:t xml:space="preserve">(native tissue) </w:t>
      </w:r>
      <w:r w:rsidRPr="00B0485F">
        <w:t xml:space="preserve">is a surgical procedure whereby the neck of the bladder is lifted and suspended in position using synthetic stitches </w:t>
      </w:r>
      <w:r w:rsidR="00245CE2">
        <w:rPr>
          <w:noProof/>
        </w:rPr>
        <w:t>(NICE 2019a; NICE 2019c)</w:t>
      </w:r>
      <w:r w:rsidRPr="00B0485F">
        <w:t xml:space="preserve">. </w:t>
      </w:r>
      <w:proofErr w:type="spellStart"/>
      <w:r w:rsidRPr="00B0485F">
        <w:t>Colposuspension</w:t>
      </w:r>
      <w:proofErr w:type="spellEnd"/>
      <w:r w:rsidRPr="00B0485F">
        <w:t xml:space="preserve"> can be performed via an open or laparoscopic approach </w:t>
      </w:r>
      <w:r w:rsidR="00245CE2">
        <w:rPr>
          <w:noProof/>
        </w:rPr>
        <w:t>(Brazzelli 2019)</w:t>
      </w:r>
      <w:r w:rsidRPr="00B0485F">
        <w:t xml:space="preserve">.  The ACSQHC care pathway recommends </w:t>
      </w:r>
      <w:proofErr w:type="spellStart"/>
      <w:r w:rsidRPr="00B0485F">
        <w:t>colposuspension</w:t>
      </w:r>
      <w:proofErr w:type="spellEnd"/>
      <w:r w:rsidRPr="00B0485F">
        <w:t xml:space="preserve"> as a possible pathway for the management of SUI in women for whom conservative management has not been successful</w:t>
      </w:r>
      <w:r w:rsidR="00C564E7">
        <w:t xml:space="preserve"> </w:t>
      </w:r>
      <w:r w:rsidR="00245CE2">
        <w:rPr>
          <w:noProof/>
        </w:rPr>
        <w:t>(ACSQHC 2018a)</w:t>
      </w:r>
      <w:r w:rsidRPr="00B0485F">
        <w:t>.</w:t>
      </w:r>
    </w:p>
    <w:p w14:paraId="7F9B3EBB" w14:textId="670E4D2A" w:rsidR="00EC5F2F" w:rsidRPr="00B0485F" w:rsidRDefault="00EC5F2F" w:rsidP="00EC5F2F">
      <w:pPr>
        <w:pStyle w:val="Heading5"/>
      </w:pPr>
      <w:r w:rsidRPr="00B0485F">
        <w:t>Pubovaginal sling</w:t>
      </w:r>
    </w:p>
    <w:p w14:paraId="67670069" w14:textId="51FDA911" w:rsidR="008338F8" w:rsidRDefault="007F13C8" w:rsidP="00EC5F2F">
      <w:pPr>
        <w:pStyle w:val="BodyText"/>
      </w:pPr>
      <w:r>
        <w:t>P</w:t>
      </w:r>
      <w:r w:rsidR="00EC5F2F" w:rsidRPr="00B0485F">
        <w:t xml:space="preserve">ubovaginal sling (native tissue) </w:t>
      </w:r>
      <w:r>
        <w:t xml:space="preserve">is an </w:t>
      </w:r>
      <w:proofErr w:type="spellStart"/>
      <w:r>
        <w:t>abdomino</w:t>
      </w:r>
      <w:proofErr w:type="spellEnd"/>
      <w:r>
        <w:t xml:space="preserve">-vaginal surgery using the patient’s own tissue to support the urethra, with an abdominal wall fixation site </w:t>
      </w:r>
      <w:r w:rsidR="00245CE2">
        <w:rPr>
          <w:noProof/>
        </w:rPr>
        <w:t>(Valderrama 2020)</w:t>
      </w:r>
      <w:r>
        <w:t xml:space="preserve">. </w:t>
      </w:r>
      <w:r w:rsidRPr="00B0485F">
        <w:t xml:space="preserve">The tissue is </w:t>
      </w:r>
      <w:r>
        <w:t>usually taken</w:t>
      </w:r>
      <w:r w:rsidRPr="00B0485F">
        <w:t xml:space="preserve"> from t</w:t>
      </w:r>
      <w:r>
        <w:t xml:space="preserve">he </w:t>
      </w:r>
      <w:r w:rsidRPr="00B0485F">
        <w:t>rectus fascia</w:t>
      </w:r>
      <w:r>
        <w:t xml:space="preserve"> in the abdomen (rectus fascial sling)</w:t>
      </w:r>
      <w:r w:rsidRPr="00B0485F">
        <w:t xml:space="preserve"> but may be taken from the thigh (fascia </w:t>
      </w:r>
      <w:proofErr w:type="spellStart"/>
      <w:r w:rsidRPr="00B0485F">
        <w:t>lata</w:t>
      </w:r>
      <w:proofErr w:type="spellEnd"/>
      <w:r w:rsidRPr="00B0485F">
        <w:t>)</w:t>
      </w:r>
      <w:r>
        <w:t xml:space="preserve"> </w:t>
      </w:r>
      <w:r w:rsidR="00245CE2">
        <w:rPr>
          <w:noProof/>
        </w:rPr>
        <w:t>(Valderrama 2020)</w:t>
      </w:r>
      <w:r>
        <w:t>.</w:t>
      </w:r>
    </w:p>
    <w:p w14:paraId="01C2858C" w14:textId="7EC95550" w:rsidR="00EC5F2F" w:rsidRPr="00B0485F" w:rsidRDefault="00EC5F2F" w:rsidP="00EC5F2F">
      <w:pPr>
        <w:pStyle w:val="BodyText"/>
      </w:pPr>
      <w:r w:rsidRPr="00B0485F">
        <w:t xml:space="preserve">This procedure may also be referred to as an </w:t>
      </w:r>
      <w:r w:rsidRPr="00DB7357">
        <w:rPr>
          <w:b/>
          <w:bCs/>
        </w:rPr>
        <w:t>autologous fascial sling</w:t>
      </w:r>
      <w:r w:rsidRPr="00B0485F">
        <w:t xml:space="preserve">, or </w:t>
      </w:r>
      <w:r w:rsidRPr="00DB7357">
        <w:rPr>
          <w:b/>
          <w:bCs/>
        </w:rPr>
        <w:t>(autologous) rectus fascial sling</w:t>
      </w:r>
      <w:r w:rsidRPr="00B0485F">
        <w:t xml:space="preserve"> (when the native tissue is taken from the rectus fascia). The ACSQHC </w:t>
      </w:r>
      <w:r>
        <w:t xml:space="preserve">SUI </w:t>
      </w:r>
      <w:r w:rsidRPr="00B0485F">
        <w:t>pathway recommends consideration of this approach in women wishing to avoid mesh-related complications, and for whom conservative management has not been successful</w:t>
      </w:r>
      <w:r w:rsidR="00CA4D0D">
        <w:t xml:space="preserve"> </w:t>
      </w:r>
      <w:r w:rsidR="00245CE2">
        <w:rPr>
          <w:noProof/>
        </w:rPr>
        <w:t>(ACSQHC 2018a)</w:t>
      </w:r>
      <w:r w:rsidRPr="00B0485F">
        <w:t>.</w:t>
      </w:r>
    </w:p>
    <w:p w14:paraId="1E89F7D8" w14:textId="77777777" w:rsidR="00EC5F2F" w:rsidRPr="00B0485F" w:rsidRDefault="00EC5F2F" w:rsidP="00EC5F2F">
      <w:pPr>
        <w:pStyle w:val="Heading5"/>
      </w:pPr>
      <w:r w:rsidRPr="00B0485F">
        <w:t>Bulking agents</w:t>
      </w:r>
    </w:p>
    <w:p w14:paraId="2DF5E4DA" w14:textId="2AB325E4" w:rsidR="00EC5F2F" w:rsidRDefault="00EC5F2F" w:rsidP="00EC5F2F">
      <w:pPr>
        <w:pStyle w:val="BodyText"/>
      </w:pPr>
      <w:r w:rsidRPr="00B0485F">
        <w:t xml:space="preserve">Urethral bulking refers to the injection of a substance into the urethral submucosa at the bladder neck </w:t>
      </w:r>
      <w:r w:rsidR="00245CE2">
        <w:rPr>
          <w:noProof/>
        </w:rPr>
        <w:t>(Valderrama 2020)</w:t>
      </w:r>
      <w:r>
        <w:t>.</w:t>
      </w:r>
      <w:r w:rsidRPr="00B0485F">
        <w:t xml:space="preserve"> The injection of bulking agents is a minimally invasive procedure that can be performed in the outpatient clinic under local anaesthesia</w:t>
      </w:r>
      <w:bookmarkStart w:id="42" w:name="_Ref130474208"/>
      <w:r w:rsidR="002C4F4B">
        <w:t xml:space="preserve"> </w:t>
      </w:r>
      <w:bookmarkEnd w:id="42"/>
      <w:r w:rsidR="00245CE2">
        <w:rPr>
          <w:noProof/>
        </w:rPr>
        <w:t>(Kim 2020)</w:t>
      </w:r>
      <w:r w:rsidRPr="00B0485F">
        <w:t xml:space="preserve">. The aim of urethral bulking is to provide cushioning around the urethra, increasing the urethral resistance at rest and during periods of increased abdominal pressure, to restore continence </w:t>
      </w:r>
      <w:r w:rsidR="00245CE2">
        <w:rPr>
          <w:noProof/>
        </w:rPr>
        <w:t>(Valderrama 2020)</w:t>
      </w:r>
      <w:r>
        <w:t>.</w:t>
      </w:r>
      <w:r w:rsidRPr="00B0485F">
        <w:t xml:space="preserve"> The ACSQHC </w:t>
      </w:r>
      <w:r>
        <w:t xml:space="preserve">SUI </w:t>
      </w:r>
      <w:r w:rsidRPr="00B0485F">
        <w:t xml:space="preserve">pathway recommends consideration of </w:t>
      </w:r>
      <w:r>
        <w:t>bulking agents</w:t>
      </w:r>
      <w:r w:rsidRPr="00B0485F">
        <w:t xml:space="preserve"> in women wishing to avoid mesh-related complications, and for whom conservative management has not been successful</w:t>
      </w:r>
      <w:r w:rsidR="00CA4D0D">
        <w:t xml:space="preserve"> </w:t>
      </w:r>
      <w:r w:rsidR="00245CE2">
        <w:rPr>
          <w:noProof/>
        </w:rPr>
        <w:t>(ACSQHC 2018a)</w:t>
      </w:r>
      <w:r w:rsidRPr="00B0485F">
        <w:t>.</w:t>
      </w:r>
    </w:p>
    <w:p w14:paraId="4D593F55" w14:textId="4C654085" w:rsidR="00EC5F2F" w:rsidRPr="00B0485F" w:rsidRDefault="00EC5F2F" w:rsidP="00EC5F2F">
      <w:pPr>
        <w:pStyle w:val="BodyText"/>
      </w:pPr>
      <w:r>
        <w:t>Four types of bulking agents are listed on the PL in group 05.01.04 with a benefit ranging from $504 for 1</w:t>
      </w:r>
      <w:r w:rsidR="007105EC">
        <w:t> </w:t>
      </w:r>
      <w:r>
        <w:t>ml to $1,262 for 2.5</w:t>
      </w:r>
      <w:r w:rsidR="00925E91">
        <w:t xml:space="preserve"> </w:t>
      </w:r>
      <w:r>
        <w:t xml:space="preserve">ml. </w:t>
      </w:r>
      <w:r w:rsidRPr="00FB27E6">
        <w:rPr>
          <w:i/>
          <w:iCs/>
        </w:rPr>
        <w:t>An incidental finding</w:t>
      </w:r>
      <w:r>
        <w:rPr>
          <w:i/>
          <w:iCs/>
        </w:rPr>
        <w:t xml:space="preserve"> </w:t>
      </w:r>
      <w:r w:rsidRPr="00FB27E6">
        <w:rPr>
          <w:i/>
          <w:iCs/>
        </w:rPr>
        <w:t>of relevance to the PL is that three of the</w:t>
      </w:r>
      <w:r w:rsidR="009F6D24">
        <w:rPr>
          <w:i/>
          <w:iCs/>
        </w:rPr>
        <w:t>se</w:t>
      </w:r>
      <w:r w:rsidRPr="00FB27E6">
        <w:rPr>
          <w:i/>
          <w:iCs/>
        </w:rPr>
        <w:t xml:space="preserve"> four items have invalid or incorrect ARTG numbers listed on the </w:t>
      </w:r>
      <w:r>
        <w:rPr>
          <w:i/>
          <w:iCs/>
        </w:rPr>
        <w:t>PL</w:t>
      </w:r>
      <w:r w:rsidRPr="00FB27E6">
        <w:rPr>
          <w:i/>
          <w:iCs/>
        </w:rPr>
        <w:t>.</w:t>
      </w:r>
    </w:p>
    <w:p w14:paraId="5CF3A4AC" w14:textId="238D6E60" w:rsidR="00681387" w:rsidRPr="00B0485F" w:rsidRDefault="00B87E33" w:rsidP="00C67D39">
      <w:pPr>
        <w:pStyle w:val="Heading1"/>
      </w:pPr>
      <w:bookmarkStart w:id="43" w:name="_Ref132708080"/>
      <w:bookmarkStart w:id="44" w:name="_Ref132708084"/>
      <w:bookmarkStart w:id="45" w:name="_Toc165627819"/>
      <w:r w:rsidRPr="00B0485F">
        <w:lastRenderedPageBreak/>
        <w:t>Comparative clinical effective</w:t>
      </w:r>
      <w:r w:rsidR="007E3344" w:rsidRPr="00B0485F">
        <w:t>ne</w:t>
      </w:r>
      <w:r w:rsidRPr="00B0485F">
        <w:t>ss</w:t>
      </w:r>
      <w:bookmarkEnd w:id="43"/>
      <w:bookmarkEnd w:id="44"/>
      <w:bookmarkEnd w:id="45"/>
    </w:p>
    <w:p w14:paraId="13C03D9E" w14:textId="3C33D4E7" w:rsidR="00832846" w:rsidRPr="00B0485F" w:rsidRDefault="00B87E33" w:rsidP="00832846">
      <w:pPr>
        <w:pStyle w:val="Heading2"/>
      </w:pPr>
      <w:bookmarkStart w:id="46" w:name="_Toc165627820"/>
      <w:r w:rsidRPr="00B0485F">
        <w:t>Methodology</w:t>
      </w:r>
      <w:bookmarkEnd w:id="46"/>
    </w:p>
    <w:p w14:paraId="3FCFBABB" w14:textId="57F1A821" w:rsidR="006F5AE7" w:rsidRPr="00B0485F" w:rsidRDefault="00DC67B3" w:rsidP="006F5AE7">
      <w:pPr>
        <w:pStyle w:val="BodyText"/>
      </w:pPr>
      <w:r w:rsidRPr="00B0485F">
        <w:t>The research question</w:t>
      </w:r>
      <w:r w:rsidR="005C0204" w:rsidRPr="00B0485F">
        <w:t>s</w:t>
      </w:r>
      <w:r w:rsidRPr="00B0485F">
        <w:t xml:space="preserve"> to focus the review </w:t>
      </w:r>
      <w:r w:rsidR="002111EB" w:rsidRPr="00B0485F">
        <w:t xml:space="preserve">of comparative clinical effectiveness </w:t>
      </w:r>
      <w:r w:rsidR="005C0204" w:rsidRPr="00B0485F">
        <w:t>are</w:t>
      </w:r>
      <w:r w:rsidRPr="00B0485F">
        <w:t>:</w:t>
      </w:r>
    </w:p>
    <w:p w14:paraId="580FF419" w14:textId="79087009" w:rsidR="00FF0DE5" w:rsidRPr="00B0485F" w:rsidRDefault="00FF0DE5" w:rsidP="00FF0DE5">
      <w:pPr>
        <w:pStyle w:val="Boxeditalictext"/>
        <w:numPr>
          <w:ilvl w:val="0"/>
          <w:numId w:val="6"/>
        </w:numPr>
      </w:pPr>
      <w:r w:rsidRPr="00B0485F">
        <w:t>What is the comparative clinical effectiveness of mid-urethral sling</w:t>
      </w:r>
      <w:r w:rsidR="00B42707">
        <w:t>s</w:t>
      </w:r>
      <w:r w:rsidRPr="00B0485F">
        <w:t xml:space="preserve"> compared to the use of </w:t>
      </w:r>
      <w:proofErr w:type="spellStart"/>
      <w:r w:rsidRPr="00B0485F">
        <w:t>colposuspension</w:t>
      </w:r>
      <w:proofErr w:type="spellEnd"/>
      <w:r w:rsidR="005D7650" w:rsidRPr="00B0485F">
        <w:t>,</w:t>
      </w:r>
      <w:r w:rsidRPr="00B0485F">
        <w:t xml:space="preserve"> pubovaginal sling (native tissue)</w:t>
      </w:r>
      <w:r w:rsidR="005D7650" w:rsidRPr="00B0485F">
        <w:t xml:space="preserve"> or bulking agents</w:t>
      </w:r>
      <w:r w:rsidRPr="00B0485F">
        <w:t xml:space="preserve"> for women with stress urinary incontinence?</w:t>
      </w:r>
    </w:p>
    <w:p w14:paraId="52C60E58" w14:textId="00438ADF" w:rsidR="00DC67B3" w:rsidRPr="00B0485F" w:rsidRDefault="00D033FA" w:rsidP="001F7C39">
      <w:pPr>
        <w:pStyle w:val="Boxeditalictext"/>
        <w:numPr>
          <w:ilvl w:val="0"/>
          <w:numId w:val="6"/>
        </w:numPr>
      </w:pPr>
      <w:r w:rsidRPr="00B0485F">
        <w:t>What is the comparative clinical effectiveness of</w:t>
      </w:r>
      <w:r w:rsidR="005C0204" w:rsidRPr="00B0485F">
        <w:t xml:space="preserve"> retropubic mid-urethral sling</w:t>
      </w:r>
      <w:r w:rsidR="00DD42D0">
        <w:t>s</w:t>
      </w:r>
      <w:r w:rsidR="005C0204" w:rsidRPr="00B0485F">
        <w:t xml:space="preserve"> compared to </w:t>
      </w:r>
      <w:proofErr w:type="spellStart"/>
      <w:r w:rsidR="005C0204" w:rsidRPr="00B0485F">
        <w:t>transobturator</w:t>
      </w:r>
      <w:proofErr w:type="spellEnd"/>
      <w:r w:rsidR="005C0204" w:rsidRPr="00B0485F">
        <w:t xml:space="preserve"> mid-urethral sling</w:t>
      </w:r>
      <w:r w:rsidR="00DD42D0">
        <w:t>s</w:t>
      </w:r>
      <w:r w:rsidR="005C0204" w:rsidRPr="00B0485F">
        <w:t xml:space="preserve"> </w:t>
      </w:r>
      <w:r w:rsidR="00096C25" w:rsidRPr="00B0485F">
        <w:t>for</w:t>
      </w:r>
      <w:r w:rsidR="002C4BC7" w:rsidRPr="00B0485F">
        <w:t xml:space="preserve"> women with stress urinary incontinence</w:t>
      </w:r>
      <w:r w:rsidR="005C0204" w:rsidRPr="00B0485F">
        <w:t>?</w:t>
      </w:r>
    </w:p>
    <w:p w14:paraId="3F22F5F8" w14:textId="1E4705DF" w:rsidR="00E33D02" w:rsidRPr="00B0485F" w:rsidRDefault="006F2024" w:rsidP="00E33D02">
      <w:pPr>
        <w:pStyle w:val="BodyText"/>
      </w:pPr>
      <w:r w:rsidRPr="00B0485F">
        <w:t>Th</w:t>
      </w:r>
      <w:r w:rsidR="00414C99">
        <w:t>e</w:t>
      </w:r>
      <w:r w:rsidRPr="00B0485F">
        <w:t>s</w:t>
      </w:r>
      <w:r w:rsidR="00414C99">
        <w:t>e</w:t>
      </w:r>
      <w:r w:rsidRPr="00B0485F">
        <w:t xml:space="preserve"> w</w:t>
      </w:r>
      <w:r w:rsidR="00414C99">
        <w:t>ere</w:t>
      </w:r>
      <w:r w:rsidRPr="00B0485F">
        <w:t xml:space="preserve"> assessed using a rapid review</w:t>
      </w:r>
      <w:r w:rsidR="001E1CBF" w:rsidRPr="00B0485F">
        <w:t xml:space="preserve"> methodology. </w:t>
      </w:r>
      <w:r w:rsidR="00E33D02" w:rsidRPr="00B0485F">
        <w:t xml:space="preserve">The approach to evidence identification </w:t>
      </w:r>
      <w:r w:rsidR="00414C99">
        <w:t>wa</w:t>
      </w:r>
      <w:r w:rsidR="00E33D02" w:rsidRPr="00B0485F">
        <w:t>s multipronged</w:t>
      </w:r>
      <w:r w:rsidR="005223A8">
        <w:t>,</w:t>
      </w:r>
      <w:r w:rsidR="00E33D02" w:rsidRPr="00B0485F">
        <w:t xml:space="preserve"> consisting of:</w:t>
      </w:r>
    </w:p>
    <w:p w14:paraId="51FFF6A5" w14:textId="6E44A2FA" w:rsidR="00A56695" w:rsidRPr="00B0485F" w:rsidRDefault="00E7262E" w:rsidP="001F7C39">
      <w:pPr>
        <w:pStyle w:val="BodyText"/>
        <w:numPr>
          <w:ilvl w:val="0"/>
          <w:numId w:val="7"/>
        </w:numPr>
      </w:pPr>
      <w:r w:rsidRPr="00B0485F">
        <w:t>search of HTA agenc</w:t>
      </w:r>
      <w:r w:rsidR="0028627F" w:rsidRPr="00B0485F">
        <w:t>y websites</w:t>
      </w:r>
    </w:p>
    <w:p w14:paraId="65FC2EB3" w14:textId="77777777" w:rsidR="00A56695" w:rsidRPr="00B0485F" w:rsidRDefault="00A56695" w:rsidP="001F7C39">
      <w:pPr>
        <w:pStyle w:val="BodyText"/>
        <w:numPr>
          <w:ilvl w:val="0"/>
          <w:numId w:val="7"/>
        </w:numPr>
      </w:pPr>
      <w:r w:rsidRPr="00B0485F">
        <w:t xml:space="preserve">search for </w:t>
      </w:r>
      <w:r w:rsidR="00E7262E" w:rsidRPr="00B0485F">
        <w:t>clinical practice guidelines</w:t>
      </w:r>
    </w:p>
    <w:p w14:paraId="57B733FD" w14:textId="1B197EE4" w:rsidR="00E7262E" w:rsidRPr="00B0485F" w:rsidRDefault="00E7262E" w:rsidP="001F7C39">
      <w:pPr>
        <w:pStyle w:val="BodyText"/>
        <w:numPr>
          <w:ilvl w:val="0"/>
          <w:numId w:val="7"/>
        </w:numPr>
      </w:pPr>
      <w:r w:rsidRPr="00B0485F">
        <w:t>targeted evidence scan</w:t>
      </w:r>
    </w:p>
    <w:p w14:paraId="689F862E" w14:textId="441C4FC1" w:rsidR="00D370F1" w:rsidRPr="00B0485F" w:rsidRDefault="00E7262E" w:rsidP="001F7C39">
      <w:pPr>
        <w:pStyle w:val="BodyText"/>
        <w:numPr>
          <w:ilvl w:val="0"/>
          <w:numId w:val="7"/>
        </w:numPr>
      </w:pPr>
      <w:r w:rsidRPr="00B0485F">
        <w:t>review of k</w:t>
      </w:r>
      <w:r w:rsidR="00E33D02" w:rsidRPr="00B0485F">
        <w:t xml:space="preserve">ey documents supplied by </w:t>
      </w:r>
      <w:proofErr w:type="spellStart"/>
      <w:r w:rsidR="00E33D02" w:rsidRPr="00B0485F">
        <w:t>D</w:t>
      </w:r>
      <w:r w:rsidR="00660421">
        <w:t>o</w:t>
      </w:r>
      <w:r w:rsidR="00E33D02" w:rsidRPr="00B0485F">
        <w:t>HA</w:t>
      </w:r>
      <w:r w:rsidR="00D370F1" w:rsidRPr="00B0485F">
        <w:t>C</w:t>
      </w:r>
      <w:proofErr w:type="spellEnd"/>
      <w:r w:rsidR="00E33D02" w:rsidRPr="00B0485F">
        <w:t xml:space="preserve"> (see</w:t>
      </w:r>
      <w:r w:rsidR="00D370F1" w:rsidRPr="00B0485F">
        <w:t xml:space="preserve"> </w:t>
      </w:r>
      <w:r w:rsidR="00D370F1" w:rsidRPr="00B0485F">
        <w:rPr>
          <w:b/>
          <w:bCs/>
        </w:rPr>
        <w:fldChar w:fldCharType="begin"/>
      </w:r>
      <w:r w:rsidR="00D370F1" w:rsidRPr="00B0485F">
        <w:rPr>
          <w:b/>
          <w:bCs/>
        </w:rPr>
        <w:instrText xml:space="preserve"> REF _Ref128735821 \h  \* MERGEFORMAT </w:instrText>
      </w:r>
      <w:r w:rsidR="00D370F1" w:rsidRPr="00B0485F">
        <w:rPr>
          <w:b/>
          <w:bCs/>
        </w:rPr>
      </w:r>
      <w:r w:rsidR="00D370F1" w:rsidRPr="00B0485F">
        <w:rPr>
          <w:b/>
          <w:bCs/>
        </w:rPr>
        <w:fldChar w:fldCharType="separate"/>
      </w:r>
      <w:r w:rsidR="007105D3" w:rsidRPr="007105D3">
        <w:rPr>
          <w:b/>
          <w:bCs/>
        </w:rPr>
        <w:t xml:space="preserve">Table </w:t>
      </w:r>
      <w:r w:rsidR="007105D3" w:rsidRPr="007105D3">
        <w:rPr>
          <w:b/>
          <w:bCs/>
          <w:noProof/>
        </w:rPr>
        <w:t>1</w:t>
      </w:r>
      <w:r w:rsidR="00D370F1" w:rsidRPr="00B0485F">
        <w:rPr>
          <w:b/>
          <w:bCs/>
        </w:rPr>
        <w:fldChar w:fldCharType="end"/>
      </w:r>
      <w:r w:rsidR="00E33D02" w:rsidRPr="00B0485F">
        <w:t>)</w:t>
      </w:r>
    </w:p>
    <w:p w14:paraId="3B430FF3" w14:textId="77E9F3B9" w:rsidR="00E33D02" w:rsidRPr="00B0485F" w:rsidRDefault="00E7262E" w:rsidP="001F7C39">
      <w:pPr>
        <w:pStyle w:val="BodyText"/>
        <w:numPr>
          <w:ilvl w:val="0"/>
          <w:numId w:val="7"/>
        </w:numPr>
      </w:pPr>
      <w:r w:rsidRPr="00B0485F">
        <w:t>review of r</w:t>
      </w:r>
      <w:r w:rsidR="00D370F1" w:rsidRPr="00B0485F">
        <w:t xml:space="preserve">esponses from </w:t>
      </w:r>
      <w:r w:rsidR="00E33D02" w:rsidRPr="00B0485F">
        <w:t>sponsors and stakeholders</w:t>
      </w:r>
      <w:r w:rsidR="0091347A">
        <w:t>.</w:t>
      </w:r>
    </w:p>
    <w:p w14:paraId="04261A14" w14:textId="00735FEF" w:rsidR="00E33D02" w:rsidRPr="00B0485F" w:rsidRDefault="009521AB" w:rsidP="00E33D02">
      <w:pPr>
        <w:pStyle w:val="BodyText"/>
      </w:pPr>
      <w:r w:rsidRPr="00B0485F">
        <w:t xml:space="preserve">A pragmatic approach was taken with a focus on identifying the most comprehensive and high-quality systematic review </w:t>
      </w:r>
      <w:r w:rsidR="009F566D">
        <w:t>that</w:t>
      </w:r>
      <w:r w:rsidR="009F566D" w:rsidRPr="00B0485F">
        <w:t xml:space="preserve"> </w:t>
      </w:r>
      <w:r w:rsidRPr="00B0485F">
        <w:t>addressed the research questions, and supplementing this with additional studies if necessary.</w:t>
      </w:r>
      <w:r>
        <w:t xml:space="preserve"> </w:t>
      </w:r>
      <w:r w:rsidR="00E33D02" w:rsidRPr="00B0485F">
        <w:t xml:space="preserve">Further details </w:t>
      </w:r>
      <w:r w:rsidR="00E972E2">
        <w:t>regarding</w:t>
      </w:r>
      <w:r w:rsidR="00E33D02" w:rsidRPr="00B0485F">
        <w:t xml:space="preserve"> the </w:t>
      </w:r>
      <w:r w:rsidR="00CA0678">
        <w:t>search strategy</w:t>
      </w:r>
      <w:r w:rsidR="00E33D02" w:rsidRPr="00B0485F">
        <w:t xml:space="preserve"> </w:t>
      </w:r>
      <w:r w:rsidR="003A1CC5">
        <w:t xml:space="preserve">for the comparative clinical effectiveness </w:t>
      </w:r>
      <w:r w:rsidR="00EA3830">
        <w:t xml:space="preserve">evidence </w:t>
      </w:r>
      <w:r w:rsidR="00440F58">
        <w:t xml:space="preserve">review </w:t>
      </w:r>
      <w:r w:rsidR="00E33D02" w:rsidRPr="00B0485F">
        <w:t>are provided in</w:t>
      </w:r>
      <w:r w:rsidR="0071252E">
        <w:rPr>
          <w:b/>
          <w:bCs/>
        </w:rPr>
        <w:t xml:space="preserve"> Appendix </w:t>
      </w:r>
      <w:r w:rsidR="0071252E">
        <w:rPr>
          <w:b/>
          <w:bCs/>
        </w:rPr>
        <w:fldChar w:fldCharType="begin"/>
      </w:r>
      <w:r w:rsidR="0071252E">
        <w:rPr>
          <w:b/>
          <w:bCs/>
        </w:rPr>
        <w:instrText xml:space="preserve"> REF _Ref132699961 \n \h </w:instrText>
      </w:r>
      <w:r w:rsidR="0071252E">
        <w:rPr>
          <w:b/>
          <w:bCs/>
        </w:rPr>
      </w:r>
      <w:r w:rsidR="0071252E">
        <w:rPr>
          <w:b/>
          <w:bCs/>
        </w:rPr>
        <w:fldChar w:fldCharType="separate"/>
      </w:r>
      <w:r w:rsidR="007105D3">
        <w:rPr>
          <w:b/>
          <w:bCs/>
        </w:rPr>
        <w:t>A.1</w:t>
      </w:r>
      <w:r w:rsidR="0071252E">
        <w:rPr>
          <w:b/>
          <w:bCs/>
        </w:rPr>
        <w:fldChar w:fldCharType="end"/>
      </w:r>
      <w:r w:rsidR="00E33D02" w:rsidRPr="00B0485F">
        <w:t>.</w:t>
      </w:r>
    </w:p>
    <w:p w14:paraId="37EA2BF3" w14:textId="56BBF025" w:rsidR="000B2B84" w:rsidRPr="00B0485F" w:rsidRDefault="009B2A4F" w:rsidP="000B2B84">
      <w:pPr>
        <w:pStyle w:val="Heading2"/>
      </w:pPr>
      <w:bookmarkStart w:id="47" w:name="_Toc165627821"/>
      <w:r w:rsidRPr="00B0485F">
        <w:t xml:space="preserve">Summary of </w:t>
      </w:r>
      <w:r w:rsidR="004D31C3">
        <w:t xml:space="preserve">evidence for </w:t>
      </w:r>
      <w:r w:rsidR="00851C79">
        <w:t>clinical effectiveness</w:t>
      </w:r>
      <w:bookmarkEnd w:id="47"/>
    </w:p>
    <w:p w14:paraId="3EFC6311" w14:textId="396D2BD1" w:rsidR="001273A5" w:rsidRPr="00B0485F" w:rsidRDefault="00AF5BD4" w:rsidP="001226B8">
      <w:pPr>
        <w:pStyle w:val="Heading3"/>
      </w:pPr>
      <w:bookmarkStart w:id="48" w:name="_Ref130983396"/>
      <w:bookmarkStart w:id="49" w:name="_Toc165627822"/>
      <w:r w:rsidRPr="00B0485F">
        <w:t>Systematic review (</w:t>
      </w:r>
      <w:r w:rsidR="001273A5" w:rsidRPr="00B0485F">
        <w:t>NICE</w:t>
      </w:r>
      <w:r w:rsidR="00BD1E6E" w:rsidRPr="00B0485F">
        <w:t xml:space="preserve"> Guideline NG123</w:t>
      </w:r>
      <w:r w:rsidR="008065C1" w:rsidRPr="00B0485F">
        <w:t>)</w:t>
      </w:r>
      <w:bookmarkEnd w:id="48"/>
      <w:bookmarkEnd w:id="49"/>
    </w:p>
    <w:p w14:paraId="0E6AF5A7" w14:textId="48B52FBC" w:rsidR="00593E6C" w:rsidRPr="00B0485F" w:rsidRDefault="00153BC4" w:rsidP="00C7043C">
      <w:pPr>
        <w:pStyle w:val="BodyText"/>
      </w:pPr>
      <w:r>
        <w:t>T</w:t>
      </w:r>
      <w:r w:rsidR="00AD1F31" w:rsidRPr="00B0485F">
        <w:t xml:space="preserve">he </w:t>
      </w:r>
      <w:r w:rsidR="00E97A97">
        <w:t>National Institute for Health and Care Excellence (</w:t>
      </w:r>
      <w:r w:rsidR="00156A4F" w:rsidRPr="00B0485F">
        <w:t>NICE</w:t>
      </w:r>
      <w:r w:rsidR="00E97A97">
        <w:t>)</w:t>
      </w:r>
      <w:r w:rsidR="00156A4F" w:rsidRPr="00B0485F">
        <w:t xml:space="preserve"> </w:t>
      </w:r>
      <w:r w:rsidR="00AD1F31" w:rsidRPr="00B0485F">
        <w:t>systematic review</w:t>
      </w:r>
      <w:r w:rsidR="00156A4F" w:rsidRPr="00B0485F">
        <w:t xml:space="preserve"> </w:t>
      </w:r>
      <w:r w:rsidR="001C2C47" w:rsidRPr="00B0485F">
        <w:t xml:space="preserve">conducted to </w:t>
      </w:r>
      <w:r w:rsidR="00156A4F" w:rsidRPr="00B0485F">
        <w:t xml:space="preserve">inform NICE Guideline </w:t>
      </w:r>
      <w:r w:rsidR="00370D28" w:rsidRPr="00B0485F">
        <w:t xml:space="preserve">(NG123) </w:t>
      </w:r>
      <w:r w:rsidR="00370D28" w:rsidRPr="00B0485F">
        <w:rPr>
          <w:i/>
          <w:iCs/>
        </w:rPr>
        <w:t>Urinary incontinence and pelvic organ prolapse in women: management</w:t>
      </w:r>
      <w:r w:rsidR="00370D28" w:rsidRPr="00B0485F">
        <w:t xml:space="preserve"> </w:t>
      </w:r>
      <w:r w:rsidR="00364A8D" w:rsidRPr="00B0485F">
        <w:rPr>
          <w:i/>
          <w:iCs/>
        </w:rPr>
        <w:t>(2019)</w:t>
      </w:r>
      <w:r w:rsidR="00364A8D" w:rsidRPr="00B0485F">
        <w:t xml:space="preserve"> </w:t>
      </w:r>
      <w:r w:rsidR="00245CE2">
        <w:rPr>
          <w:noProof/>
        </w:rPr>
        <w:t>(NICE 2019c)</w:t>
      </w:r>
      <w:r w:rsidR="00DC7EAE" w:rsidRPr="00B0485F">
        <w:t xml:space="preserve"> </w:t>
      </w:r>
      <w:r w:rsidR="00FA13E4" w:rsidRPr="00B0485F">
        <w:t>was identified as</w:t>
      </w:r>
      <w:r w:rsidR="00D541ED" w:rsidRPr="00B0485F">
        <w:t xml:space="preserve"> the most </w:t>
      </w:r>
      <w:r w:rsidR="006134A4">
        <w:t xml:space="preserve">high-quality </w:t>
      </w:r>
      <w:r w:rsidR="00D541ED" w:rsidRPr="00B0485F">
        <w:t>applicable and comprehensive evidence source.</w:t>
      </w:r>
      <w:r w:rsidR="00370D28" w:rsidRPr="00B0485F">
        <w:t xml:space="preserve"> </w:t>
      </w:r>
    </w:p>
    <w:p w14:paraId="492C7E71" w14:textId="11BBADB1" w:rsidR="00824C89" w:rsidRPr="00B0485F" w:rsidRDefault="006641DF" w:rsidP="00C7043C">
      <w:pPr>
        <w:pStyle w:val="BodyText"/>
      </w:pPr>
      <w:r>
        <w:t>A</w:t>
      </w:r>
      <w:r w:rsidR="00D73082">
        <w:t>fter publication of</w:t>
      </w:r>
      <w:r w:rsidR="00824C89" w:rsidRPr="00741EB8">
        <w:t xml:space="preserve"> the NICE guideline in 2019, surveillance was conducted </w:t>
      </w:r>
      <w:r w:rsidR="00DD11C1">
        <w:t xml:space="preserve">by NICE </w:t>
      </w:r>
      <w:r w:rsidR="00824C89" w:rsidRPr="00741EB8">
        <w:t xml:space="preserve">in 2021 to identify new evidence relating to full or partial mesh removal for managing mesh-related complications. The surveillance </w:t>
      </w:r>
      <w:r w:rsidR="00DD11C1">
        <w:t xml:space="preserve">activities </w:t>
      </w:r>
      <w:r w:rsidR="00824C89" w:rsidRPr="00741EB8">
        <w:t xml:space="preserve">identified six </w:t>
      </w:r>
      <w:r w:rsidR="00ED3247" w:rsidRPr="00741EB8">
        <w:t>references</w:t>
      </w:r>
      <w:r w:rsidR="00633F83" w:rsidRPr="00741EB8">
        <w:t xml:space="preserve"> </w:t>
      </w:r>
      <w:r w:rsidR="00824C89" w:rsidRPr="00741EB8">
        <w:t xml:space="preserve">directly relevant </w:t>
      </w:r>
      <w:r w:rsidR="00633F83" w:rsidRPr="00741EB8">
        <w:t>to the guideline scope</w:t>
      </w:r>
      <w:r w:rsidR="000A156B" w:rsidRPr="00741EB8">
        <w:t>, with two of these</w:t>
      </w:r>
      <w:r w:rsidR="002735BF" w:rsidRPr="00741EB8">
        <w:t xml:space="preserve"> </w:t>
      </w:r>
      <w:r w:rsidR="003969DC" w:rsidRPr="00741EB8">
        <w:t xml:space="preserve">being </w:t>
      </w:r>
      <w:r w:rsidR="002735BF" w:rsidRPr="00741EB8">
        <w:t>relevant to SUI</w:t>
      </w:r>
      <w:r w:rsidR="00741EB8">
        <w:t xml:space="preserve"> </w:t>
      </w:r>
      <w:r w:rsidR="00245CE2">
        <w:rPr>
          <w:noProof/>
        </w:rPr>
        <w:t>(Brown 2020; Huang 2018)</w:t>
      </w:r>
      <w:r w:rsidR="00546E4F">
        <w:t>. Huang</w:t>
      </w:r>
      <w:r w:rsidR="00587D52">
        <w:t xml:space="preserve"> </w:t>
      </w:r>
      <w:r w:rsidR="00A56DB0">
        <w:t xml:space="preserve">et al. 2018 </w:t>
      </w:r>
      <w:r w:rsidR="00587D52">
        <w:t xml:space="preserve">provided non-comparative </w:t>
      </w:r>
      <w:r w:rsidR="008951F4">
        <w:t xml:space="preserve">effectiveness </w:t>
      </w:r>
      <w:r w:rsidR="003344B5">
        <w:t>data for TO-MUS</w:t>
      </w:r>
      <w:r w:rsidR="008951F4">
        <w:t xml:space="preserve"> at a median follow-up of 13.5 months</w:t>
      </w:r>
      <w:r w:rsidR="005E551E">
        <w:t xml:space="preserve"> </w:t>
      </w:r>
      <w:r w:rsidR="002E55F2">
        <w:t>and Brown</w:t>
      </w:r>
      <w:r w:rsidR="00A56DB0">
        <w:t xml:space="preserve"> et al. 2020</w:t>
      </w:r>
      <w:r w:rsidR="002E55F2">
        <w:t xml:space="preserve"> provided </w:t>
      </w:r>
      <w:r w:rsidR="00716E20">
        <w:t xml:space="preserve">quality of life and </w:t>
      </w:r>
      <w:r w:rsidR="00103564">
        <w:t xml:space="preserve">qualitative data from seven women who experienced mesh-related complications. </w:t>
      </w:r>
      <w:r w:rsidR="00824C89" w:rsidRPr="00741EB8">
        <w:t xml:space="preserve">No </w:t>
      </w:r>
      <w:r w:rsidR="005B4B36" w:rsidRPr="00741EB8">
        <w:t xml:space="preserve">guideline </w:t>
      </w:r>
      <w:r w:rsidR="00824C89" w:rsidRPr="00741EB8">
        <w:t xml:space="preserve">updates were required </w:t>
      </w:r>
      <w:proofErr w:type="gramStart"/>
      <w:r w:rsidR="00824C89" w:rsidRPr="00741EB8">
        <w:t>on the basis of</w:t>
      </w:r>
      <w:proofErr w:type="gramEnd"/>
      <w:r w:rsidR="00824C89" w:rsidRPr="00741EB8">
        <w:t xml:space="preserve"> the evidence identified</w:t>
      </w:r>
      <w:r w:rsidR="00546E4F">
        <w:t>.</w:t>
      </w:r>
    </w:p>
    <w:p w14:paraId="5B375B47" w14:textId="02F89642" w:rsidR="00787473" w:rsidRPr="00B0485F" w:rsidRDefault="00121690" w:rsidP="000C23FA">
      <w:pPr>
        <w:pStyle w:val="BodyText"/>
        <w:keepNext/>
      </w:pPr>
      <w:r w:rsidRPr="00B0485F">
        <w:t>T</w:t>
      </w:r>
      <w:r w:rsidR="00155754" w:rsidRPr="00B0485F">
        <w:t>he NICE Guideline is broader in scope tha</w:t>
      </w:r>
      <w:r w:rsidR="00D00C23" w:rsidRPr="00B0485F">
        <w:t>n</w:t>
      </w:r>
      <w:r w:rsidR="00155754" w:rsidRPr="00B0485F">
        <w:t xml:space="preserve"> this post-listing review</w:t>
      </w:r>
      <w:r w:rsidR="005A685E">
        <w:t>;</w:t>
      </w:r>
      <w:r w:rsidR="00155754" w:rsidRPr="00B0485F">
        <w:t xml:space="preserve"> </w:t>
      </w:r>
      <w:r w:rsidR="00511ED4" w:rsidRPr="00B0485F">
        <w:t>however</w:t>
      </w:r>
      <w:r w:rsidR="005A685E">
        <w:t>,</w:t>
      </w:r>
      <w:r w:rsidR="00511ED4" w:rsidRPr="00B0485F">
        <w:t xml:space="preserve"> </w:t>
      </w:r>
      <w:r w:rsidR="00563E28">
        <w:t>NICE’s</w:t>
      </w:r>
      <w:r w:rsidR="00511ED4" w:rsidRPr="00B0485F">
        <w:t xml:space="preserve"> </w:t>
      </w:r>
      <w:r w:rsidR="00135323" w:rsidRPr="00B0485F">
        <w:t xml:space="preserve">review question 5.1 </w:t>
      </w:r>
      <w:r w:rsidR="00155754" w:rsidRPr="00B0485F">
        <w:t>provides relevant data</w:t>
      </w:r>
      <w:r w:rsidR="00511ED4" w:rsidRPr="00B0485F">
        <w:t>:</w:t>
      </w:r>
    </w:p>
    <w:p w14:paraId="070E74F1" w14:textId="206453C4" w:rsidR="00173708" w:rsidRPr="00B0485F" w:rsidRDefault="00FC385A" w:rsidP="00FC385A">
      <w:pPr>
        <w:pStyle w:val="Boxeditalictext"/>
      </w:pPr>
      <w:r w:rsidRPr="00B0485F">
        <w:rPr>
          <w:b/>
          <w:bCs/>
        </w:rPr>
        <w:t xml:space="preserve">Review question 5.1: </w:t>
      </w:r>
      <w:r w:rsidRPr="00B0485F">
        <w:t>What is the most effective surgical management of stress urinary incontinence, including mesh and non-mesh procedures?</w:t>
      </w:r>
    </w:p>
    <w:p w14:paraId="64260F2B" w14:textId="35EEE3F1" w:rsidR="00E45BB1" w:rsidRPr="00B0485F" w:rsidRDefault="00D30A72" w:rsidP="00D26049">
      <w:pPr>
        <w:pStyle w:val="Heading4"/>
      </w:pPr>
      <w:r w:rsidRPr="00B0485F">
        <w:lastRenderedPageBreak/>
        <w:t>Methods</w:t>
      </w:r>
    </w:p>
    <w:p w14:paraId="3B884B2E" w14:textId="1AE95094" w:rsidR="00173293" w:rsidRDefault="00702817" w:rsidP="0054614A">
      <w:pPr>
        <w:pStyle w:val="BodyText"/>
      </w:pPr>
      <w:r w:rsidRPr="00B0485F">
        <w:t xml:space="preserve">The </w:t>
      </w:r>
      <w:r w:rsidR="00804B6A" w:rsidRPr="00B0485F">
        <w:t xml:space="preserve">PICO criteria </w:t>
      </w:r>
      <w:r w:rsidR="00C44C52" w:rsidRPr="00B0485F">
        <w:t>for</w:t>
      </w:r>
      <w:r w:rsidRPr="00B0485F">
        <w:t xml:space="preserve"> review question 5.1 </w:t>
      </w:r>
      <w:r w:rsidR="00563E28">
        <w:t xml:space="preserve">from the NICE Guideline </w:t>
      </w:r>
      <w:r w:rsidRPr="00B0485F">
        <w:t xml:space="preserve">are summarised in </w:t>
      </w:r>
      <w:r w:rsidRPr="00B0485F">
        <w:rPr>
          <w:b/>
          <w:bCs/>
        </w:rPr>
        <w:fldChar w:fldCharType="begin"/>
      </w:r>
      <w:r w:rsidRPr="00B0485F">
        <w:rPr>
          <w:b/>
          <w:bCs/>
        </w:rPr>
        <w:instrText xml:space="preserve"> REF _Ref128399556 \h  \* MERGEFORMAT </w:instrText>
      </w:r>
      <w:r w:rsidRPr="00B0485F">
        <w:rPr>
          <w:b/>
          <w:bCs/>
        </w:rPr>
      </w:r>
      <w:r w:rsidRPr="00B0485F">
        <w:rPr>
          <w:b/>
          <w:bCs/>
        </w:rPr>
        <w:fldChar w:fldCharType="separate"/>
      </w:r>
      <w:r w:rsidR="007105D3" w:rsidRPr="007105D3">
        <w:rPr>
          <w:b/>
          <w:bCs/>
        </w:rPr>
        <w:t xml:space="preserve">Table </w:t>
      </w:r>
      <w:r w:rsidR="007105D3" w:rsidRPr="007105D3">
        <w:rPr>
          <w:b/>
          <w:bCs/>
          <w:noProof/>
        </w:rPr>
        <w:t>4</w:t>
      </w:r>
      <w:r w:rsidRPr="00B0485F">
        <w:rPr>
          <w:b/>
          <w:bCs/>
        </w:rPr>
        <w:fldChar w:fldCharType="end"/>
      </w:r>
      <w:r w:rsidRPr="00B0485F">
        <w:t>.</w:t>
      </w:r>
    </w:p>
    <w:p w14:paraId="23B3EE4F" w14:textId="67368ACC" w:rsidR="00A046CA" w:rsidRPr="00B0485F" w:rsidRDefault="00A046CA" w:rsidP="00A046CA">
      <w:pPr>
        <w:pStyle w:val="BodyText"/>
      </w:pPr>
      <w:r w:rsidRPr="00B0485F">
        <w:t xml:space="preserve">The interventions and comparators included in the NICE guideline were broader in scope than those included in this post-listing review. Single-incision mini slings, for example, </w:t>
      </w:r>
      <w:r>
        <w:t>are</w:t>
      </w:r>
      <w:r w:rsidRPr="00B0485F">
        <w:t xml:space="preserve"> not included in this review as they are not approved for </w:t>
      </w:r>
      <w:r>
        <w:t>use</w:t>
      </w:r>
      <w:r w:rsidRPr="00B0485F">
        <w:t xml:space="preserve"> in Australia. Interventions and compar</w:t>
      </w:r>
      <w:r>
        <w:t>isons</w:t>
      </w:r>
      <w:r w:rsidRPr="00B0485F">
        <w:t xml:space="preserve"> included in the NICE guideline that are not relevant to this review are </w:t>
      </w:r>
      <w:r>
        <w:t xml:space="preserve">listed </w:t>
      </w:r>
      <w:r w:rsidRPr="00B0485F">
        <w:t xml:space="preserve">in grey </w:t>
      </w:r>
      <w:r>
        <w:t xml:space="preserve">italic </w:t>
      </w:r>
      <w:r w:rsidRPr="00B0485F">
        <w:t xml:space="preserve">text in </w:t>
      </w:r>
      <w:r w:rsidRPr="00B0485F">
        <w:rPr>
          <w:b/>
          <w:bCs/>
        </w:rPr>
        <w:fldChar w:fldCharType="begin"/>
      </w:r>
      <w:r w:rsidRPr="00B0485F">
        <w:rPr>
          <w:b/>
          <w:bCs/>
        </w:rPr>
        <w:instrText xml:space="preserve"> REF _Ref128399556 \h  \* MERGEFORMAT </w:instrText>
      </w:r>
      <w:r w:rsidRPr="00B0485F">
        <w:rPr>
          <w:b/>
          <w:bCs/>
        </w:rPr>
      </w:r>
      <w:r w:rsidRPr="00B0485F">
        <w:rPr>
          <w:b/>
          <w:bCs/>
        </w:rPr>
        <w:fldChar w:fldCharType="separate"/>
      </w:r>
      <w:r w:rsidR="007105D3" w:rsidRPr="007105D3">
        <w:rPr>
          <w:b/>
          <w:bCs/>
        </w:rPr>
        <w:t xml:space="preserve">Table </w:t>
      </w:r>
      <w:r w:rsidR="007105D3" w:rsidRPr="007105D3">
        <w:rPr>
          <w:b/>
          <w:bCs/>
          <w:noProof/>
        </w:rPr>
        <w:t>4</w:t>
      </w:r>
      <w:r w:rsidRPr="00B0485F">
        <w:rPr>
          <w:b/>
          <w:bCs/>
        </w:rPr>
        <w:fldChar w:fldCharType="end"/>
      </w:r>
      <w:r w:rsidRPr="00B0485F">
        <w:t>.</w:t>
      </w:r>
      <w:r>
        <w:t xml:space="preserve"> Findings for the comparisons listed in black text will be presented in this review.</w:t>
      </w:r>
    </w:p>
    <w:p w14:paraId="09171B49" w14:textId="15683C06" w:rsidR="00173293" w:rsidRPr="00B0485F" w:rsidRDefault="00173293" w:rsidP="00832661">
      <w:pPr>
        <w:pStyle w:val="Caption"/>
      </w:pPr>
      <w:bookmarkStart w:id="50" w:name="_Ref128399556"/>
      <w:bookmarkStart w:id="51" w:name="_Toc165627872"/>
      <w:r w:rsidRPr="00B0485F">
        <w:t xml:space="preserve">Table </w:t>
      </w:r>
      <w:fldSimple w:instr=" SEQ Table \* ARABIC ">
        <w:r w:rsidR="007105D3">
          <w:rPr>
            <w:noProof/>
          </w:rPr>
          <w:t>4</w:t>
        </w:r>
      </w:fldSimple>
      <w:bookmarkEnd w:id="50"/>
      <w:r w:rsidRPr="00B0485F">
        <w:tab/>
      </w:r>
      <w:r w:rsidR="000B17F7" w:rsidRPr="00B0485F">
        <w:t>PICO criteria for</w:t>
      </w:r>
      <w:r w:rsidRPr="00B0485F">
        <w:t xml:space="preserve"> NICE Guideline </w:t>
      </w:r>
      <w:r w:rsidR="00A45FD6">
        <w:t>(</w:t>
      </w:r>
      <w:r w:rsidR="003C4751">
        <w:t>NG 123</w:t>
      </w:r>
      <w:r w:rsidR="00A45FD6">
        <w:t>)</w:t>
      </w:r>
      <w:r w:rsidR="003C4751">
        <w:t xml:space="preserve"> </w:t>
      </w:r>
      <w:r w:rsidRPr="00B0485F">
        <w:t>review question 5.1</w:t>
      </w:r>
      <w:bookmarkEnd w:id="5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PICO criteria for NICE Guideline (NG 123) review question 5.1"/>
        <w:tblDescription w:val="This table shows the patient populations, interventions, treatment comparisons and outcome criteria for NICE guideline NG123 review question 5.1."/>
      </w:tblPr>
      <w:tblGrid>
        <w:gridCol w:w="2251"/>
        <w:gridCol w:w="2570"/>
        <w:gridCol w:w="2835"/>
        <w:gridCol w:w="1982"/>
      </w:tblGrid>
      <w:tr w:rsidR="00D15ACC" w:rsidRPr="00B0485F" w14:paraId="4A640391" w14:textId="77777777" w:rsidTr="00D15ACC">
        <w:trPr>
          <w:cantSplit/>
          <w:tblHeader/>
        </w:trPr>
        <w:tc>
          <w:tcPr>
            <w:tcW w:w="1167" w:type="pct"/>
            <w:shd w:val="clear" w:color="auto" w:fill="BFBFBF"/>
          </w:tcPr>
          <w:p w14:paraId="49DDF707" w14:textId="4DC0E248" w:rsidR="00D15ACC" w:rsidRPr="005D71A4" w:rsidRDefault="00D15ACC" w:rsidP="00C94538">
            <w:pPr>
              <w:pStyle w:val="011TableHeading8pt"/>
              <w:rPr>
                <w:sz w:val="18"/>
                <w:szCs w:val="18"/>
              </w:rPr>
            </w:pPr>
            <w:r w:rsidRPr="005D71A4">
              <w:rPr>
                <w:sz w:val="18"/>
                <w:szCs w:val="18"/>
              </w:rPr>
              <w:t>Patient populations</w:t>
            </w:r>
          </w:p>
        </w:tc>
        <w:tc>
          <w:tcPr>
            <w:tcW w:w="1333" w:type="pct"/>
            <w:shd w:val="clear" w:color="auto" w:fill="BFBFBF"/>
          </w:tcPr>
          <w:p w14:paraId="635AAD98" w14:textId="77777777" w:rsidR="00D15ACC" w:rsidRPr="005D71A4" w:rsidRDefault="00D15ACC" w:rsidP="00C94538">
            <w:pPr>
              <w:pStyle w:val="011TableHeading8pt"/>
              <w:rPr>
                <w:sz w:val="18"/>
                <w:szCs w:val="18"/>
              </w:rPr>
            </w:pPr>
            <w:r w:rsidRPr="005D71A4">
              <w:rPr>
                <w:sz w:val="18"/>
                <w:szCs w:val="18"/>
              </w:rPr>
              <w:t>Interventions</w:t>
            </w:r>
          </w:p>
        </w:tc>
        <w:tc>
          <w:tcPr>
            <w:tcW w:w="1471" w:type="pct"/>
            <w:shd w:val="clear" w:color="auto" w:fill="BFBFBF"/>
          </w:tcPr>
          <w:p w14:paraId="28C28932" w14:textId="77777777" w:rsidR="00D15ACC" w:rsidRPr="005D71A4" w:rsidRDefault="00D15ACC" w:rsidP="00C94538">
            <w:pPr>
              <w:pStyle w:val="011TableHeading8pt"/>
              <w:rPr>
                <w:sz w:val="18"/>
                <w:szCs w:val="18"/>
              </w:rPr>
            </w:pPr>
            <w:r w:rsidRPr="005D71A4">
              <w:rPr>
                <w:sz w:val="18"/>
                <w:szCs w:val="18"/>
              </w:rPr>
              <w:t>Comparisons</w:t>
            </w:r>
          </w:p>
        </w:tc>
        <w:tc>
          <w:tcPr>
            <w:tcW w:w="1028" w:type="pct"/>
            <w:shd w:val="clear" w:color="auto" w:fill="BFBFBF"/>
          </w:tcPr>
          <w:p w14:paraId="4A1608FF" w14:textId="77777777" w:rsidR="00D15ACC" w:rsidRPr="005D71A4" w:rsidRDefault="00D15ACC" w:rsidP="00E675EE">
            <w:pPr>
              <w:pStyle w:val="011TableHeading8pt"/>
              <w:keepNext/>
              <w:rPr>
                <w:sz w:val="18"/>
                <w:szCs w:val="18"/>
              </w:rPr>
            </w:pPr>
            <w:r w:rsidRPr="005D71A4">
              <w:rPr>
                <w:sz w:val="18"/>
                <w:szCs w:val="18"/>
              </w:rPr>
              <w:t>Outcomes</w:t>
            </w:r>
          </w:p>
        </w:tc>
      </w:tr>
      <w:tr w:rsidR="00D15ACC" w:rsidRPr="00B0485F" w14:paraId="33D773CE" w14:textId="77777777" w:rsidTr="00D15ACC">
        <w:trPr>
          <w:cantSplit/>
          <w:trHeight w:val="705"/>
        </w:trPr>
        <w:tc>
          <w:tcPr>
            <w:tcW w:w="1167" w:type="pct"/>
            <w:shd w:val="clear" w:color="auto" w:fill="auto"/>
          </w:tcPr>
          <w:p w14:paraId="127FEE7C" w14:textId="719F6649" w:rsidR="00D15ACC" w:rsidRPr="005D71A4" w:rsidRDefault="00D15ACC" w:rsidP="00515871">
            <w:pPr>
              <w:pStyle w:val="051Tabletext228pt"/>
              <w:spacing w:before="120"/>
              <w:rPr>
                <w:sz w:val="18"/>
                <w:szCs w:val="18"/>
              </w:rPr>
            </w:pPr>
            <w:r w:rsidRPr="005D71A4">
              <w:rPr>
                <w:sz w:val="18"/>
                <w:szCs w:val="18"/>
              </w:rPr>
              <w:t xml:space="preserve">1. Women (aged </w:t>
            </w:r>
            <w:r w:rsidRPr="005D71A4">
              <w:rPr>
                <w:rFonts w:cs="Calibri"/>
                <w:sz w:val="18"/>
                <w:szCs w:val="18"/>
              </w:rPr>
              <w:t>≥</w:t>
            </w:r>
            <w:r w:rsidRPr="005D71A4">
              <w:rPr>
                <w:sz w:val="18"/>
                <w:szCs w:val="18"/>
              </w:rPr>
              <w:t xml:space="preserve">18) with SUI who have failed or declined conservative treatment; </w:t>
            </w:r>
            <w:proofErr w:type="gramStart"/>
            <w:r w:rsidRPr="005D71A4">
              <w:rPr>
                <w:sz w:val="18"/>
                <w:szCs w:val="18"/>
              </w:rPr>
              <w:t>OR,</w:t>
            </w:r>
            <w:proofErr w:type="gramEnd"/>
            <w:r w:rsidRPr="005D71A4">
              <w:rPr>
                <w:sz w:val="18"/>
                <w:szCs w:val="18"/>
              </w:rPr>
              <w:t xml:space="preserve"> women with mixed UI with confirmed stress predominance who have failed or declined conservative treatment</w:t>
            </w:r>
          </w:p>
          <w:p w14:paraId="50ECC411" w14:textId="65269C8B" w:rsidR="00D15ACC" w:rsidRPr="005D71A4" w:rsidRDefault="00D15ACC" w:rsidP="00515871">
            <w:pPr>
              <w:pStyle w:val="051Tabletext228pt"/>
              <w:spacing w:before="120"/>
              <w:rPr>
                <w:sz w:val="18"/>
                <w:szCs w:val="18"/>
              </w:rPr>
            </w:pPr>
            <w:r w:rsidRPr="005D71A4">
              <w:rPr>
                <w:sz w:val="18"/>
                <w:szCs w:val="18"/>
              </w:rPr>
              <w:t>2. Women who are naïve to treatment</w:t>
            </w:r>
          </w:p>
          <w:p w14:paraId="262AA2C9" w14:textId="3D47F12A" w:rsidR="00D15ACC" w:rsidRPr="005D71A4" w:rsidRDefault="00D15ACC" w:rsidP="00515871">
            <w:pPr>
              <w:pStyle w:val="051Tabletext228pt"/>
              <w:spacing w:before="120"/>
              <w:rPr>
                <w:sz w:val="18"/>
                <w:szCs w:val="18"/>
              </w:rPr>
            </w:pPr>
            <w:r w:rsidRPr="005D71A4">
              <w:rPr>
                <w:sz w:val="18"/>
                <w:szCs w:val="18"/>
              </w:rPr>
              <w:t>3. Women having repeat surgery</w:t>
            </w:r>
          </w:p>
          <w:p w14:paraId="4CB3ADFE" w14:textId="1E18A1B6" w:rsidR="00D15ACC" w:rsidRPr="005D71A4" w:rsidRDefault="00D15ACC" w:rsidP="00515871">
            <w:pPr>
              <w:pStyle w:val="051Tabletext228pt"/>
              <w:spacing w:before="120"/>
              <w:rPr>
                <w:sz w:val="18"/>
                <w:szCs w:val="18"/>
              </w:rPr>
            </w:pPr>
            <w:r w:rsidRPr="005D71A4">
              <w:rPr>
                <w:sz w:val="18"/>
                <w:szCs w:val="18"/>
              </w:rPr>
              <w:t>4. Women with USI; concurrent ISD; concurrent OAB; or concurrent POP (as indicated by the POP-Q system)</w:t>
            </w:r>
          </w:p>
        </w:tc>
        <w:tc>
          <w:tcPr>
            <w:tcW w:w="1333" w:type="pct"/>
            <w:shd w:val="clear" w:color="auto" w:fill="auto"/>
          </w:tcPr>
          <w:p w14:paraId="2426D339" w14:textId="538A9757" w:rsidR="00D15ACC" w:rsidRPr="005D71A4" w:rsidRDefault="00D15ACC" w:rsidP="007B46CB">
            <w:pPr>
              <w:pStyle w:val="051Tabletext228pt"/>
              <w:spacing w:before="120"/>
              <w:rPr>
                <w:sz w:val="18"/>
                <w:szCs w:val="18"/>
              </w:rPr>
            </w:pPr>
            <w:r w:rsidRPr="005D71A4">
              <w:rPr>
                <w:sz w:val="18"/>
                <w:szCs w:val="18"/>
              </w:rPr>
              <w:t xml:space="preserve">1. </w:t>
            </w:r>
            <w:proofErr w:type="spellStart"/>
            <w:r w:rsidRPr="005D71A4">
              <w:rPr>
                <w:sz w:val="18"/>
                <w:szCs w:val="18"/>
              </w:rPr>
              <w:t>Suburethral</w:t>
            </w:r>
            <w:proofErr w:type="spellEnd"/>
            <w:r w:rsidRPr="005D71A4">
              <w:rPr>
                <w:sz w:val="18"/>
                <w:szCs w:val="18"/>
              </w:rPr>
              <w:t xml:space="preserve"> slings (synthetic mesh)</w:t>
            </w:r>
          </w:p>
          <w:p w14:paraId="00820568" w14:textId="77777777" w:rsidR="00D15ACC" w:rsidRPr="005D71A4" w:rsidRDefault="00D15ACC" w:rsidP="00713A63">
            <w:pPr>
              <w:pStyle w:val="051Tabletext228pt"/>
              <w:numPr>
                <w:ilvl w:val="0"/>
                <w:numId w:val="23"/>
              </w:numPr>
              <w:ind w:left="197" w:hanging="197"/>
              <w:rPr>
                <w:sz w:val="18"/>
                <w:szCs w:val="18"/>
              </w:rPr>
            </w:pPr>
            <w:r w:rsidRPr="005D71A4">
              <w:rPr>
                <w:sz w:val="18"/>
                <w:szCs w:val="18"/>
              </w:rPr>
              <w:t xml:space="preserve">Retropubic bottom-up </w:t>
            </w:r>
          </w:p>
          <w:p w14:paraId="17161624" w14:textId="103A8FC3" w:rsidR="00D15ACC" w:rsidRPr="005D71A4" w:rsidRDefault="00D15ACC" w:rsidP="00713A63">
            <w:pPr>
              <w:pStyle w:val="051Tabletext228pt"/>
              <w:numPr>
                <w:ilvl w:val="0"/>
                <w:numId w:val="23"/>
              </w:numPr>
              <w:ind w:left="197" w:hanging="197"/>
              <w:rPr>
                <w:sz w:val="18"/>
                <w:szCs w:val="18"/>
              </w:rPr>
            </w:pPr>
            <w:r w:rsidRPr="005D71A4">
              <w:rPr>
                <w:sz w:val="18"/>
                <w:szCs w:val="18"/>
              </w:rPr>
              <w:t>Retropubic top-down</w:t>
            </w:r>
          </w:p>
          <w:p w14:paraId="455C0EC3" w14:textId="77777777" w:rsidR="00D15ACC" w:rsidRPr="005D71A4" w:rsidRDefault="00D15ACC" w:rsidP="00713A63">
            <w:pPr>
              <w:pStyle w:val="051Tabletext228pt"/>
              <w:numPr>
                <w:ilvl w:val="0"/>
                <w:numId w:val="23"/>
              </w:numPr>
              <w:ind w:left="197" w:hanging="197"/>
              <w:rPr>
                <w:sz w:val="18"/>
                <w:szCs w:val="18"/>
              </w:rPr>
            </w:pPr>
            <w:proofErr w:type="spellStart"/>
            <w:r w:rsidRPr="005D71A4">
              <w:rPr>
                <w:sz w:val="18"/>
                <w:szCs w:val="18"/>
              </w:rPr>
              <w:t>Transobturator</w:t>
            </w:r>
            <w:proofErr w:type="spellEnd"/>
            <w:r w:rsidRPr="005D71A4">
              <w:rPr>
                <w:sz w:val="18"/>
                <w:szCs w:val="18"/>
              </w:rPr>
              <w:t xml:space="preserve"> inside-out</w:t>
            </w:r>
          </w:p>
          <w:p w14:paraId="77AF3035" w14:textId="77777777" w:rsidR="00D15ACC" w:rsidRPr="005D71A4" w:rsidRDefault="00D15ACC" w:rsidP="00713A63">
            <w:pPr>
              <w:pStyle w:val="051Tabletext228pt"/>
              <w:numPr>
                <w:ilvl w:val="0"/>
                <w:numId w:val="23"/>
              </w:numPr>
              <w:ind w:left="197" w:hanging="197"/>
              <w:rPr>
                <w:sz w:val="18"/>
                <w:szCs w:val="18"/>
              </w:rPr>
            </w:pPr>
            <w:proofErr w:type="spellStart"/>
            <w:r w:rsidRPr="005D71A4">
              <w:rPr>
                <w:sz w:val="18"/>
                <w:szCs w:val="18"/>
              </w:rPr>
              <w:t>Transobturator</w:t>
            </w:r>
            <w:proofErr w:type="spellEnd"/>
            <w:r w:rsidRPr="005D71A4">
              <w:rPr>
                <w:sz w:val="18"/>
                <w:szCs w:val="18"/>
              </w:rPr>
              <w:t xml:space="preserve"> outside-in</w:t>
            </w:r>
          </w:p>
          <w:p w14:paraId="7E8B6FF6" w14:textId="7C18C3B6" w:rsidR="00D15ACC" w:rsidRPr="005D71A4" w:rsidRDefault="00D15ACC" w:rsidP="00713A63">
            <w:pPr>
              <w:pStyle w:val="051Tabletext228pt"/>
              <w:numPr>
                <w:ilvl w:val="0"/>
                <w:numId w:val="23"/>
              </w:numPr>
              <w:ind w:left="197" w:hanging="197"/>
              <w:rPr>
                <w:i/>
                <w:iCs/>
                <w:color w:val="808080" w:themeColor="background1" w:themeShade="80"/>
                <w:sz w:val="18"/>
                <w:szCs w:val="18"/>
              </w:rPr>
            </w:pPr>
            <w:r w:rsidRPr="005D71A4">
              <w:rPr>
                <w:i/>
                <w:iCs/>
                <w:color w:val="808080" w:themeColor="background1" w:themeShade="80"/>
                <w:sz w:val="18"/>
                <w:szCs w:val="18"/>
              </w:rPr>
              <w:t>Single-incision mini-slings</w:t>
            </w:r>
          </w:p>
          <w:p w14:paraId="116F2388" w14:textId="0B23EB18" w:rsidR="00D15ACC" w:rsidRPr="005D71A4" w:rsidRDefault="00D15ACC" w:rsidP="00713A63">
            <w:pPr>
              <w:pStyle w:val="051Tabletext228pt"/>
              <w:numPr>
                <w:ilvl w:val="1"/>
                <w:numId w:val="23"/>
              </w:numPr>
              <w:ind w:left="647" w:hanging="270"/>
              <w:rPr>
                <w:i/>
                <w:iCs/>
                <w:color w:val="808080" w:themeColor="background1" w:themeShade="80"/>
                <w:sz w:val="18"/>
                <w:szCs w:val="18"/>
              </w:rPr>
            </w:pPr>
            <w:r w:rsidRPr="005D71A4">
              <w:rPr>
                <w:i/>
                <w:iCs/>
                <w:color w:val="808080" w:themeColor="background1" w:themeShade="80"/>
                <w:sz w:val="18"/>
                <w:szCs w:val="18"/>
              </w:rPr>
              <w:t>Non-adjustable</w:t>
            </w:r>
          </w:p>
          <w:p w14:paraId="510A5AAC" w14:textId="4782FEEC" w:rsidR="00D15ACC" w:rsidRPr="005D71A4" w:rsidRDefault="00D15ACC" w:rsidP="00713A63">
            <w:pPr>
              <w:pStyle w:val="051Tabletext228pt"/>
              <w:numPr>
                <w:ilvl w:val="1"/>
                <w:numId w:val="23"/>
              </w:numPr>
              <w:ind w:left="647" w:hanging="270"/>
              <w:rPr>
                <w:i/>
                <w:iCs/>
                <w:color w:val="808080" w:themeColor="background1" w:themeShade="80"/>
                <w:sz w:val="18"/>
                <w:szCs w:val="18"/>
              </w:rPr>
            </w:pPr>
            <w:r w:rsidRPr="005D71A4">
              <w:rPr>
                <w:i/>
                <w:iCs/>
                <w:color w:val="808080" w:themeColor="background1" w:themeShade="80"/>
                <w:sz w:val="18"/>
                <w:szCs w:val="18"/>
              </w:rPr>
              <w:t>Adjustable</w:t>
            </w:r>
          </w:p>
          <w:p w14:paraId="16D94FDA" w14:textId="0E630BFD" w:rsidR="00D15ACC" w:rsidRPr="005D71A4" w:rsidRDefault="00D15ACC" w:rsidP="007B46CB">
            <w:pPr>
              <w:pStyle w:val="051Tabletext228pt"/>
              <w:spacing w:before="120"/>
              <w:rPr>
                <w:sz w:val="18"/>
                <w:szCs w:val="18"/>
              </w:rPr>
            </w:pPr>
            <w:r w:rsidRPr="005D71A4">
              <w:rPr>
                <w:sz w:val="18"/>
                <w:szCs w:val="18"/>
              </w:rPr>
              <w:t xml:space="preserve">2. </w:t>
            </w:r>
            <w:proofErr w:type="spellStart"/>
            <w:r w:rsidRPr="005D71A4">
              <w:rPr>
                <w:sz w:val="18"/>
                <w:szCs w:val="18"/>
              </w:rPr>
              <w:t>Colposuspension</w:t>
            </w:r>
            <w:proofErr w:type="spellEnd"/>
            <w:r w:rsidRPr="005D71A4">
              <w:rPr>
                <w:sz w:val="18"/>
                <w:szCs w:val="18"/>
              </w:rPr>
              <w:t xml:space="preserve"> (Burch, paravaginal fascial repair)</w:t>
            </w:r>
          </w:p>
          <w:p w14:paraId="29D91592" w14:textId="77777777" w:rsidR="00D15ACC" w:rsidRPr="005D71A4" w:rsidRDefault="00D15ACC" w:rsidP="00713A63">
            <w:pPr>
              <w:pStyle w:val="051Tabletext228pt"/>
              <w:numPr>
                <w:ilvl w:val="0"/>
                <w:numId w:val="23"/>
              </w:numPr>
              <w:ind w:left="197" w:hanging="197"/>
              <w:rPr>
                <w:sz w:val="18"/>
                <w:szCs w:val="18"/>
              </w:rPr>
            </w:pPr>
            <w:r w:rsidRPr="005D71A4">
              <w:rPr>
                <w:sz w:val="18"/>
                <w:szCs w:val="18"/>
              </w:rPr>
              <w:t>Open abdominal retropubic suspension</w:t>
            </w:r>
          </w:p>
          <w:p w14:paraId="081D3E6F" w14:textId="77777777" w:rsidR="00D15ACC" w:rsidRPr="005D71A4" w:rsidRDefault="00D15ACC" w:rsidP="00713A63">
            <w:pPr>
              <w:pStyle w:val="051Tabletext228pt"/>
              <w:numPr>
                <w:ilvl w:val="0"/>
                <w:numId w:val="23"/>
              </w:numPr>
              <w:ind w:left="197" w:hanging="197"/>
              <w:rPr>
                <w:sz w:val="18"/>
                <w:szCs w:val="18"/>
              </w:rPr>
            </w:pPr>
            <w:r w:rsidRPr="005D71A4">
              <w:rPr>
                <w:sz w:val="18"/>
                <w:szCs w:val="18"/>
              </w:rPr>
              <w:t>Laparoscopic retropubic suspension with sutures</w:t>
            </w:r>
          </w:p>
          <w:p w14:paraId="64F0EB3C" w14:textId="7141C9EC" w:rsidR="00D15ACC" w:rsidRPr="005D71A4" w:rsidRDefault="00D15ACC" w:rsidP="007B46CB">
            <w:pPr>
              <w:pStyle w:val="051Tabletext228pt"/>
              <w:spacing w:before="120"/>
              <w:rPr>
                <w:sz w:val="18"/>
                <w:szCs w:val="18"/>
              </w:rPr>
            </w:pPr>
            <w:r w:rsidRPr="005D71A4">
              <w:rPr>
                <w:sz w:val="18"/>
                <w:szCs w:val="18"/>
              </w:rPr>
              <w:t>3. Biological slings</w:t>
            </w:r>
          </w:p>
          <w:p w14:paraId="097D3E82" w14:textId="77777777" w:rsidR="00D15ACC" w:rsidRPr="005D71A4" w:rsidRDefault="00D15ACC" w:rsidP="00713A63">
            <w:pPr>
              <w:pStyle w:val="051Tabletext228pt"/>
              <w:numPr>
                <w:ilvl w:val="0"/>
                <w:numId w:val="23"/>
              </w:numPr>
              <w:ind w:left="197" w:hanging="197"/>
              <w:rPr>
                <w:sz w:val="18"/>
                <w:szCs w:val="18"/>
              </w:rPr>
            </w:pPr>
            <w:r w:rsidRPr="005D71A4">
              <w:rPr>
                <w:sz w:val="18"/>
                <w:szCs w:val="18"/>
              </w:rPr>
              <w:t xml:space="preserve">Autologous rectus fascial sling </w:t>
            </w:r>
          </w:p>
          <w:p w14:paraId="27A45072" w14:textId="689E1E82" w:rsidR="00D15ACC" w:rsidRPr="005D71A4" w:rsidRDefault="00D15ACC" w:rsidP="00713A63">
            <w:pPr>
              <w:pStyle w:val="051Tabletext228pt"/>
              <w:numPr>
                <w:ilvl w:val="0"/>
                <w:numId w:val="23"/>
              </w:numPr>
              <w:ind w:left="197" w:hanging="197"/>
              <w:rPr>
                <w:color w:val="808080" w:themeColor="background1" w:themeShade="80"/>
                <w:sz w:val="18"/>
                <w:szCs w:val="18"/>
              </w:rPr>
            </w:pPr>
            <w:r w:rsidRPr="005D71A4">
              <w:rPr>
                <w:color w:val="808080" w:themeColor="background1" w:themeShade="80"/>
                <w:sz w:val="18"/>
                <w:szCs w:val="18"/>
              </w:rPr>
              <w:t>Non-autologous slings</w:t>
            </w:r>
          </w:p>
          <w:p w14:paraId="67F9385F" w14:textId="53B8A835" w:rsidR="00D15ACC" w:rsidRPr="005D71A4" w:rsidRDefault="00D15ACC" w:rsidP="007B46CB">
            <w:pPr>
              <w:pStyle w:val="051Tabletext228pt"/>
              <w:spacing w:before="120"/>
              <w:rPr>
                <w:sz w:val="18"/>
                <w:szCs w:val="18"/>
              </w:rPr>
            </w:pPr>
            <w:r w:rsidRPr="005D71A4">
              <w:rPr>
                <w:sz w:val="18"/>
                <w:szCs w:val="18"/>
              </w:rPr>
              <w:t>4. Para or transurethral injections (bulking agents)</w:t>
            </w:r>
          </w:p>
        </w:tc>
        <w:tc>
          <w:tcPr>
            <w:tcW w:w="1471" w:type="pct"/>
            <w:shd w:val="clear" w:color="auto" w:fill="auto"/>
          </w:tcPr>
          <w:p w14:paraId="5EF48A13" w14:textId="7BFEB2D5" w:rsidR="00D15ACC" w:rsidRPr="005D71A4" w:rsidRDefault="00D15ACC" w:rsidP="007B46CB">
            <w:pPr>
              <w:pStyle w:val="051Tabletext228pt"/>
              <w:spacing w:before="120"/>
              <w:rPr>
                <w:sz w:val="18"/>
                <w:szCs w:val="18"/>
              </w:rPr>
            </w:pPr>
            <w:r w:rsidRPr="005D71A4">
              <w:rPr>
                <w:sz w:val="18"/>
                <w:szCs w:val="18"/>
              </w:rPr>
              <w:t xml:space="preserve">1. Synthetic sling vs. </w:t>
            </w:r>
            <w:proofErr w:type="spellStart"/>
            <w:r w:rsidRPr="005D71A4">
              <w:rPr>
                <w:sz w:val="18"/>
                <w:szCs w:val="18"/>
              </w:rPr>
              <w:t>colposuspension</w:t>
            </w:r>
            <w:proofErr w:type="spellEnd"/>
          </w:p>
          <w:p w14:paraId="6661D484" w14:textId="271F9FCB" w:rsidR="00D15ACC" w:rsidRPr="005D71A4" w:rsidRDefault="00D15ACC" w:rsidP="007B46CB">
            <w:pPr>
              <w:pStyle w:val="051Tabletext228pt"/>
              <w:spacing w:before="120"/>
              <w:rPr>
                <w:sz w:val="18"/>
                <w:szCs w:val="18"/>
              </w:rPr>
            </w:pPr>
            <w:r w:rsidRPr="005D71A4">
              <w:rPr>
                <w:sz w:val="18"/>
                <w:szCs w:val="18"/>
              </w:rPr>
              <w:t>2. Synthetic sling vs. autologous sling (e.g. rectus fascial sling)</w:t>
            </w:r>
          </w:p>
          <w:p w14:paraId="4CBE8AFC" w14:textId="366CAFE3" w:rsidR="00D15ACC" w:rsidRPr="005D71A4" w:rsidRDefault="00D15ACC" w:rsidP="007B46CB">
            <w:pPr>
              <w:pStyle w:val="051Tabletext228pt"/>
              <w:spacing w:before="120"/>
              <w:rPr>
                <w:sz w:val="18"/>
                <w:szCs w:val="18"/>
              </w:rPr>
            </w:pPr>
            <w:r w:rsidRPr="005D71A4">
              <w:rPr>
                <w:sz w:val="18"/>
                <w:szCs w:val="18"/>
              </w:rPr>
              <w:t>3. Synthetic sling vs. non-autologous biological sling</w:t>
            </w:r>
          </w:p>
          <w:p w14:paraId="5222AF15" w14:textId="7A79A10C" w:rsidR="00D15ACC" w:rsidRPr="005D71A4" w:rsidRDefault="00D15ACC" w:rsidP="007B46CB">
            <w:pPr>
              <w:pStyle w:val="051Tabletext228pt"/>
              <w:spacing w:before="120"/>
              <w:rPr>
                <w:sz w:val="18"/>
                <w:szCs w:val="18"/>
              </w:rPr>
            </w:pPr>
            <w:r w:rsidRPr="005D71A4">
              <w:rPr>
                <w:sz w:val="18"/>
                <w:szCs w:val="18"/>
              </w:rPr>
              <w:t xml:space="preserve">4. Retropubic route vs. </w:t>
            </w:r>
            <w:proofErr w:type="spellStart"/>
            <w:r w:rsidRPr="005D71A4">
              <w:rPr>
                <w:sz w:val="18"/>
                <w:szCs w:val="18"/>
              </w:rPr>
              <w:t>transobturator</w:t>
            </w:r>
            <w:proofErr w:type="spellEnd"/>
            <w:r w:rsidRPr="005D71A4">
              <w:rPr>
                <w:sz w:val="18"/>
                <w:szCs w:val="18"/>
              </w:rPr>
              <w:t xml:space="preserve"> route </w:t>
            </w:r>
          </w:p>
          <w:p w14:paraId="2E51456B" w14:textId="634CFBC9" w:rsidR="00D15ACC" w:rsidRPr="005D71A4" w:rsidRDefault="00D15ACC" w:rsidP="007B46CB">
            <w:pPr>
              <w:pStyle w:val="051Tabletext228pt"/>
              <w:spacing w:before="120"/>
              <w:rPr>
                <w:i/>
                <w:iCs/>
                <w:color w:val="808080" w:themeColor="background1" w:themeShade="80"/>
                <w:sz w:val="18"/>
                <w:szCs w:val="18"/>
              </w:rPr>
            </w:pPr>
            <w:r w:rsidRPr="005D71A4">
              <w:rPr>
                <w:i/>
                <w:iCs/>
                <w:color w:val="808080" w:themeColor="background1" w:themeShade="80"/>
                <w:sz w:val="18"/>
                <w:szCs w:val="18"/>
              </w:rPr>
              <w:t>5. (Non-adjustable) Single-incision mini-sling vs. other synthetic sling</w:t>
            </w:r>
          </w:p>
          <w:p w14:paraId="4473FD6B" w14:textId="5671A87D" w:rsidR="00D15ACC" w:rsidRPr="005D71A4" w:rsidRDefault="00D15ACC" w:rsidP="007B46CB">
            <w:pPr>
              <w:pStyle w:val="051Tabletext228pt"/>
              <w:spacing w:before="120"/>
              <w:rPr>
                <w:i/>
                <w:iCs/>
                <w:color w:val="808080" w:themeColor="background1" w:themeShade="80"/>
                <w:sz w:val="18"/>
                <w:szCs w:val="18"/>
              </w:rPr>
            </w:pPr>
            <w:r w:rsidRPr="005D71A4">
              <w:rPr>
                <w:i/>
                <w:iCs/>
                <w:color w:val="808080" w:themeColor="background1" w:themeShade="80"/>
                <w:sz w:val="18"/>
                <w:szCs w:val="18"/>
              </w:rPr>
              <w:t>6. Adjustable sling vs. other synthetic sling</w:t>
            </w:r>
          </w:p>
          <w:p w14:paraId="6082DA1C" w14:textId="61887E0F" w:rsidR="00D15ACC" w:rsidRPr="005D71A4" w:rsidRDefault="00D15ACC" w:rsidP="007B46CB">
            <w:pPr>
              <w:pStyle w:val="051Tabletext228pt"/>
              <w:spacing w:before="120"/>
              <w:rPr>
                <w:i/>
                <w:iCs/>
                <w:color w:val="808080" w:themeColor="background1" w:themeShade="80"/>
                <w:sz w:val="18"/>
                <w:szCs w:val="18"/>
              </w:rPr>
            </w:pPr>
            <w:r w:rsidRPr="005D71A4">
              <w:rPr>
                <w:i/>
                <w:iCs/>
                <w:color w:val="808080" w:themeColor="background1" w:themeShade="80"/>
                <w:sz w:val="18"/>
                <w:szCs w:val="18"/>
              </w:rPr>
              <w:t xml:space="preserve">7. Laparoscopic </w:t>
            </w:r>
            <w:proofErr w:type="spellStart"/>
            <w:r w:rsidRPr="005D71A4">
              <w:rPr>
                <w:i/>
                <w:iCs/>
                <w:color w:val="808080" w:themeColor="background1" w:themeShade="80"/>
                <w:sz w:val="18"/>
                <w:szCs w:val="18"/>
              </w:rPr>
              <w:t>colposuspension</w:t>
            </w:r>
            <w:proofErr w:type="spellEnd"/>
            <w:r w:rsidRPr="005D71A4">
              <w:rPr>
                <w:i/>
                <w:iCs/>
                <w:color w:val="808080" w:themeColor="background1" w:themeShade="80"/>
                <w:sz w:val="18"/>
                <w:szCs w:val="18"/>
              </w:rPr>
              <w:t xml:space="preserve"> vs. open </w:t>
            </w:r>
            <w:proofErr w:type="spellStart"/>
            <w:r w:rsidRPr="005D71A4">
              <w:rPr>
                <w:i/>
                <w:iCs/>
                <w:color w:val="808080" w:themeColor="background1" w:themeShade="80"/>
                <w:sz w:val="18"/>
                <w:szCs w:val="18"/>
              </w:rPr>
              <w:t>colposuspension</w:t>
            </w:r>
            <w:proofErr w:type="spellEnd"/>
          </w:p>
          <w:p w14:paraId="4DC5FA81" w14:textId="3AA968CE" w:rsidR="00D15ACC" w:rsidRPr="005D71A4" w:rsidRDefault="00D15ACC" w:rsidP="007B46CB">
            <w:pPr>
              <w:pStyle w:val="051Tabletext228pt"/>
              <w:spacing w:before="120"/>
              <w:rPr>
                <w:i/>
                <w:iCs/>
                <w:color w:val="808080" w:themeColor="background1" w:themeShade="80"/>
                <w:sz w:val="18"/>
                <w:szCs w:val="18"/>
              </w:rPr>
            </w:pPr>
            <w:r w:rsidRPr="005D71A4">
              <w:rPr>
                <w:i/>
                <w:iCs/>
                <w:color w:val="808080" w:themeColor="background1" w:themeShade="80"/>
                <w:sz w:val="18"/>
                <w:szCs w:val="18"/>
              </w:rPr>
              <w:t xml:space="preserve">8. </w:t>
            </w:r>
            <w:proofErr w:type="spellStart"/>
            <w:r w:rsidRPr="005D71A4">
              <w:rPr>
                <w:i/>
                <w:iCs/>
                <w:color w:val="808080" w:themeColor="background1" w:themeShade="80"/>
                <w:sz w:val="18"/>
                <w:szCs w:val="18"/>
              </w:rPr>
              <w:t>Colposuspension</w:t>
            </w:r>
            <w:proofErr w:type="spellEnd"/>
            <w:r w:rsidRPr="005D71A4">
              <w:rPr>
                <w:i/>
                <w:iCs/>
                <w:color w:val="808080" w:themeColor="background1" w:themeShade="80"/>
                <w:sz w:val="18"/>
                <w:szCs w:val="18"/>
              </w:rPr>
              <w:t xml:space="preserve"> vs. biological sling</w:t>
            </w:r>
          </w:p>
          <w:p w14:paraId="75DAFB5B" w14:textId="1FA8F375" w:rsidR="00D15ACC" w:rsidRPr="005D71A4" w:rsidRDefault="00D15ACC" w:rsidP="00713A63">
            <w:pPr>
              <w:pStyle w:val="051Tabletext228pt"/>
              <w:numPr>
                <w:ilvl w:val="0"/>
                <w:numId w:val="23"/>
              </w:numPr>
              <w:ind w:left="197" w:hanging="197"/>
              <w:rPr>
                <w:bCs/>
                <w:i/>
                <w:iCs/>
                <w:color w:val="808080" w:themeColor="background1" w:themeShade="80"/>
                <w:sz w:val="18"/>
                <w:szCs w:val="18"/>
              </w:rPr>
            </w:pPr>
            <w:proofErr w:type="spellStart"/>
            <w:r w:rsidRPr="005D71A4">
              <w:rPr>
                <w:bCs/>
                <w:i/>
                <w:iCs/>
                <w:color w:val="808080" w:themeColor="background1" w:themeShade="80"/>
                <w:sz w:val="18"/>
                <w:szCs w:val="18"/>
              </w:rPr>
              <w:t>Colposuspension</w:t>
            </w:r>
            <w:proofErr w:type="spellEnd"/>
            <w:r w:rsidRPr="005D71A4">
              <w:rPr>
                <w:bCs/>
                <w:i/>
                <w:iCs/>
                <w:color w:val="808080" w:themeColor="background1" w:themeShade="80"/>
                <w:sz w:val="18"/>
                <w:szCs w:val="18"/>
              </w:rPr>
              <w:t xml:space="preserve"> vs</w:t>
            </w:r>
            <w:r w:rsidRPr="005D71A4">
              <w:rPr>
                <w:i/>
                <w:iCs/>
                <w:color w:val="808080" w:themeColor="background1" w:themeShade="80"/>
                <w:sz w:val="18"/>
                <w:szCs w:val="18"/>
              </w:rPr>
              <w:t>.</w:t>
            </w:r>
            <w:r w:rsidRPr="005D71A4">
              <w:rPr>
                <w:bCs/>
                <w:i/>
                <w:iCs/>
                <w:color w:val="808080" w:themeColor="background1" w:themeShade="80"/>
                <w:sz w:val="18"/>
                <w:szCs w:val="18"/>
              </w:rPr>
              <w:t xml:space="preserve"> autologous sling</w:t>
            </w:r>
          </w:p>
          <w:p w14:paraId="78DB0ED0" w14:textId="211A4063" w:rsidR="00D15ACC" w:rsidRPr="005D71A4" w:rsidRDefault="00D15ACC" w:rsidP="00713A63">
            <w:pPr>
              <w:pStyle w:val="051Tabletext228pt"/>
              <w:numPr>
                <w:ilvl w:val="0"/>
                <w:numId w:val="23"/>
              </w:numPr>
              <w:ind w:left="197" w:hanging="197"/>
              <w:rPr>
                <w:bCs/>
                <w:i/>
                <w:iCs/>
                <w:color w:val="808080" w:themeColor="background1" w:themeShade="80"/>
                <w:sz w:val="18"/>
                <w:szCs w:val="18"/>
              </w:rPr>
            </w:pPr>
            <w:proofErr w:type="spellStart"/>
            <w:r w:rsidRPr="005D71A4">
              <w:rPr>
                <w:bCs/>
                <w:i/>
                <w:iCs/>
                <w:color w:val="808080" w:themeColor="background1" w:themeShade="80"/>
                <w:sz w:val="18"/>
                <w:szCs w:val="18"/>
              </w:rPr>
              <w:t>Colposuspension</w:t>
            </w:r>
            <w:proofErr w:type="spellEnd"/>
            <w:r w:rsidRPr="005D71A4">
              <w:rPr>
                <w:bCs/>
                <w:i/>
                <w:iCs/>
                <w:color w:val="808080" w:themeColor="background1" w:themeShade="80"/>
                <w:sz w:val="18"/>
                <w:szCs w:val="18"/>
              </w:rPr>
              <w:t xml:space="preserve"> vs</w:t>
            </w:r>
            <w:r w:rsidRPr="005D71A4">
              <w:rPr>
                <w:i/>
                <w:iCs/>
                <w:color w:val="808080" w:themeColor="background1" w:themeShade="80"/>
                <w:sz w:val="18"/>
                <w:szCs w:val="18"/>
              </w:rPr>
              <w:t>.</w:t>
            </w:r>
            <w:r w:rsidRPr="005D71A4">
              <w:rPr>
                <w:bCs/>
                <w:i/>
                <w:iCs/>
                <w:color w:val="808080" w:themeColor="background1" w:themeShade="80"/>
                <w:sz w:val="18"/>
                <w:szCs w:val="18"/>
              </w:rPr>
              <w:t xml:space="preserve"> non-autologous biological sling</w:t>
            </w:r>
          </w:p>
          <w:p w14:paraId="17C6581A" w14:textId="5FD646C7" w:rsidR="00D15ACC" w:rsidRPr="005D71A4" w:rsidRDefault="00D15ACC" w:rsidP="007B46CB">
            <w:pPr>
              <w:pStyle w:val="051Tabletext228pt"/>
              <w:spacing w:before="120"/>
              <w:rPr>
                <w:sz w:val="18"/>
                <w:szCs w:val="18"/>
              </w:rPr>
            </w:pPr>
            <w:r w:rsidRPr="005D71A4">
              <w:rPr>
                <w:sz w:val="18"/>
                <w:szCs w:val="18"/>
              </w:rPr>
              <w:t xml:space="preserve">9. Bulking agent vs. other surgical technique </w:t>
            </w:r>
          </w:p>
          <w:p w14:paraId="17A39E62" w14:textId="3EAFC477" w:rsidR="00D15ACC" w:rsidRPr="005D71A4" w:rsidRDefault="00D15ACC" w:rsidP="007B46CB">
            <w:pPr>
              <w:pStyle w:val="051Tabletext228pt"/>
              <w:spacing w:before="120"/>
              <w:rPr>
                <w:i/>
                <w:iCs/>
                <w:sz w:val="18"/>
                <w:szCs w:val="18"/>
              </w:rPr>
            </w:pPr>
            <w:r w:rsidRPr="005D71A4">
              <w:rPr>
                <w:i/>
                <w:iCs/>
                <w:color w:val="808080" w:themeColor="background1" w:themeShade="80"/>
                <w:sz w:val="18"/>
                <w:szCs w:val="18"/>
              </w:rPr>
              <w:t>10. Artificial sphincter vs. other surgical technique</w:t>
            </w:r>
          </w:p>
        </w:tc>
        <w:tc>
          <w:tcPr>
            <w:tcW w:w="1028" w:type="pct"/>
            <w:shd w:val="clear" w:color="auto" w:fill="auto"/>
          </w:tcPr>
          <w:p w14:paraId="7AFFE2B3" w14:textId="756A614D" w:rsidR="00D15ACC" w:rsidRPr="005D71A4" w:rsidRDefault="00D15ACC" w:rsidP="007B46CB">
            <w:pPr>
              <w:pStyle w:val="051Tabletext228pt"/>
              <w:spacing w:before="120"/>
              <w:rPr>
                <w:sz w:val="18"/>
                <w:szCs w:val="18"/>
              </w:rPr>
            </w:pPr>
            <w:r w:rsidRPr="005D71A4">
              <w:rPr>
                <w:sz w:val="18"/>
                <w:szCs w:val="18"/>
              </w:rPr>
              <w:t xml:space="preserve">Continence-specific </w:t>
            </w:r>
            <w:proofErr w:type="spellStart"/>
            <w:r w:rsidRPr="005D71A4">
              <w:rPr>
                <w:sz w:val="18"/>
                <w:szCs w:val="18"/>
              </w:rPr>
              <w:t>HRQoL</w:t>
            </w:r>
            <w:proofErr w:type="spellEnd"/>
            <w:r w:rsidRPr="005D71A4">
              <w:rPr>
                <w:sz w:val="18"/>
                <w:szCs w:val="18"/>
              </w:rPr>
              <w:t xml:space="preserve"> </w:t>
            </w:r>
          </w:p>
          <w:p w14:paraId="45A8E9B5" w14:textId="77777777" w:rsidR="00D15ACC" w:rsidRPr="005D71A4" w:rsidRDefault="00D15ACC" w:rsidP="007B46CB">
            <w:pPr>
              <w:pStyle w:val="051Tabletext228pt"/>
              <w:spacing w:before="120"/>
              <w:rPr>
                <w:sz w:val="18"/>
                <w:szCs w:val="18"/>
              </w:rPr>
            </w:pPr>
            <w:r w:rsidRPr="005D71A4">
              <w:rPr>
                <w:sz w:val="18"/>
                <w:szCs w:val="18"/>
              </w:rPr>
              <w:t xml:space="preserve">Adverse events (immediate post-op or perioperative) </w:t>
            </w:r>
          </w:p>
          <w:p w14:paraId="7C1AA82E" w14:textId="1D19F5E7" w:rsidR="00D15ACC" w:rsidRPr="005D71A4" w:rsidRDefault="00D15ACC" w:rsidP="007B46CB">
            <w:pPr>
              <w:pStyle w:val="051Tabletext228pt"/>
              <w:spacing w:before="120"/>
              <w:rPr>
                <w:sz w:val="18"/>
                <w:szCs w:val="18"/>
              </w:rPr>
            </w:pPr>
            <w:r w:rsidRPr="005D71A4">
              <w:rPr>
                <w:sz w:val="18"/>
                <w:szCs w:val="18"/>
              </w:rPr>
              <w:t>Complications, stratified by short-term (≤1 year), medium-term (&gt;1 year to ≤5 years), and long-term (&gt;5 years)</w:t>
            </w:r>
          </w:p>
          <w:p w14:paraId="25B2EE57" w14:textId="77777777" w:rsidR="00D15ACC" w:rsidRPr="005D71A4" w:rsidRDefault="00D15ACC" w:rsidP="007B46CB">
            <w:pPr>
              <w:pStyle w:val="051Tabletext228pt"/>
              <w:spacing w:before="120"/>
              <w:rPr>
                <w:sz w:val="18"/>
                <w:szCs w:val="18"/>
              </w:rPr>
            </w:pPr>
            <w:r w:rsidRPr="005D71A4">
              <w:rPr>
                <w:sz w:val="18"/>
                <w:szCs w:val="18"/>
              </w:rPr>
              <w:t xml:space="preserve">Change in continence status </w:t>
            </w:r>
          </w:p>
          <w:p w14:paraId="5C6E3C5F" w14:textId="3433E5CA" w:rsidR="00D15ACC" w:rsidRPr="005D71A4" w:rsidRDefault="00D15ACC" w:rsidP="007B46CB">
            <w:pPr>
              <w:pStyle w:val="051Tabletext228pt"/>
              <w:spacing w:before="120"/>
              <w:rPr>
                <w:sz w:val="18"/>
                <w:szCs w:val="18"/>
              </w:rPr>
            </w:pPr>
            <w:r w:rsidRPr="005D71A4">
              <w:rPr>
                <w:sz w:val="18"/>
                <w:szCs w:val="18"/>
              </w:rPr>
              <w:t xml:space="preserve">Patient satisfaction/ patient-reported improvement </w:t>
            </w:r>
          </w:p>
          <w:p w14:paraId="0C0EEE45" w14:textId="77777777" w:rsidR="00D15ACC" w:rsidRPr="005D71A4" w:rsidRDefault="00D15ACC" w:rsidP="000D208E">
            <w:pPr>
              <w:pStyle w:val="051Tabletext228pt"/>
              <w:spacing w:before="120"/>
              <w:rPr>
                <w:sz w:val="18"/>
                <w:szCs w:val="18"/>
              </w:rPr>
            </w:pPr>
            <w:r w:rsidRPr="005D71A4">
              <w:rPr>
                <w:sz w:val="18"/>
                <w:szCs w:val="18"/>
              </w:rPr>
              <w:t>Repeat surgery for UI or POP, or mesh complications</w:t>
            </w:r>
          </w:p>
        </w:tc>
      </w:tr>
    </w:tbl>
    <w:p w14:paraId="3F9DD971" w14:textId="10B5F871" w:rsidR="00C47F77" w:rsidRDefault="00C47F77" w:rsidP="003F6371">
      <w:pPr>
        <w:pStyle w:val="101Tablefootnotes8pt"/>
      </w:pPr>
      <w:r>
        <w:t xml:space="preserve">Source: </w:t>
      </w:r>
      <w:r w:rsidR="006130B8">
        <w:t xml:space="preserve">NICE Evidence review </w:t>
      </w:r>
      <w:r w:rsidR="00245CE2">
        <w:rPr>
          <w:noProof/>
        </w:rPr>
        <w:t>(NICE 2019b)</w:t>
      </w:r>
    </w:p>
    <w:p w14:paraId="6B827C27" w14:textId="7943F869" w:rsidR="00173293" w:rsidRPr="00B0485F" w:rsidRDefault="00173293" w:rsidP="003F6371">
      <w:pPr>
        <w:pStyle w:val="101Tablefootnotes8pt"/>
      </w:pPr>
      <w:r w:rsidRPr="00B0485F">
        <w:t xml:space="preserve">Abbreviations: </w:t>
      </w:r>
      <w:proofErr w:type="spellStart"/>
      <w:r w:rsidR="00994A99">
        <w:t>HRQoL</w:t>
      </w:r>
      <w:proofErr w:type="spellEnd"/>
      <w:r w:rsidR="00994A99">
        <w:t xml:space="preserve">, health-related quality of life; </w:t>
      </w:r>
      <w:r w:rsidRPr="00B0485F">
        <w:t xml:space="preserve">ISD, intrinsic sphincter deficiency; OAB, overactive bladder; POP, pelvic organ prolapse; POP-Q, </w:t>
      </w:r>
      <w:r w:rsidR="003D5FB6">
        <w:t>P</w:t>
      </w:r>
      <w:r w:rsidRPr="00B0485F">
        <w:t xml:space="preserve">elvic </w:t>
      </w:r>
      <w:r w:rsidR="003D5FB6">
        <w:t>O</w:t>
      </w:r>
      <w:r w:rsidRPr="00B0485F">
        <w:t xml:space="preserve">rgan </w:t>
      </w:r>
      <w:r w:rsidR="003D5FB6">
        <w:t>P</w:t>
      </w:r>
      <w:r w:rsidRPr="00B0485F">
        <w:t xml:space="preserve">rolapse </w:t>
      </w:r>
      <w:r w:rsidR="003D5FB6">
        <w:t>Q</w:t>
      </w:r>
      <w:r w:rsidRPr="00B0485F">
        <w:t xml:space="preserve">uantification </w:t>
      </w:r>
      <w:r w:rsidR="003D5FB6">
        <w:t>S</w:t>
      </w:r>
      <w:r w:rsidRPr="00B0485F">
        <w:t>ystem; SUI, stress urinary incontinence; UI, urinary incontinence; USI, urodynamic stress incontinence.</w:t>
      </w:r>
    </w:p>
    <w:p w14:paraId="4C213451" w14:textId="0C25E602" w:rsidR="003F6371" w:rsidRPr="00B0485F" w:rsidRDefault="00C858F8" w:rsidP="003F6371">
      <w:pPr>
        <w:pStyle w:val="111Tablefootnoteslast-nostick8pt"/>
        <w:rPr>
          <w:color w:val="808080" w:themeColor="background1" w:themeShade="80"/>
          <w:lang w:val="en-AU"/>
        </w:rPr>
      </w:pPr>
      <w:r>
        <w:rPr>
          <w:color w:val="808080" w:themeColor="background1" w:themeShade="80"/>
          <w:lang w:val="en-AU"/>
        </w:rPr>
        <w:t xml:space="preserve">Note: </w:t>
      </w:r>
      <w:r w:rsidR="003F6371" w:rsidRPr="00B0485F">
        <w:rPr>
          <w:color w:val="808080" w:themeColor="background1" w:themeShade="80"/>
          <w:lang w:val="en-AU"/>
        </w:rPr>
        <w:t xml:space="preserve">Interventions and comparisons listed in </w:t>
      </w:r>
      <w:r w:rsidR="00C94538" w:rsidRPr="00B0485F">
        <w:rPr>
          <w:color w:val="808080" w:themeColor="background1" w:themeShade="80"/>
          <w:lang w:val="en-AU"/>
        </w:rPr>
        <w:t>grey</w:t>
      </w:r>
      <w:r w:rsidR="00475338">
        <w:rPr>
          <w:color w:val="808080" w:themeColor="background1" w:themeShade="80"/>
          <w:lang w:val="en-AU"/>
        </w:rPr>
        <w:t xml:space="preserve"> italic</w:t>
      </w:r>
      <w:r w:rsidR="00C94538" w:rsidRPr="00B0485F">
        <w:rPr>
          <w:color w:val="808080" w:themeColor="background1" w:themeShade="80"/>
          <w:lang w:val="en-AU"/>
        </w:rPr>
        <w:t xml:space="preserve"> text</w:t>
      </w:r>
      <w:r w:rsidR="003F6371" w:rsidRPr="00B0485F">
        <w:rPr>
          <w:color w:val="808080" w:themeColor="background1" w:themeShade="80"/>
          <w:lang w:val="en-AU"/>
        </w:rPr>
        <w:t xml:space="preserve"> are out of scope for this post-listing review.</w:t>
      </w:r>
    </w:p>
    <w:p w14:paraId="333FB561" w14:textId="0D142EE5" w:rsidR="005A6E7A" w:rsidRPr="00B0485F" w:rsidRDefault="005A6E7A" w:rsidP="0054614A">
      <w:pPr>
        <w:pStyle w:val="BodyText"/>
      </w:pPr>
      <w:r>
        <w:t xml:space="preserve">The </w:t>
      </w:r>
      <w:r w:rsidR="00657E02">
        <w:t xml:space="preserve">original </w:t>
      </w:r>
      <w:r w:rsidR="0087480A">
        <w:t>literature</w:t>
      </w:r>
      <w:r>
        <w:t xml:space="preserve"> search for </w:t>
      </w:r>
      <w:r w:rsidR="006D2E50">
        <w:t>the NICE Guideline</w:t>
      </w:r>
      <w:r>
        <w:t xml:space="preserve"> was conducted in June 2018</w:t>
      </w:r>
      <w:r w:rsidR="00310473">
        <w:t xml:space="preserve">, with surveillance for new studies </w:t>
      </w:r>
      <w:r w:rsidR="0015168C">
        <w:t xml:space="preserve">reporting </w:t>
      </w:r>
      <w:r w:rsidR="0015168C" w:rsidRPr="00741EB8">
        <w:t xml:space="preserve">full or partial mesh removal </w:t>
      </w:r>
      <w:r w:rsidR="00310473">
        <w:t>in 2022</w:t>
      </w:r>
      <w:r w:rsidR="0015168C">
        <w:t xml:space="preserve"> (as noted above)</w:t>
      </w:r>
      <w:r>
        <w:t>.</w:t>
      </w:r>
      <w:r w:rsidR="006D2E50">
        <w:t xml:space="preserve"> NICE assessed the</w:t>
      </w:r>
      <w:r w:rsidR="006D2E50" w:rsidRPr="00B0485F">
        <w:t xml:space="preserve"> quality of evidence for each outcome (excluding long-term complications) using Grading of Recommendations, Assessment, Development and Evaluation (GRADE) methods. </w:t>
      </w:r>
      <w:r w:rsidR="009C598B">
        <w:t>C</w:t>
      </w:r>
      <w:r w:rsidR="00CA105E">
        <w:t xml:space="preserve">linically important outcomes </w:t>
      </w:r>
      <w:r w:rsidR="009C598B">
        <w:t xml:space="preserve">were defined </w:t>
      </w:r>
      <w:r w:rsidR="00CA105E">
        <w:t xml:space="preserve">based on published literature and consultation with the Guideline Committee. If no published or acceptable minimally important difference (MID) was identified, the committee considered whether to use GRADE defaults. </w:t>
      </w:r>
      <w:r w:rsidR="006D2E50" w:rsidRPr="00B0485F">
        <w:t xml:space="preserve">Further detail regarding the methodology for research question 5.1 is provided in </w:t>
      </w:r>
      <w:r w:rsidR="006D2E50">
        <w:t xml:space="preserve">Appendix A of the </w:t>
      </w:r>
      <w:r w:rsidR="006D2E50" w:rsidRPr="00B0485F">
        <w:t xml:space="preserve">NICE Guideline </w:t>
      </w:r>
      <w:r w:rsidR="006D2E50">
        <w:t>Evidence Review</w:t>
      </w:r>
      <w:r w:rsidR="006D2E50" w:rsidRPr="00B0485F">
        <w:t xml:space="preserve"> </w:t>
      </w:r>
      <w:r w:rsidR="00245CE2">
        <w:rPr>
          <w:noProof/>
        </w:rPr>
        <w:t>(NICE 2019b)</w:t>
      </w:r>
      <w:r w:rsidR="004F1662">
        <w:t>.</w:t>
      </w:r>
    </w:p>
    <w:p w14:paraId="1DB09759" w14:textId="77F38E92" w:rsidR="00D51A00" w:rsidRPr="00B0485F" w:rsidRDefault="00D51A00" w:rsidP="0054614A">
      <w:pPr>
        <w:pStyle w:val="BodyText"/>
      </w:pPr>
      <w:r>
        <w:t>In relation to terminology, NICE use the term synthetic mesh sling</w:t>
      </w:r>
      <w:r w:rsidR="00B04E1B">
        <w:t>/</w:t>
      </w:r>
      <w:proofErr w:type="spellStart"/>
      <w:r w:rsidR="00B04E1B">
        <w:t>suburethral</w:t>
      </w:r>
      <w:proofErr w:type="spellEnd"/>
      <w:r w:rsidR="00B04E1B">
        <w:t xml:space="preserve"> slings (synthetic mesh)</w:t>
      </w:r>
      <w:r>
        <w:t xml:space="preserve"> </w:t>
      </w:r>
      <w:r w:rsidR="00F5720A">
        <w:t>to</w:t>
      </w:r>
      <w:r>
        <w:t xml:space="preserve"> </w:t>
      </w:r>
      <w:r w:rsidR="00F5720A">
        <w:t>include</w:t>
      </w:r>
      <w:r w:rsidR="00944387">
        <w:t xml:space="preserve"> </w:t>
      </w:r>
      <w:r w:rsidR="005D71A4">
        <w:t>MUS</w:t>
      </w:r>
      <w:r w:rsidR="00E536DB">
        <w:t xml:space="preserve"> (RP</w:t>
      </w:r>
      <w:r w:rsidR="00527D85">
        <w:t>-MUS</w:t>
      </w:r>
      <w:r w:rsidR="00E536DB">
        <w:t xml:space="preserve"> and TO</w:t>
      </w:r>
      <w:r w:rsidR="00527D85">
        <w:t>-MUS</w:t>
      </w:r>
      <w:r w:rsidR="00E536DB">
        <w:t xml:space="preserve">) and single-incision mini-slings. </w:t>
      </w:r>
      <w:r w:rsidR="005B4883">
        <w:t xml:space="preserve">As single-incision mini-slings are excluded from this review, studies </w:t>
      </w:r>
      <w:r w:rsidR="009E2B3F">
        <w:t>of</w:t>
      </w:r>
      <w:r w:rsidR="005B4883">
        <w:t xml:space="preserve"> </w:t>
      </w:r>
      <w:r w:rsidR="00AC3F59">
        <w:t xml:space="preserve">single-incision mini slings </w:t>
      </w:r>
      <w:r w:rsidR="009E2B3F">
        <w:t xml:space="preserve">included by NICE </w:t>
      </w:r>
      <w:r w:rsidR="00AC3F59">
        <w:t xml:space="preserve">have been </w:t>
      </w:r>
      <w:r w:rsidR="007647E6">
        <w:t>excluded</w:t>
      </w:r>
      <w:r w:rsidR="00AC3F59">
        <w:t xml:space="preserve"> </w:t>
      </w:r>
      <w:r w:rsidR="003B5C5C">
        <w:t>from our interpretation and presentation of the</w:t>
      </w:r>
      <w:r w:rsidR="007602B5">
        <w:t xml:space="preserve"> clinical effectiveness</w:t>
      </w:r>
      <w:r w:rsidR="003B5C5C">
        <w:t xml:space="preserve"> </w:t>
      </w:r>
      <w:r w:rsidR="00055B2F">
        <w:t>findings.</w:t>
      </w:r>
    </w:p>
    <w:p w14:paraId="16F89F16" w14:textId="4D0C85B1" w:rsidR="00015A7C" w:rsidRPr="00B0485F" w:rsidRDefault="00015A7C" w:rsidP="00E06726">
      <w:pPr>
        <w:pStyle w:val="BodyText"/>
      </w:pPr>
      <w:r w:rsidRPr="00B0485F">
        <w:lastRenderedPageBreak/>
        <w:t xml:space="preserve">Three sources of evidence were </w:t>
      </w:r>
      <w:r w:rsidR="00601089" w:rsidRPr="00B0485F">
        <w:t xml:space="preserve">considered in the development of recommendations for the </w:t>
      </w:r>
      <w:r w:rsidR="00337719" w:rsidRPr="00B0485F">
        <w:t xml:space="preserve">NICE </w:t>
      </w:r>
      <w:r w:rsidR="00601089" w:rsidRPr="00B0485F">
        <w:t>Guideline:</w:t>
      </w:r>
    </w:p>
    <w:p w14:paraId="0921F0EA" w14:textId="42620761" w:rsidR="00601089" w:rsidRPr="00B0485F" w:rsidRDefault="004B53DC" w:rsidP="00713A63">
      <w:pPr>
        <w:pStyle w:val="BodyText"/>
        <w:numPr>
          <w:ilvl w:val="0"/>
          <w:numId w:val="26"/>
        </w:numPr>
      </w:pPr>
      <w:r w:rsidRPr="00B0485F">
        <w:t>Individual meta-analyses</w:t>
      </w:r>
      <w:r w:rsidR="002B62E5" w:rsidRPr="00B0485F">
        <w:t xml:space="preserve"> conducted by NICE to compare outcomes of surgical interventions</w:t>
      </w:r>
      <w:r w:rsidR="0065258E" w:rsidRPr="00B0485F">
        <w:t xml:space="preserve"> (see comparisons in </w:t>
      </w:r>
      <w:r w:rsidR="0065258E" w:rsidRPr="00B0485F">
        <w:rPr>
          <w:b/>
          <w:bCs/>
        </w:rPr>
        <w:fldChar w:fldCharType="begin"/>
      </w:r>
      <w:r w:rsidR="0065258E" w:rsidRPr="00B0485F">
        <w:rPr>
          <w:b/>
          <w:bCs/>
        </w:rPr>
        <w:instrText xml:space="preserve"> REF _Ref128399556 \h  \* MERGEFORMAT </w:instrText>
      </w:r>
      <w:r w:rsidR="0065258E" w:rsidRPr="00B0485F">
        <w:rPr>
          <w:b/>
          <w:bCs/>
        </w:rPr>
      </w:r>
      <w:r w:rsidR="0065258E" w:rsidRPr="00B0485F">
        <w:rPr>
          <w:b/>
          <w:bCs/>
        </w:rPr>
        <w:fldChar w:fldCharType="separate"/>
      </w:r>
      <w:r w:rsidR="007105D3" w:rsidRPr="007105D3">
        <w:rPr>
          <w:b/>
          <w:bCs/>
        </w:rPr>
        <w:t xml:space="preserve">Table </w:t>
      </w:r>
      <w:r w:rsidR="007105D3" w:rsidRPr="007105D3">
        <w:rPr>
          <w:b/>
          <w:bCs/>
          <w:noProof/>
        </w:rPr>
        <w:t>4</w:t>
      </w:r>
      <w:r w:rsidR="0065258E" w:rsidRPr="00B0485F">
        <w:rPr>
          <w:b/>
          <w:bCs/>
        </w:rPr>
        <w:fldChar w:fldCharType="end"/>
      </w:r>
      <w:r w:rsidR="0065258E" w:rsidRPr="00B0485F">
        <w:t>)</w:t>
      </w:r>
      <w:r w:rsidR="002C50BF" w:rsidRPr="00B0485F">
        <w:rPr>
          <w:b/>
          <w:bCs/>
        </w:rPr>
        <w:t xml:space="preserve"> </w:t>
      </w:r>
      <w:r w:rsidR="002C50BF" w:rsidRPr="00B0485F">
        <w:t>in the short</w:t>
      </w:r>
      <w:r w:rsidR="009110CB">
        <w:t>-term</w:t>
      </w:r>
      <w:r w:rsidR="002C50BF" w:rsidRPr="00B0485F">
        <w:t xml:space="preserve"> (</w:t>
      </w:r>
      <w:r w:rsidR="002C50BF" w:rsidRPr="00B0485F">
        <w:rPr>
          <w:rFonts w:cs="Calibri"/>
        </w:rPr>
        <w:t>≤</w:t>
      </w:r>
      <w:r w:rsidR="002C50BF" w:rsidRPr="00B0485F">
        <w:t xml:space="preserve"> 1 year </w:t>
      </w:r>
      <w:r w:rsidR="001B5E16" w:rsidRPr="00B0485F">
        <w:t>after surgery)</w:t>
      </w:r>
      <w:r w:rsidR="002C50BF" w:rsidRPr="00B0485F">
        <w:t>, medium</w:t>
      </w:r>
      <w:r w:rsidR="009110CB">
        <w:t>-term</w:t>
      </w:r>
      <w:r w:rsidR="001B5E16" w:rsidRPr="00B0485F">
        <w:t xml:space="preserve"> (&gt; 1 year to </w:t>
      </w:r>
      <w:r w:rsidR="001B5E16" w:rsidRPr="00B0485F">
        <w:rPr>
          <w:rFonts w:cs="Calibri"/>
        </w:rPr>
        <w:t>≤</w:t>
      </w:r>
      <w:r w:rsidR="001B5E16" w:rsidRPr="00B0485F">
        <w:t xml:space="preserve"> 5 years after surgery)</w:t>
      </w:r>
      <w:r w:rsidR="002C50BF" w:rsidRPr="00B0485F">
        <w:t xml:space="preserve"> and long</w:t>
      </w:r>
      <w:r w:rsidR="009110CB">
        <w:t>-term</w:t>
      </w:r>
      <w:r w:rsidR="002C50BF" w:rsidRPr="00B0485F">
        <w:t xml:space="preserve"> </w:t>
      </w:r>
      <w:r w:rsidR="00E639F9" w:rsidRPr="00B0485F">
        <w:t>(&gt; 5 years after surgery)</w:t>
      </w:r>
      <w:r w:rsidR="00A92027">
        <w:t xml:space="preserve"> </w:t>
      </w:r>
      <w:r w:rsidR="005B5D8B">
        <w:t xml:space="preserve">(see </w:t>
      </w:r>
      <w:r w:rsidR="00DA1FC7">
        <w:t>the</w:t>
      </w:r>
      <w:r w:rsidR="005B5D8B">
        <w:t xml:space="preserve"> </w:t>
      </w:r>
      <w:r w:rsidR="005B5D8B" w:rsidRPr="005B5D8B">
        <w:rPr>
          <w:b/>
          <w:bCs/>
        </w:rPr>
        <w:fldChar w:fldCharType="begin"/>
      </w:r>
      <w:r w:rsidR="005B5D8B" w:rsidRPr="005B5D8B">
        <w:rPr>
          <w:b/>
          <w:bCs/>
        </w:rPr>
        <w:instrText xml:space="preserve"> REF _Ref130983280 \h </w:instrText>
      </w:r>
      <w:r w:rsidR="005B5D8B">
        <w:rPr>
          <w:b/>
          <w:bCs/>
        </w:rPr>
        <w:instrText xml:space="preserve"> \* MERGEFORMAT </w:instrText>
      </w:r>
      <w:r w:rsidR="005B5D8B" w:rsidRPr="005B5D8B">
        <w:rPr>
          <w:b/>
          <w:bCs/>
        </w:rPr>
      </w:r>
      <w:r w:rsidR="005B5D8B" w:rsidRPr="005B5D8B">
        <w:rPr>
          <w:b/>
          <w:bCs/>
        </w:rPr>
        <w:fldChar w:fldCharType="separate"/>
      </w:r>
      <w:r w:rsidR="007105D3" w:rsidRPr="007105D3">
        <w:rPr>
          <w:b/>
          <w:bCs/>
        </w:rPr>
        <w:t>NICE</w:t>
      </w:r>
      <w:r w:rsidR="007105D3">
        <w:t xml:space="preserve"> </w:t>
      </w:r>
      <w:r w:rsidR="007105D3" w:rsidRPr="007105D3">
        <w:rPr>
          <w:b/>
          <w:bCs/>
        </w:rPr>
        <w:t>Findings</w:t>
      </w:r>
      <w:r w:rsidR="005B5D8B" w:rsidRPr="005B5D8B">
        <w:rPr>
          <w:b/>
          <w:bCs/>
        </w:rPr>
        <w:fldChar w:fldCharType="end"/>
      </w:r>
      <w:r w:rsidR="00516C60">
        <w:rPr>
          <w:b/>
          <w:bCs/>
        </w:rPr>
        <w:t xml:space="preserve"> </w:t>
      </w:r>
      <w:r w:rsidR="00DA1FC7" w:rsidRPr="00DA1FC7">
        <w:t xml:space="preserve">section below </w:t>
      </w:r>
      <w:r w:rsidR="00516C60">
        <w:t>for results for comparisons relevant to this review</w:t>
      </w:r>
      <w:r w:rsidR="005B5D8B">
        <w:t>)</w:t>
      </w:r>
      <w:r w:rsidR="00563461">
        <w:t>.</w:t>
      </w:r>
    </w:p>
    <w:p w14:paraId="1CBADCA5" w14:textId="3A58F823" w:rsidR="00003F89" w:rsidRPr="00B0485F" w:rsidRDefault="00003F89" w:rsidP="00713A63">
      <w:pPr>
        <w:pStyle w:val="BodyText"/>
        <w:numPr>
          <w:ilvl w:val="0"/>
          <w:numId w:val="26"/>
        </w:numPr>
      </w:pPr>
      <w:r w:rsidRPr="00B0485F">
        <w:t>Non-comparative data on the rate of long-term complications</w:t>
      </w:r>
      <w:r w:rsidR="000A5E84" w:rsidRPr="00B0485F">
        <w:t xml:space="preserve"> associated with individual surgical interventions</w:t>
      </w:r>
      <w:r w:rsidR="005B5D8B">
        <w:t xml:space="preserve"> (</w:t>
      </w:r>
      <w:r w:rsidR="008F457E">
        <w:t>s</w:t>
      </w:r>
      <w:r w:rsidR="005B5D8B">
        <w:t xml:space="preserve">ee </w:t>
      </w:r>
      <w:r w:rsidR="005B5D8B" w:rsidRPr="007F4778">
        <w:rPr>
          <w:b/>
          <w:bCs/>
        </w:rPr>
        <w:t xml:space="preserve">Section </w:t>
      </w:r>
      <w:r w:rsidR="007F4778" w:rsidRPr="007F4778">
        <w:rPr>
          <w:b/>
          <w:bCs/>
        </w:rPr>
        <w:fldChar w:fldCharType="begin"/>
      </w:r>
      <w:r w:rsidR="007F4778" w:rsidRPr="007F4778">
        <w:rPr>
          <w:b/>
          <w:bCs/>
        </w:rPr>
        <w:instrText xml:space="preserve"> REF _Ref131156080 \r \h </w:instrText>
      </w:r>
      <w:r w:rsidR="007F4778">
        <w:rPr>
          <w:b/>
          <w:bCs/>
        </w:rPr>
        <w:instrText xml:space="preserve"> \* MERGEFORMAT </w:instrText>
      </w:r>
      <w:r w:rsidR="007F4778" w:rsidRPr="007F4778">
        <w:rPr>
          <w:b/>
          <w:bCs/>
        </w:rPr>
      </w:r>
      <w:r w:rsidR="007F4778" w:rsidRPr="007F4778">
        <w:rPr>
          <w:b/>
          <w:bCs/>
        </w:rPr>
        <w:fldChar w:fldCharType="separate"/>
      </w:r>
      <w:r w:rsidR="007105D3">
        <w:rPr>
          <w:b/>
          <w:bCs/>
        </w:rPr>
        <w:t>2.3</w:t>
      </w:r>
      <w:r w:rsidR="007F4778" w:rsidRPr="007F4778">
        <w:rPr>
          <w:b/>
          <w:bCs/>
        </w:rPr>
        <w:fldChar w:fldCharType="end"/>
      </w:r>
      <w:r w:rsidR="002F7F77">
        <w:rPr>
          <w:b/>
          <w:bCs/>
        </w:rPr>
        <w:t xml:space="preserve"> </w:t>
      </w:r>
      <w:r w:rsidR="002F7F77">
        <w:t>for results relevant to this review</w:t>
      </w:r>
      <w:r w:rsidR="007F4778">
        <w:t>)</w:t>
      </w:r>
      <w:r w:rsidR="00563461">
        <w:t>.</w:t>
      </w:r>
    </w:p>
    <w:p w14:paraId="10C0B0C2" w14:textId="14442224" w:rsidR="000A5E84" w:rsidRPr="00B0485F" w:rsidRDefault="00226AAF" w:rsidP="00713A63">
      <w:pPr>
        <w:pStyle w:val="BodyText"/>
        <w:numPr>
          <w:ilvl w:val="0"/>
          <w:numId w:val="26"/>
        </w:numPr>
      </w:pPr>
      <w:r w:rsidRPr="00B0485F">
        <w:t>Network meta-analysis</w:t>
      </w:r>
      <w:r w:rsidR="00531988" w:rsidRPr="00B0485F">
        <w:t xml:space="preserve"> </w:t>
      </w:r>
      <w:r w:rsidR="00F65DFB">
        <w:t xml:space="preserve">(NMA) </w:t>
      </w:r>
      <w:r w:rsidR="00531988" w:rsidRPr="00B0485F">
        <w:t xml:space="preserve">conducted by </w:t>
      </w:r>
      <w:proofErr w:type="spellStart"/>
      <w:r w:rsidR="00531988" w:rsidRPr="00E05BB2">
        <w:t>Brazzelli</w:t>
      </w:r>
      <w:proofErr w:type="spellEnd"/>
      <w:r w:rsidR="00531988" w:rsidRPr="00E05BB2">
        <w:t xml:space="preserve"> </w:t>
      </w:r>
      <w:r w:rsidR="00934C9A">
        <w:t xml:space="preserve">and colleagues </w:t>
      </w:r>
      <w:r w:rsidR="0060797D" w:rsidRPr="00B0485F">
        <w:t xml:space="preserve">for the outcomes of cure </w:t>
      </w:r>
      <w:r w:rsidR="00386121" w:rsidRPr="00B0485F">
        <w:t xml:space="preserve">(a composite of subjective and objective cure measures) </w:t>
      </w:r>
      <w:r w:rsidR="0060797D" w:rsidRPr="00B0485F">
        <w:t xml:space="preserve">and patient satisfaction/patient-reported improvement at </w:t>
      </w:r>
      <w:r w:rsidR="00E67F0A" w:rsidRPr="00B0485F">
        <w:t>approximately 1 year after surgery.</w:t>
      </w:r>
    </w:p>
    <w:p w14:paraId="666F95FF" w14:textId="28CCD706" w:rsidR="00AF7070" w:rsidRPr="00B0485F" w:rsidRDefault="00735A1C" w:rsidP="00472DD2">
      <w:pPr>
        <w:pStyle w:val="BodyText"/>
        <w:ind w:left="720"/>
      </w:pPr>
      <w:r w:rsidRPr="00B0485F">
        <w:t xml:space="preserve">The </w:t>
      </w:r>
      <w:proofErr w:type="spellStart"/>
      <w:r w:rsidRPr="00B0485F">
        <w:t>Brazzelli</w:t>
      </w:r>
      <w:proofErr w:type="spellEnd"/>
      <w:r w:rsidRPr="00B0485F">
        <w:t xml:space="preserve"> </w:t>
      </w:r>
      <w:r w:rsidR="00E6337F">
        <w:t>NMA</w:t>
      </w:r>
      <w:r w:rsidR="00FB245F" w:rsidRPr="00B0485F">
        <w:t xml:space="preserve"> </w:t>
      </w:r>
      <w:r w:rsidR="00942D88">
        <w:t>cited in</w:t>
      </w:r>
      <w:r w:rsidR="00953485" w:rsidRPr="00B0485F">
        <w:t xml:space="preserve"> the NICE evidence review was a draft version</w:t>
      </w:r>
      <w:r w:rsidR="00F85843" w:rsidRPr="00B0485F">
        <w:t xml:space="preserve"> of the manuscript </w:t>
      </w:r>
      <w:r w:rsidR="004D4C86" w:rsidRPr="00B0485F">
        <w:t>(</w:t>
      </w:r>
      <w:r w:rsidR="00804EC3" w:rsidRPr="00B0485F">
        <w:t xml:space="preserve">dated </w:t>
      </w:r>
      <w:r w:rsidR="004D4C86" w:rsidRPr="00B0485F">
        <w:t>2018), which was subsequently published in 2019. For the purposes of this review</w:t>
      </w:r>
      <w:r w:rsidR="004040E3">
        <w:t>,</w:t>
      </w:r>
      <w:r w:rsidR="004D4C86" w:rsidRPr="00B0485F">
        <w:t xml:space="preserve"> </w:t>
      </w:r>
      <w:r w:rsidR="00785C33">
        <w:t xml:space="preserve">findings from </w:t>
      </w:r>
      <w:r w:rsidR="004D4C86" w:rsidRPr="00B0485F">
        <w:t xml:space="preserve">the </w:t>
      </w:r>
      <w:r w:rsidR="00CD1D6E">
        <w:t>NMA</w:t>
      </w:r>
      <w:r w:rsidR="004D4C86" w:rsidRPr="00B0485F">
        <w:t xml:space="preserve"> </w:t>
      </w:r>
      <w:r w:rsidR="00AB7764">
        <w:t>are</w:t>
      </w:r>
      <w:r w:rsidR="004D4C86" w:rsidRPr="00B0485F">
        <w:t xml:space="preserve"> presented in </w:t>
      </w:r>
      <w:r w:rsidR="00F153C0" w:rsidRPr="00B0485F">
        <w:rPr>
          <w:b/>
          <w:bCs/>
        </w:rPr>
        <w:t xml:space="preserve">Section </w:t>
      </w:r>
      <w:r w:rsidR="00F153C0" w:rsidRPr="00B0485F">
        <w:rPr>
          <w:b/>
          <w:bCs/>
        </w:rPr>
        <w:fldChar w:fldCharType="begin"/>
      </w:r>
      <w:r w:rsidR="00F153C0" w:rsidRPr="00B0485F">
        <w:rPr>
          <w:b/>
          <w:bCs/>
        </w:rPr>
        <w:instrText xml:space="preserve"> REF _Ref130907248 \r \h  \* MERGEFORMAT </w:instrText>
      </w:r>
      <w:r w:rsidR="00F153C0" w:rsidRPr="00B0485F">
        <w:rPr>
          <w:b/>
          <w:bCs/>
        </w:rPr>
      </w:r>
      <w:r w:rsidR="00F153C0" w:rsidRPr="00B0485F">
        <w:rPr>
          <w:b/>
          <w:bCs/>
        </w:rPr>
        <w:fldChar w:fldCharType="separate"/>
      </w:r>
      <w:r w:rsidR="007105D3">
        <w:rPr>
          <w:b/>
          <w:bCs/>
        </w:rPr>
        <w:t>2.2.2</w:t>
      </w:r>
      <w:r w:rsidR="00F153C0" w:rsidRPr="00B0485F">
        <w:rPr>
          <w:b/>
          <w:bCs/>
        </w:rPr>
        <w:fldChar w:fldCharType="end"/>
      </w:r>
      <w:r w:rsidR="00982415" w:rsidRPr="00B0485F">
        <w:t xml:space="preserve"> based on the 2019 publication</w:t>
      </w:r>
      <w:r w:rsidR="00F975FC">
        <w:t xml:space="preserve"> </w:t>
      </w:r>
      <w:r w:rsidR="00245CE2">
        <w:rPr>
          <w:noProof/>
        </w:rPr>
        <w:t>(Brazzelli 2019)</w:t>
      </w:r>
      <w:r w:rsidR="00982415" w:rsidRPr="00B0485F">
        <w:t>.</w:t>
      </w:r>
    </w:p>
    <w:p w14:paraId="07C1527B" w14:textId="77777777" w:rsidR="0099052E" w:rsidRPr="00B0485F" w:rsidRDefault="0098731A" w:rsidP="00D26049">
      <w:pPr>
        <w:pStyle w:val="Heading4"/>
      </w:pPr>
      <w:r w:rsidRPr="00B0485F">
        <w:t xml:space="preserve">Included studies </w:t>
      </w:r>
    </w:p>
    <w:p w14:paraId="5D077087" w14:textId="253361F8" w:rsidR="00BC5C98" w:rsidRDefault="007927C6" w:rsidP="00872989">
      <w:pPr>
        <w:pStyle w:val="BodyText"/>
      </w:pPr>
      <w:r>
        <w:t>NICE included</w:t>
      </w:r>
      <w:r w:rsidR="00E11CE1">
        <w:t xml:space="preserve"> </w:t>
      </w:r>
      <w:r w:rsidR="00BD66EF">
        <w:t>randomised controlled trials (RCTs)</w:t>
      </w:r>
      <w:r w:rsidR="002F7FB2" w:rsidDel="00E11CE1">
        <w:t xml:space="preserve"> </w:t>
      </w:r>
      <w:r w:rsidR="00E1229F" w:rsidDel="00E11CE1">
        <w:t xml:space="preserve">for </w:t>
      </w:r>
      <w:r w:rsidR="00A1049B">
        <w:t xml:space="preserve">the clinical effectiveness </w:t>
      </w:r>
      <w:r w:rsidR="005E1F3B">
        <w:t>outcomes</w:t>
      </w:r>
      <w:r w:rsidR="002F7FB2" w:rsidDel="00E11CE1">
        <w:t xml:space="preserve"> </w:t>
      </w:r>
      <w:r w:rsidR="00A17B84">
        <w:t>presented in this section</w:t>
      </w:r>
      <w:r w:rsidR="009A6DF1">
        <w:t xml:space="preserve">. Non-comparative </w:t>
      </w:r>
      <w:r w:rsidR="002F7091">
        <w:t xml:space="preserve">observational </w:t>
      </w:r>
      <w:r w:rsidR="009A6DF1">
        <w:t xml:space="preserve">studies were included </w:t>
      </w:r>
      <w:r w:rsidR="005E1F3B">
        <w:t xml:space="preserve">by NICE </w:t>
      </w:r>
      <w:r w:rsidR="005C14DC">
        <w:t xml:space="preserve">in </w:t>
      </w:r>
      <w:r w:rsidR="00873C73">
        <w:t>the</w:t>
      </w:r>
      <w:r w:rsidR="005C14DC">
        <w:t>ir</w:t>
      </w:r>
      <w:r w:rsidR="00081E53">
        <w:t xml:space="preserve"> assessment of</w:t>
      </w:r>
      <w:r w:rsidR="00873C73">
        <w:t xml:space="preserve"> long-term </w:t>
      </w:r>
      <w:r w:rsidR="003B3D83">
        <w:t>rates of complications</w:t>
      </w:r>
      <w:r w:rsidR="009C2A89">
        <w:t xml:space="preserve"> (see </w:t>
      </w:r>
      <w:r w:rsidR="009C2A89" w:rsidRPr="008B216F">
        <w:rPr>
          <w:b/>
          <w:bCs/>
        </w:rPr>
        <w:t xml:space="preserve">Section </w:t>
      </w:r>
      <w:r w:rsidR="008B216F" w:rsidRPr="008B216F">
        <w:rPr>
          <w:b/>
          <w:bCs/>
        </w:rPr>
        <w:fldChar w:fldCharType="begin"/>
      </w:r>
      <w:r w:rsidR="008B216F" w:rsidRPr="008B216F">
        <w:rPr>
          <w:b/>
          <w:bCs/>
        </w:rPr>
        <w:instrText xml:space="preserve"> REF _Ref131156080 \r \h </w:instrText>
      </w:r>
      <w:r w:rsidR="008B216F">
        <w:rPr>
          <w:b/>
          <w:bCs/>
        </w:rPr>
        <w:instrText xml:space="preserve"> \* MERGEFORMAT </w:instrText>
      </w:r>
      <w:r w:rsidR="008B216F" w:rsidRPr="008B216F">
        <w:rPr>
          <w:b/>
          <w:bCs/>
        </w:rPr>
      </w:r>
      <w:r w:rsidR="008B216F" w:rsidRPr="008B216F">
        <w:rPr>
          <w:b/>
          <w:bCs/>
        </w:rPr>
        <w:fldChar w:fldCharType="separate"/>
      </w:r>
      <w:r w:rsidR="007105D3">
        <w:rPr>
          <w:b/>
          <w:bCs/>
        </w:rPr>
        <w:t>2.3</w:t>
      </w:r>
      <w:r w:rsidR="008B216F" w:rsidRPr="008B216F">
        <w:rPr>
          <w:b/>
          <w:bCs/>
        </w:rPr>
        <w:fldChar w:fldCharType="end"/>
      </w:r>
      <w:r w:rsidR="008B216F">
        <w:t>)</w:t>
      </w:r>
      <w:r w:rsidR="003B3D83">
        <w:t>.</w:t>
      </w:r>
    </w:p>
    <w:p w14:paraId="36D17448" w14:textId="004BEDA6" w:rsidR="00872989" w:rsidRDefault="003A4E69" w:rsidP="00872989">
      <w:pPr>
        <w:pStyle w:val="BodyText"/>
      </w:pPr>
      <w:r>
        <w:t xml:space="preserve">The risk of bias in the included RCTs was generally </w:t>
      </w:r>
      <w:r w:rsidR="00347A65">
        <w:t>moderate to high</w:t>
      </w:r>
      <w:r w:rsidR="00267F6F">
        <w:t>. I</w:t>
      </w:r>
      <w:r w:rsidR="00953A81">
        <w:t xml:space="preserve">nsufficient information about randomisation </w:t>
      </w:r>
      <w:r w:rsidR="002F45EB">
        <w:t>and/or allocation concealment</w:t>
      </w:r>
      <w:r w:rsidR="00E77D26">
        <w:t xml:space="preserve"> was identified as </w:t>
      </w:r>
      <w:r w:rsidR="00BF64A8">
        <w:t>a key source</w:t>
      </w:r>
      <w:r w:rsidR="00E77D26">
        <w:t xml:space="preserve"> of bias</w:t>
      </w:r>
      <w:r w:rsidR="00BF64A8">
        <w:t xml:space="preserve"> </w:t>
      </w:r>
      <w:r w:rsidR="00775C6E">
        <w:t>across</w:t>
      </w:r>
      <w:r w:rsidR="00BF64A8">
        <w:t xml:space="preserve"> the included studies</w:t>
      </w:r>
      <w:r w:rsidR="00012E6A">
        <w:t>.</w:t>
      </w:r>
      <w:r w:rsidR="00A61595">
        <w:t xml:space="preserve"> Most studies were unblinded or incompletely blinded and the critical outcomes were subjective measures</w:t>
      </w:r>
      <w:r w:rsidR="005A181C">
        <w:t>;</w:t>
      </w:r>
      <w:r w:rsidR="00A61595">
        <w:t xml:space="preserve"> </w:t>
      </w:r>
      <w:proofErr w:type="gramStart"/>
      <w:r w:rsidR="00A61595">
        <w:t>nevertheless</w:t>
      </w:r>
      <w:proofErr w:type="gramEnd"/>
      <w:r w:rsidR="00A61595">
        <w:t xml:space="preserve"> the guideline committee considered this </w:t>
      </w:r>
      <w:r w:rsidR="0008536A">
        <w:t>comparable to clinical practice</w:t>
      </w:r>
      <w:r w:rsidR="00047140">
        <w:t xml:space="preserve"> </w:t>
      </w:r>
      <w:r w:rsidR="00245CE2">
        <w:rPr>
          <w:noProof/>
        </w:rPr>
        <w:t>(NICE 2019b)</w:t>
      </w:r>
      <w:r w:rsidR="00894B3C">
        <w:t>.</w:t>
      </w:r>
    </w:p>
    <w:p w14:paraId="6411D9F1" w14:textId="7DC964BD" w:rsidR="00225903" w:rsidRDefault="00225903" w:rsidP="00872989">
      <w:pPr>
        <w:pStyle w:val="BodyText"/>
      </w:pPr>
      <w:r>
        <w:t xml:space="preserve">GRADE quality assessments were low to very low for </w:t>
      </w:r>
      <w:r w:rsidR="002C50B0">
        <w:t>most</w:t>
      </w:r>
      <w:r>
        <w:t xml:space="preserve"> outcomes</w:t>
      </w:r>
      <w:r w:rsidR="00F62771">
        <w:t xml:space="preserve"> and treatment comparisons</w:t>
      </w:r>
      <w:r>
        <w:t>.</w:t>
      </w:r>
      <w:r w:rsidR="008518D1">
        <w:t xml:space="preserve"> Imprecision in the </w:t>
      </w:r>
      <w:r w:rsidR="00A0445B">
        <w:t xml:space="preserve">effect </w:t>
      </w:r>
      <w:r w:rsidR="008518D1">
        <w:t xml:space="preserve">estimates and indirectness were identified </w:t>
      </w:r>
      <w:r w:rsidR="00D0577C">
        <w:t xml:space="preserve">as </w:t>
      </w:r>
      <w:r w:rsidR="001B210A">
        <w:t xml:space="preserve">the main </w:t>
      </w:r>
      <w:r w:rsidR="00BF2D0C">
        <w:t xml:space="preserve">reasons for the </w:t>
      </w:r>
      <w:r w:rsidR="0020193F">
        <w:t>overall</w:t>
      </w:r>
      <w:r w:rsidR="00BF2D0C">
        <w:t xml:space="preserve"> </w:t>
      </w:r>
      <w:r w:rsidR="008E33AC">
        <w:t xml:space="preserve">GRADE </w:t>
      </w:r>
      <w:r w:rsidR="00BF2D0C">
        <w:t xml:space="preserve">assessments. </w:t>
      </w:r>
      <w:r w:rsidR="0020193F">
        <w:t>Indirectness was due to studies including</w:t>
      </w:r>
      <w:r w:rsidR="000B4D2A">
        <w:t xml:space="preserve"> women with concurrent POP or allowing concomitant POP surgery</w:t>
      </w:r>
      <w:r w:rsidR="00A0445B">
        <w:t xml:space="preserve">, and/or not being explicit about whether participants </w:t>
      </w:r>
      <w:r w:rsidR="00047140">
        <w:t xml:space="preserve">had failed or declined conservative treatment for SUI </w:t>
      </w:r>
      <w:r w:rsidR="00245CE2">
        <w:rPr>
          <w:noProof/>
        </w:rPr>
        <w:t>(NICE 2019b)</w:t>
      </w:r>
      <w:r w:rsidR="00047140">
        <w:t>.</w:t>
      </w:r>
    </w:p>
    <w:p w14:paraId="4E1E2749" w14:textId="6AC423A0" w:rsidR="00E30D35" w:rsidRPr="00872989" w:rsidRDefault="00E30D35" w:rsidP="00872989">
      <w:pPr>
        <w:pStyle w:val="BodyText"/>
      </w:pPr>
      <w:r>
        <w:t>The included studies for the compar</w:t>
      </w:r>
      <w:r w:rsidR="00A2768C">
        <w:t>isons</w:t>
      </w:r>
      <w:r>
        <w:t xml:space="preserve"> relevant </w:t>
      </w:r>
      <w:r w:rsidR="00A2768C">
        <w:t>to this review</w:t>
      </w:r>
      <w:r>
        <w:t xml:space="preserve"> are summarised in </w:t>
      </w:r>
      <w:r w:rsidR="00C967B5" w:rsidRPr="00276E0B">
        <w:rPr>
          <w:b/>
          <w:bCs/>
        </w:rPr>
        <w:fldChar w:fldCharType="begin"/>
      </w:r>
      <w:r w:rsidR="00C967B5" w:rsidRPr="00276E0B">
        <w:rPr>
          <w:b/>
          <w:bCs/>
        </w:rPr>
        <w:instrText xml:space="preserve"> REF _Ref131595206 \h </w:instrText>
      </w:r>
      <w:r w:rsidR="00276E0B">
        <w:rPr>
          <w:b/>
          <w:bCs/>
        </w:rPr>
        <w:instrText xml:space="preserve"> \* MERGEFORMAT </w:instrText>
      </w:r>
      <w:r w:rsidR="00C967B5" w:rsidRPr="00276E0B">
        <w:rPr>
          <w:b/>
          <w:bCs/>
        </w:rPr>
      </w:r>
      <w:r w:rsidR="00C967B5" w:rsidRPr="00276E0B">
        <w:rPr>
          <w:b/>
          <w:bCs/>
        </w:rPr>
        <w:fldChar w:fldCharType="separate"/>
      </w:r>
      <w:r w:rsidR="007105D3" w:rsidRPr="007105D3">
        <w:rPr>
          <w:b/>
          <w:bCs/>
        </w:rPr>
        <w:t xml:space="preserve">Table </w:t>
      </w:r>
      <w:r w:rsidR="007105D3" w:rsidRPr="007105D3">
        <w:rPr>
          <w:b/>
          <w:bCs/>
          <w:noProof/>
        </w:rPr>
        <w:t>5</w:t>
      </w:r>
      <w:r w:rsidR="00C967B5" w:rsidRPr="00276E0B">
        <w:rPr>
          <w:b/>
          <w:bCs/>
        </w:rPr>
        <w:fldChar w:fldCharType="end"/>
      </w:r>
      <w:r w:rsidR="00C967B5">
        <w:t>.</w:t>
      </w:r>
    </w:p>
    <w:p w14:paraId="35FE555D" w14:textId="72B87F7E" w:rsidR="009323B0" w:rsidRDefault="009323B0" w:rsidP="009323B0">
      <w:pPr>
        <w:pStyle w:val="Caption"/>
      </w:pPr>
      <w:bookmarkStart w:id="52" w:name="_Ref131595206"/>
      <w:bookmarkStart w:id="53" w:name="_Toc165627873"/>
      <w:r>
        <w:t xml:space="preserve">Table </w:t>
      </w:r>
      <w:fldSimple w:instr=" SEQ Table \* ARABIC ">
        <w:r w:rsidR="007105D3">
          <w:rPr>
            <w:noProof/>
          </w:rPr>
          <w:t>5</w:t>
        </w:r>
      </w:fldSimple>
      <w:bookmarkEnd w:id="52"/>
      <w:r>
        <w:tab/>
        <w:t>Summary of relevant studies included in NICE Guideline evidence review</w:t>
      </w:r>
      <w:bookmarkEnd w:id="53"/>
    </w:p>
    <w:tbl>
      <w:tblPr>
        <w:tblStyle w:val="TableGrid"/>
        <w:tblW w:w="5000" w:type="pct"/>
        <w:tblLook w:val="04A0" w:firstRow="1" w:lastRow="0" w:firstColumn="1" w:lastColumn="0" w:noHBand="0" w:noVBand="1"/>
        <w:tblCaption w:val="Summary of relevant studies included in NICE Guideline evidence review"/>
        <w:tblDescription w:val="This table shows the number of randomised controlled trials and participants included in the NICE Guideline evidence review for each of the treatment comparison relevant to this post-listing review."/>
      </w:tblPr>
      <w:tblGrid>
        <w:gridCol w:w="4364"/>
        <w:gridCol w:w="2182"/>
        <w:gridCol w:w="3092"/>
      </w:tblGrid>
      <w:tr w:rsidR="009323B0" w14:paraId="5D3E55E3" w14:textId="77777777" w:rsidTr="006A194E">
        <w:trPr>
          <w:cnfStyle w:val="100000000000" w:firstRow="1" w:lastRow="0" w:firstColumn="0" w:lastColumn="0" w:oddVBand="0" w:evenVBand="0" w:oddHBand="0" w:evenHBand="0" w:firstRowFirstColumn="0" w:firstRowLastColumn="0" w:lastRowFirstColumn="0" w:lastRowLastColumn="0"/>
        </w:trPr>
        <w:tc>
          <w:tcPr>
            <w:tcW w:w="2264" w:type="pct"/>
          </w:tcPr>
          <w:p w14:paraId="791DB27D" w14:textId="0005B5FB" w:rsidR="009323B0" w:rsidRPr="005D71A4" w:rsidRDefault="009323B0" w:rsidP="000431B3">
            <w:pPr>
              <w:pStyle w:val="011TableHeading8pt"/>
              <w:keepNext/>
              <w:rPr>
                <w:sz w:val="18"/>
                <w:szCs w:val="18"/>
              </w:rPr>
            </w:pPr>
            <w:r w:rsidRPr="005D71A4">
              <w:rPr>
                <w:sz w:val="18"/>
                <w:szCs w:val="18"/>
              </w:rPr>
              <w:t>Comparison</w:t>
            </w:r>
          </w:p>
        </w:tc>
        <w:tc>
          <w:tcPr>
            <w:tcW w:w="1132" w:type="pct"/>
          </w:tcPr>
          <w:p w14:paraId="03556039" w14:textId="77777777" w:rsidR="009323B0" w:rsidRPr="005D71A4" w:rsidRDefault="009323B0" w:rsidP="000431B3">
            <w:pPr>
              <w:pStyle w:val="011TableHeading8pt"/>
              <w:keepNext/>
              <w:rPr>
                <w:sz w:val="18"/>
                <w:szCs w:val="18"/>
              </w:rPr>
            </w:pPr>
            <w:r w:rsidRPr="005D71A4">
              <w:rPr>
                <w:sz w:val="18"/>
                <w:szCs w:val="18"/>
              </w:rPr>
              <w:t>Number of RCTs</w:t>
            </w:r>
          </w:p>
        </w:tc>
        <w:tc>
          <w:tcPr>
            <w:tcW w:w="1604" w:type="pct"/>
          </w:tcPr>
          <w:p w14:paraId="7D591317" w14:textId="77777777" w:rsidR="009323B0" w:rsidRPr="005D71A4" w:rsidRDefault="009323B0" w:rsidP="000431B3">
            <w:pPr>
              <w:pStyle w:val="011TableHeading8pt"/>
              <w:keepNext/>
              <w:rPr>
                <w:sz w:val="18"/>
                <w:szCs w:val="18"/>
              </w:rPr>
            </w:pPr>
            <w:r w:rsidRPr="005D71A4">
              <w:rPr>
                <w:sz w:val="18"/>
                <w:szCs w:val="18"/>
              </w:rPr>
              <w:t>Number of participants (range)</w:t>
            </w:r>
          </w:p>
        </w:tc>
      </w:tr>
      <w:tr w:rsidR="009323B0" w14:paraId="6AAB3AD0" w14:textId="77777777" w:rsidTr="006A194E">
        <w:tc>
          <w:tcPr>
            <w:tcW w:w="2264" w:type="pct"/>
          </w:tcPr>
          <w:p w14:paraId="3B71D209" w14:textId="77777777" w:rsidR="009323B0" w:rsidRPr="005D71A4" w:rsidRDefault="009323B0" w:rsidP="000431B3">
            <w:pPr>
              <w:pStyle w:val="05Tabletext22"/>
              <w:keepNext/>
              <w:rPr>
                <w:sz w:val="18"/>
                <w:szCs w:val="18"/>
              </w:rPr>
            </w:pPr>
            <w:proofErr w:type="spellStart"/>
            <w:r w:rsidRPr="005D71A4">
              <w:rPr>
                <w:sz w:val="18"/>
                <w:szCs w:val="18"/>
              </w:rPr>
              <w:t>Colposuspension</w:t>
            </w:r>
            <w:proofErr w:type="spellEnd"/>
            <w:r w:rsidRPr="005D71A4">
              <w:rPr>
                <w:sz w:val="18"/>
                <w:szCs w:val="18"/>
              </w:rPr>
              <w:t xml:space="preserve"> vs. MUS</w:t>
            </w:r>
          </w:p>
        </w:tc>
        <w:tc>
          <w:tcPr>
            <w:tcW w:w="1132" w:type="pct"/>
          </w:tcPr>
          <w:p w14:paraId="189384AE" w14:textId="77777777" w:rsidR="009323B0" w:rsidRPr="005D71A4" w:rsidRDefault="009323B0" w:rsidP="000431B3">
            <w:pPr>
              <w:pStyle w:val="05Tabletext22"/>
              <w:keepNext/>
              <w:rPr>
                <w:sz w:val="18"/>
                <w:szCs w:val="18"/>
              </w:rPr>
            </w:pPr>
            <w:r w:rsidRPr="005D71A4">
              <w:rPr>
                <w:sz w:val="18"/>
                <w:szCs w:val="18"/>
              </w:rPr>
              <w:t>12</w:t>
            </w:r>
          </w:p>
        </w:tc>
        <w:tc>
          <w:tcPr>
            <w:tcW w:w="1604" w:type="pct"/>
          </w:tcPr>
          <w:p w14:paraId="6E55BFC8" w14:textId="77777777" w:rsidR="009323B0" w:rsidRPr="005D71A4" w:rsidRDefault="009323B0" w:rsidP="000431B3">
            <w:pPr>
              <w:pStyle w:val="05Tabletext22"/>
              <w:keepNext/>
              <w:rPr>
                <w:sz w:val="18"/>
                <w:szCs w:val="18"/>
              </w:rPr>
            </w:pPr>
            <w:r w:rsidRPr="005D71A4">
              <w:rPr>
                <w:sz w:val="18"/>
                <w:szCs w:val="18"/>
              </w:rPr>
              <w:t>1,214 (46-344)</w:t>
            </w:r>
          </w:p>
        </w:tc>
      </w:tr>
      <w:tr w:rsidR="009323B0" w14:paraId="4D35700F" w14:textId="77777777" w:rsidTr="006A194E">
        <w:tc>
          <w:tcPr>
            <w:tcW w:w="2264" w:type="pct"/>
          </w:tcPr>
          <w:p w14:paraId="45FC31C7" w14:textId="77777777" w:rsidR="009323B0" w:rsidRPr="005D71A4" w:rsidRDefault="009323B0" w:rsidP="000431B3">
            <w:pPr>
              <w:pStyle w:val="05Tabletext22"/>
              <w:keepNext/>
              <w:rPr>
                <w:sz w:val="18"/>
                <w:szCs w:val="18"/>
              </w:rPr>
            </w:pPr>
            <w:r w:rsidRPr="005D71A4">
              <w:rPr>
                <w:sz w:val="18"/>
                <w:szCs w:val="18"/>
              </w:rPr>
              <w:t>Autologous rectus fascial sling vs. MUS</w:t>
            </w:r>
          </w:p>
        </w:tc>
        <w:tc>
          <w:tcPr>
            <w:tcW w:w="1132" w:type="pct"/>
          </w:tcPr>
          <w:p w14:paraId="770E6E90" w14:textId="77777777" w:rsidR="009323B0" w:rsidRPr="005D71A4" w:rsidRDefault="009323B0" w:rsidP="000431B3">
            <w:pPr>
              <w:pStyle w:val="05Tabletext22"/>
              <w:keepNext/>
              <w:rPr>
                <w:sz w:val="18"/>
                <w:szCs w:val="18"/>
              </w:rPr>
            </w:pPr>
            <w:r w:rsidRPr="005D71A4">
              <w:rPr>
                <w:sz w:val="18"/>
                <w:szCs w:val="18"/>
              </w:rPr>
              <w:t>8</w:t>
            </w:r>
          </w:p>
        </w:tc>
        <w:tc>
          <w:tcPr>
            <w:tcW w:w="1604" w:type="pct"/>
          </w:tcPr>
          <w:p w14:paraId="7FB49141" w14:textId="77777777" w:rsidR="009323B0" w:rsidRPr="005D71A4" w:rsidRDefault="009323B0" w:rsidP="000431B3">
            <w:pPr>
              <w:pStyle w:val="05Tabletext22"/>
              <w:keepNext/>
              <w:rPr>
                <w:sz w:val="18"/>
                <w:szCs w:val="18"/>
              </w:rPr>
            </w:pPr>
            <w:r w:rsidRPr="005D71A4">
              <w:rPr>
                <w:sz w:val="18"/>
                <w:szCs w:val="18"/>
              </w:rPr>
              <w:t>576 (24-156)</w:t>
            </w:r>
          </w:p>
        </w:tc>
      </w:tr>
      <w:tr w:rsidR="009323B0" w14:paraId="54D1CE5C" w14:textId="77777777" w:rsidTr="006A194E">
        <w:tc>
          <w:tcPr>
            <w:tcW w:w="2264" w:type="pct"/>
          </w:tcPr>
          <w:p w14:paraId="1618DC9F" w14:textId="77777777" w:rsidR="009323B0" w:rsidRPr="005D71A4" w:rsidRDefault="009323B0" w:rsidP="000431B3">
            <w:pPr>
              <w:pStyle w:val="05Tabletext22"/>
              <w:rPr>
                <w:sz w:val="18"/>
                <w:szCs w:val="18"/>
              </w:rPr>
            </w:pPr>
            <w:r w:rsidRPr="005D71A4">
              <w:rPr>
                <w:sz w:val="18"/>
                <w:szCs w:val="18"/>
              </w:rPr>
              <w:t>Bulking agents vs. synthetic mesh sling</w:t>
            </w:r>
          </w:p>
        </w:tc>
        <w:tc>
          <w:tcPr>
            <w:tcW w:w="1132" w:type="pct"/>
          </w:tcPr>
          <w:p w14:paraId="52D48C30" w14:textId="77777777" w:rsidR="009323B0" w:rsidRPr="005D71A4" w:rsidRDefault="009323B0" w:rsidP="000431B3">
            <w:pPr>
              <w:pStyle w:val="05Tabletext22"/>
              <w:rPr>
                <w:sz w:val="18"/>
                <w:szCs w:val="18"/>
              </w:rPr>
            </w:pPr>
            <w:r w:rsidRPr="005D71A4">
              <w:rPr>
                <w:sz w:val="18"/>
                <w:szCs w:val="18"/>
              </w:rPr>
              <w:t>0</w:t>
            </w:r>
          </w:p>
        </w:tc>
        <w:tc>
          <w:tcPr>
            <w:tcW w:w="1604" w:type="pct"/>
          </w:tcPr>
          <w:p w14:paraId="3F12F1C4" w14:textId="77777777" w:rsidR="009323B0" w:rsidRPr="005D71A4" w:rsidRDefault="009323B0" w:rsidP="000431B3">
            <w:pPr>
              <w:pStyle w:val="05Tabletext22"/>
              <w:rPr>
                <w:sz w:val="18"/>
                <w:szCs w:val="18"/>
              </w:rPr>
            </w:pPr>
            <w:r w:rsidRPr="005D71A4">
              <w:rPr>
                <w:sz w:val="18"/>
                <w:szCs w:val="18"/>
              </w:rPr>
              <w:t>N/A</w:t>
            </w:r>
          </w:p>
        </w:tc>
      </w:tr>
      <w:tr w:rsidR="009323B0" w14:paraId="74E2CCA2" w14:textId="77777777" w:rsidTr="006A194E">
        <w:tc>
          <w:tcPr>
            <w:tcW w:w="2264" w:type="pct"/>
          </w:tcPr>
          <w:p w14:paraId="0FE67751" w14:textId="77777777" w:rsidR="009323B0" w:rsidRPr="005D71A4" w:rsidRDefault="009323B0" w:rsidP="000431B3">
            <w:pPr>
              <w:pStyle w:val="05Tabletext22"/>
              <w:rPr>
                <w:sz w:val="18"/>
                <w:szCs w:val="18"/>
              </w:rPr>
            </w:pPr>
            <w:r w:rsidRPr="005D71A4">
              <w:rPr>
                <w:sz w:val="18"/>
                <w:szCs w:val="18"/>
              </w:rPr>
              <w:t>TO-MUS vs. RP-MUS</w:t>
            </w:r>
          </w:p>
        </w:tc>
        <w:tc>
          <w:tcPr>
            <w:tcW w:w="1132" w:type="pct"/>
          </w:tcPr>
          <w:p w14:paraId="177C1461" w14:textId="77777777" w:rsidR="009323B0" w:rsidRPr="005D71A4" w:rsidRDefault="009323B0" w:rsidP="000431B3">
            <w:pPr>
              <w:pStyle w:val="05Tabletext22"/>
              <w:rPr>
                <w:sz w:val="18"/>
                <w:szCs w:val="18"/>
              </w:rPr>
            </w:pPr>
            <w:r w:rsidRPr="005D71A4">
              <w:rPr>
                <w:sz w:val="18"/>
                <w:szCs w:val="18"/>
              </w:rPr>
              <w:t>40</w:t>
            </w:r>
          </w:p>
        </w:tc>
        <w:tc>
          <w:tcPr>
            <w:tcW w:w="1604" w:type="pct"/>
          </w:tcPr>
          <w:p w14:paraId="0E267853" w14:textId="77777777" w:rsidR="009323B0" w:rsidRPr="005D71A4" w:rsidRDefault="009323B0" w:rsidP="000431B3">
            <w:pPr>
              <w:pStyle w:val="05Tabletext22"/>
              <w:rPr>
                <w:sz w:val="18"/>
                <w:szCs w:val="18"/>
              </w:rPr>
            </w:pPr>
            <w:r w:rsidRPr="005D71A4">
              <w:rPr>
                <w:sz w:val="18"/>
                <w:szCs w:val="18"/>
              </w:rPr>
              <w:t>6,800 (30-597)</w:t>
            </w:r>
          </w:p>
        </w:tc>
      </w:tr>
    </w:tbl>
    <w:p w14:paraId="7A3DB0F2" w14:textId="3A9A24D2" w:rsidR="00FB6CEC" w:rsidRDefault="00FB6CEC" w:rsidP="00FB6CEC">
      <w:pPr>
        <w:pStyle w:val="101Tablefootnotes8pt"/>
      </w:pPr>
      <w:r>
        <w:t xml:space="preserve">Source: based on data from NICE Evidence review </w:t>
      </w:r>
      <w:r w:rsidR="00245CE2">
        <w:rPr>
          <w:noProof/>
        </w:rPr>
        <w:t>(NICE 2019b)</w:t>
      </w:r>
    </w:p>
    <w:p w14:paraId="3BD163CE" w14:textId="58C4354D" w:rsidR="009323B0" w:rsidRPr="00B0485F" w:rsidRDefault="009323B0" w:rsidP="009323B0">
      <w:pPr>
        <w:pStyle w:val="111Tablefootnoteslast-nostick8pt"/>
      </w:pPr>
      <w:r>
        <w:t xml:space="preserve">Abbreviations: MUS, mid-urethral sling; RP, retropubic; TO, </w:t>
      </w:r>
      <w:proofErr w:type="spellStart"/>
      <w:r>
        <w:t>transobturator</w:t>
      </w:r>
      <w:proofErr w:type="spellEnd"/>
      <w:r>
        <w:t xml:space="preserve">. </w:t>
      </w:r>
    </w:p>
    <w:p w14:paraId="03C99E62" w14:textId="328486B4" w:rsidR="00C3041F" w:rsidRPr="00B0485F" w:rsidRDefault="00C3041F" w:rsidP="00C3041F">
      <w:pPr>
        <w:pStyle w:val="Heading5"/>
      </w:pPr>
      <w:proofErr w:type="spellStart"/>
      <w:r w:rsidRPr="00B0485F">
        <w:t>Colposuspension</w:t>
      </w:r>
      <w:proofErr w:type="spellEnd"/>
      <w:r w:rsidR="006729D7" w:rsidRPr="00B0485F">
        <w:t xml:space="preserve"> versus synthetic mesh sling</w:t>
      </w:r>
    </w:p>
    <w:p w14:paraId="5743664F" w14:textId="2318098B" w:rsidR="003038EA" w:rsidRDefault="002770FC" w:rsidP="003038EA">
      <w:pPr>
        <w:pStyle w:val="BodyText"/>
        <w:rPr>
          <w:b/>
          <w:bCs/>
        </w:rPr>
      </w:pPr>
      <w:r>
        <w:t>Of the</w:t>
      </w:r>
      <w:r w:rsidR="007B45B4" w:rsidRPr="00B0485F">
        <w:t xml:space="preserve"> 12 RCTs </w:t>
      </w:r>
      <w:r w:rsidR="00C87B2A">
        <w:t>comparing</w:t>
      </w:r>
      <w:r w:rsidR="002D574B" w:rsidRPr="00B0485F">
        <w:t xml:space="preserve"> </w:t>
      </w:r>
      <w:proofErr w:type="spellStart"/>
      <w:r w:rsidR="002D574B" w:rsidRPr="00B0485F">
        <w:t>colposuspension</w:t>
      </w:r>
      <w:proofErr w:type="spellEnd"/>
      <w:r w:rsidR="002D574B" w:rsidRPr="00B0485F">
        <w:t xml:space="preserve"> </w:t>
      </w:r>
      <w:r w:rsidR="00C87B2A">
        <w:t>to</w:t>
      </w:r>
      <w:r w:rsidR="002D574B" w:rsidRPr="00B0485F">
        <w:t xml:space="preserve"> synthetic mesh sling</w:t>
      </w:r>
      <w:r w:rsidR="00E462D9">
        <w:t>,</w:t>
      </w:r>
      <w:r w:rsidR="002D574B" w:rsidRPr="00B0485F">
        <w:t xml:space="preserve"> </w:t>
      </w:r>
      <w:r w:rsidR="00E462D9">
        <w:t>t</w:t>
      </w:r>
      <w:r w:rsidR="00330529" w:rsidRPr="00B0485F">
        <w:t xml:space="preserve">he </w:t>
      </w:r>
      <w:proofErr w:type="spellStart"/>
      <w:r w:rsidR="00330529" w:rsidRPr="00B0485F">
        <w:t>colposuspension</w:t>
      </w:r>
      <w:proofErr w:type="spellEnd"/>
      <w:r w:rsidR="00330529" w:rsidRPr="00B0485F">
        <w:t xml:space="preserve"> procedure </w:t>
      </w:r>
      <w:r w:rsidR="00330529">
        <w:t>was</w:t>
      </w:r>
      <w:r w:rsidR="00330529" w:rsidRPr="00B0485F">
        <w:t xml:space="preserve"> laparoscopic </w:t>
      </w:r>
      <w:r w:rsidR="00330529">
        <w:t>in four</w:t>
      </w:r>
      <w:r w:rsidR="00330529" w:rsidRPr="00B0485F">
        <w:t xml:space="preserve"> studies and open </w:t>
      </w:r>
      <w:r w:rsidR="00330529">
        <w:t>in eight</w:t>
      </w:r>
      <w:r w:rsidR="00330529" w:rsidRPr="00B0485F">
        <w:t xml:space="preserve"> studies. </w:t>
      </w:r>
      <w:r w:rsidR="007D6E12">
        <w:t>T</w:t>
      </w:r>
      <w:r w:rsidR="00E458F2" w:rsidRPr="00B0485F">
        <w:t>he s</w:t>
      </w:r>
      <w:r w:rsidR="0098601F" w:rsidRPr="00B0485F">
        <w:t>ynthetic mesh sling procedure</w:t>
      </w:r>
      <w:r w:rsidR="00E458F2" w:rsidRPr="00B0485F">
        <w:t xml:space="preserve"> </w:t>
      </w:r>
      <w:r w:rsidR="004E16D8">
        <w:t xml:space="preserve">was </w:t>
      </w:r>
      <w:r w:rsidR="006F3B53">
        <w:t>RP-</w:t>
      </w:r>
      <w:r w:rsidR="004E16D8">
        <w:t>MUS</w:t>
      </w:r>
      <w:r w:rsidR="00E458F2" w:rsidRPr="00B0485F">
        <w:t xml:space="preserve"> in </w:t>
      </w:r>
      <w:r w:rsidR="008D2C03">
        <w:t xml:space="preserve">ten </w:t>
      </w:r>
      <w:r w:rsidR="008222D3" w:rsidRPr="00B0485F">
        <w:t xml:space="preserve">studies </w:t>
      </w:r>
      <w:r w:rsidR="0098601F" w:rsidRPr="00B0485F">
        <w:t xml:space="preserve">and </w:t>
      </w:r>
      <w:r w:rsidR="006F3B53">
        <w:t>TO-</w:t>
      </w:r>
      <w:r w:rsidR="007D6E12">
        <w:t xml:space="preserve">MUS in </w:t>
      </w:r>
      <w:r w:rsidR="008D2C03">
        <w:t xml:space="preserve">two </w:t>
      </w:r>
      <w:r w:rsidR="002E0257" w:rsidRPr="00B0485F">
        <w:t>studies</w:t>
      </w:r>
      <w:r w:rsidR="007D6E12">
        <w:t>.</w:t>
      </w:r>
      <w:r w:rsidR="00E458F2" w:rsidRPr="00B0485F">
        <w:t xml:space="preserve"> </w:t>
      </w:r>
      <w:r w:rsidR="0098636F">
        <w:t>There were no studies of single-incision mini-slings, and as such a</w:t>
      </w:r>
      <w:r w:rsidR="008E4DB9" w:rsidRPr="00B0485F">
        <w:t xml:space="preserve">ll </w:t>
      </w:r>
      <w:r w:rsidR="007D73B0">
        <w:t xml:space="preserve">12 </w:t>
      </w:r>
      <w:r w:rsidR="008E4DB9" w:rsidRPr="00B0485F">
        <w:t xml:space="preserve">RCTs </w:t>
      </w:r>
      <w:r w:rsidR="00A92C11">
        <w:t>were</w:t>
      </w:r>
      <w:r w:rsidR="008E4DB9" w:rsidRPr="00B0485F">
        <w:t xml:space="preserve"> relevant to this review. </w:t>
      </w:r>
      <w:r w:rsidR="0098601F" w:rsidRPr="00B0485F">
        <w:t xml:space="preserve">A summary of the </w:t>
      </w:r>
      <w:r w:rsidR="007074E5" w:rsidRPr="00B0485F">
        <w:t>stud</w:t>
      </w:r>
      <w:r w:rsidR="00AA71BA" w:rsidRPr="00B0485F">
        <w:t xml:space="preserve">y characteristics </w:t>
      </w:r>
      <w:r w:rsidR="007074E5" w:rsidRPr="00B0485F">
        <w:t>is provided in</w:t>
      </w:r>
      <w:r w:rsidR="003038EA">
        <w:t xml:space="preserve"> </w:t>
      </w:r>
      <w:r w:rsidR="00BD7934">
        <w:t xml:space="preserve">Appendix </w:t>
      </w:r>
      <w:r w:rsidR="00BD7934">
        <w:fldChar w:fldCharType="begin"/>
      </w:r>
      <w:r w:rsidR="00BD7934">
        <w:instrText xml:space="preserve"> REF _Ref165620195 \n \h </w:instrText>
      </w:r>
      <w:r w:rsidR="00BD7934">
        <w:fldChar w:fldCharType="separate"/>
      </w:r>
      <w:r w:rsidR="007105D3">
        <w:t>B.1.1</w:t>
      </w:r>
      <w:r w:rsidR="00BD7934">
        <w:fldChar w:fldCharType="end"/>
      </w:r>
      <w:r w:rsidR="00690B93">
        <w:t>,</w:t>
      </w:r>
      <w:r w:rsidR="003038EA">
        <w:t xml:space="preserve"> </w:t>
      </w:r>
      <w:r w:rsidR="003038EA" w:rsidRPr="003038EA">
        <w:rPr>
          <w:b/>
          <w:bCs/>
        </w:rPr>
        <w:fldChar w:fldCharType="begin"/>
      </w:r>
      <w:r w:rsidR="003038EA" w:rsidRPr="003038EA">
        <w:rPr>
          <w:b/>
          <w:bCs/>
        </w:rPr>
        <w:instrText xml:space="preserve"> REF _Ref132285620 \h </w:instrText>
      </w:r>
      <w:r w:rsidR="003038EA">
        <w:rPr>
          <w:b/>
          <w:bCs/>
        </w:rPr>
        <w:instrText xml:space="preserve"> \* MERGEFORMAT </w:instrText>
      </w:r>
      <w:r w:rsidR="003038EA" w:rsidRPr="003038EA">
        <w:rPr>
          <w:b/>
          <w:bCs/>
        </w:rPr>
      </w:r>
      <w:r w:rsidR="003038EA" w:rsidRPr="003038EA">
        <w:rPr>
          <w:b/>
          <w:bCs/>
        </w:rPr>
        <w:fldChar w:fldCharType="separate"/>
      </w:r>
      <w:r w:rsidR="007105D3" w:rsidRPr="007105D3">
        <w:rPr>
          <w:b/>
          <w:bCs/>
        </w:rPr>
        <w:t xml:space="preserve">Table App. </w:t>
      </w:r>
      <w:r w:rsidR="007105D3" w:rsidRPr="007105D3">
        <w:rPr>
          <w:b/>
          <w:bCs/>
          <w:noProof/>
        </w:rPr>
        <w:t>3</w:t>
      </w:r>
      <w:r w:rsidR="003038EA" w:rsidRPr="003038EA">
        <w:rPr>
          <w:b/>
          <w:bCs/>
        </w:rPr>
        <w:fldChar w:fldCharType="end"/>
      </w:r>
    </w:p>
    <w:p w14:paraId="715BFDB6" w14:textId="175FF4EA" w:rsidR="009251C5" w:rsidRPr="00B0485F" w:rsidRDefault="00E10DB4" w:rsidP="00E10DB4">
      <w:pPr>
        <w:pStyle w:val="Heading5"/>
      </w:pPr>
      <w:r w:rsidRPr="00B0485F">
        <w:lastRenderedPageBreak/>
        <w:t>Autologous rectus fascial sling</w:t>
      </w:r>
      <w:r w:rsidR="00EE0C62" w:rsidRPr="00B0485F">
        <w:t xml:space="preserve"> (pubovaginal sling)</w:t>
      </w:r>
      <w:r w:rsidRPr="00B0485F">
        <w:t xml:space="preserve"> versus synthetic mesh sling</w:t>
      </w:r>
    </w:p>
    <w:p w14:paraId="11D3952C" w14:textId="0F49C726" w:rsidR="002701B0" w:rsidRPr="00B0485F" w:rsidRDefault="00D86A2C" w:rsidP="002701B0">
      <w:pPr>
        <w:pStyle w:val="BodyText"/>
      </w:pPr>
      <w:r>
        <w:t>Of the</w:t>
      </w:r>
      <w:r w:rsidR="002701B0" w:rsidRPr="00B0485F">
        <w:t xml:space="preserve"> </w:t>
      </w:r>
      <w:r w:rsidR="00F73FB7" w:rsidRPr="00B0485F">
        <w:t>11</w:t>
      </w:r>
      <w:r w:rsidR="002701B0" w:rsidRPr="00B0485F">
        <w:t xml:space="preserve"> RCTs </w:t>
      </w:r>
      <w:r w:rsidR="00E26238" w:rsidRPr="00B0485F">
        <w:t>comparing</w:t>
      </w:r>
      <w:r w:rsidR="002701B0" w:rsidRPr="00B0485F">
        <w:t xml:space="preserve"> </w:t>
      </w:r>
      <w:r w:rsidR="00A954D6" w:rsidRPr="00B0485F">
        <w:t xml:space="preserve">rectus fascial sling </w:t>
      </w:r>
      <w:r w:rsidR="000F3826" w:rsidRPr="00B0485F">
        <w:t>to</w:t>
      </w:r>
      <w:r w:rsidR="002701B0" w:rsidRPr="00B0485F">
        <w:t xml:space="preserve"> synthetic mesh sling</w:t>
      </w:r>
      <w:r>
        <w:t>,</w:t>
      </w:r>
      <w:r w:rsidR="00791241" w:rsidRPr="00B0485F">
        <w:t xml:space="preserve"> </w:t>
      </w:r>
      <w:r w:rsidR="002E7F5E">
        <w:t>3</w:t>
      </w:r>
      <w:r w:rsidR="00791241" w:rsidRPr="00623EDB">
        <w:t xml:space="preserve"> </w:t>
      </w:r>
      <w:r w:rsidR="000D01A1" w:rsidRPr="00623EDB">
        <w:t xml:space="preserve">were </w:t>
      </w:r>
      <w:r w:rsidR="00160224">
        <w:t>of</w:t>
      </w:r>
      <w:r w:rsidR="00160224" w:rsidRPr="00623EDB">
        <w:t xml:space="preserve"> single-incision mini-sling</w:t>
      </w:r>
      <w:r w:rsidR="00160224">
        <w:t xml:space="preserve">s and as such were </w:t>
      </w:r>
      <w:r w:rsidR="000D01A1" w:rsidRPr="00623EDB">
        <w:t xml:space="preserve">not relevant to this review </w:t>
      </w:r>
      <w:r w:rsidR="00245CE2">
        <w:rPr>
          <w:noProof/>
        </w:rPr>
        <w:t>(Sharifiaghdas 2015; Silva-Filho 2006; Tcherniakovsky 2009)</w:t>
      </w:r>
      <w:r w:rsidR="00F825F1" w:rsidRPr="00B0485F">
        <w:t xml:space="preserve">. Of the remaining eight studies, </w:t>
      </w:r>
      <w:r w:rsidR="004E6436" w:rsidRPr="00B0485F">
        <w:t xml:space="preserve">seven </w:t>
      </w:r>
      <w:r w:rsidR="007F4CF1">
        <w:t>were</w:t>
      </w:r>
      <w:r w:rsidR="0030484E">
        <w:t xml:space="preserve"> of</w:t>
      </w:r>
      <w:r w:rsidR="00425B6B" w:rsidRPr="00B0485F">
        <w:t xml:space="preserve"> </w:t>
      </w:r>
      <w:r w:rsidR="00BC4C6B">
        <w:t>RP-MUS</w:t>
      </w:r>
      <w:r w:rsidR="009933D8" w:rsidRPr="00B0485F">
        <w:t xml:space="preserve"> </w:t>
      </w:r>
      <w:r w:rsidR="00425B6B" w:rsidRPr="00B0485F">
        <w:t xml:space="preserve">and one </w:t>
      </w:r>
      <w:r w:rsidR="005B156A">
        <w:t xml:space="preserve">was </w:t>
      </w:r>
      <w:r w:rsidR="0030484E">
        <w:t xml:space="preserve">of </w:t>
      </w:r>
      <w:r w:rsidR="00D670C5">
        <w:t>TO-MUS</w:t>
      </w:r>
      <w:r w:rsidR="009D1854" w:rsidRPr="00B0485F">
        <w:t xml:space="preserve">. </w:t>
      </w:r>
      <w:r w:rsidR="002701B0" w:rsidRPr="00B0485F">
        <w:t>A summary of the study characteristics of the</w:t>
      </w:r>
      <w:r w:rsidR="00724B30">
        <w:t>se</w:t>
      </w:r>
      <w:r w:rsidR="002701B0" w:rsidRPr="00B0485F">
        <w:t xml:space="preserve"> </w:t>
      </w:r>
      <w:r w:rsidR="00503FCC" w:rsidRPr="00B0485F">
        <w:t>eight</w:t>
      </w:r>
      <w:r w:rsidR="002701B0" w:rsidRPr="00B0485F">
        <w:t xml:space="preserve"> </w:t>
      </w:r>
      <w:r w:rsidR="00EF4513" w:rsidRPr="00B0485F">
        <w:t>RCTs</w:t>
      </w:r>
      <w:r w:rsidR="002701B0" w:rsidRPr="00B0485F">
        <w:t xml:space="preserve"> is provided in</w:t>
      </w:r>
      <w:r w:rsidR="00F644CE" w:rsidRPr="00B0485F">
        <w:t xml:space="preserve"> </w:t>
      </w:r>
      <w:r w:rsidR="00690B93">
        <w:t xml:space="preserve">Appendix </w:t>
      </w:r>
      <w:r w:rsidR="00673D32">
        <w:fldChar w:fldCharType="begin"/>
      </w:r>
      <w:r w:rsidR="00673D32">
        <w:instrText xml:space="preserve"> REF _Ref165620258 \n \h </w:instrText>
      </w:r>
      <w:r w:rsidR="00673D32">
        <w:fldChar w:fldCharType="separate"/>
      </w:r>
      <w:r w:rsidR="007105D3">
        <w:t>B.1.2</w:t>
      </w:r>
      <w:r w:rsidR="00673D32">
        <w:fldChar w:fldCharType="end"/>
      </w:r>
      <w:r w:rsidR="00690B93">
        <w:t xml:space="preserve">, </w:t>
      </w:r>
      <w:r w:rsidR="002E7268" w:rsidRPr="002E7268">
        <w:rPr>
          <w:b/>
          <w:bCs/>
        </w:rPr>
        <w:fldChar w:fldCharType="begin"/>
      </w:r>
      <w:r w:rsidR="002E7268" w:rsidRPr="002E7268">
        <w:rPr>
          <w:b/>
          <w:bCs/>
        </w:rPr>
        <w:instrText xml:space="preserve"> REF _Ref132285560 \h </w:instrText>
      </w:r>
      <w:r w:rsidR="002E7268">
        <w:rPr>
          <w:b/>
          <w:bCs/>
        </w:rPr>
        <w:instrText xml:space="preserve"> \* MERGEFORMAT </w:instrText>
      </w:r>
      <w:r w:rsidR="002E7268" w:rsidRPr="002E7268">
        <w:rPr>
          <w:b/>
          <w:bCs/>
        </w:rPr>
      </w:r>
      <w:r w:rsidR="002E7268" w:rsidRPr="002E7268">
        <w:rPr>
          <w:b/>
          <w:bCs/>
        </w:rPr>
        <w:fldChar w:fldCharType="separate"/>
      </w:r>
      <w:r w:rsidR="007105D3" w:rsidRPr="007105D3">
        <w:rPr>
          <w:b/>
          <w:bCs/>
        </w:rPr>
        <w:t xml:space="preserve">Table App. </w:t>
      </w:r>
      <w:r w:rsidR="007105D3" w:rsidRPr="007105D3">
        <w:rPr>
          <w:b/>
          <w:bCs/>
          <w:noProof/>
        </w:rPr>
        <w:t>4</w:t>
      </w:r>
      <w:r w:rsidR="002E7268" w:rsidRPr="002E7268">
        <w:rPr>
          <w:b/>
          <w:bCs/>
        </w:rPr>
        <w:fldChar w:fldCharType="end"/>
      </w:r>
      <w:r w:rsidR="00CE3C4B">
        <w:t>.</w:t>
      </w:r>
    </w:p>
    <w:p w14:paraId="5DFD70C2" w14:textId="37656603" w:rsidR="002E3CBF" w:rsidRPr="00B0485F" w:rsidRDefault="008C1F75" w:rsidP="00894845">
      <w:pPr>
        <w:pStyle w:val="Heading5"/>
      </w:pPr>
      <w:r>
        <w:t>TO-</w:t>
      </w:r>
      <w:r w:rsidR="001F2BFB">
        <w:t>MUS</w:t>
      </w:r>
      <w:r w:rsidR="002E3CBF" w:rsidRPr="00B0485F">
        <w:t xml:space="preserve"> versus </w:t>
      </w:r>
      <w:r>
        <w:t>RP-</w:t>
      </w:r>
      <w:r w:rsidR="001F2BFB">
        <w:t>MUS</w:t>
      </w:r>
    </w:p>
    <w:p w14:paraId="08BBAD4D" w14:textId="68C54CD9" w:rsidR="002C1C6F" w:rsidRPr="00B0485F" w:rsidRDefault="002C1C6F" w:rsidP="002E3CBF">
      <w:pPr>
        <w:pStyle w:val="BodyText"/>
      </w:pPr>
      <w:r w:rsidRPr="00B0485F">
        <w:t xml:space="preserve">The NICE evidence review identified </w:t>
      </w:r>
      <w:r w:rsidR="007F41BB" w:rsidRPr="00B0485F">
        <w:t>40</w:t>
      </w:r>
      <w:r w:rsidRPr="00B0485F">
        <w:t xml:space="preserve"> RCTs comparing </w:t>
      </w:r>
      <w:r w:rsidR="00852349">
        <w:t>TO</w:t>
      </w:r>
      <w:r w:rsidR="00117802">
        <w:t>-</w:t>
      </w:r>
      <w:r w:rsidR="00852349">
        <w:t>MUS</w:t>
      </w:r>
      <w:r w:rsidRPr="00B0485F">
        <w:t xml:space="preserve"> to </w:t>
      </w:r>
      <w:r w:rsidR="00852349">
        <w:t>RP</w:t>
      </w:r>
      <w:r w:rsidR="00117802">
        <w:t>-</w:t>
      </w:r>
      <w:r w:rsidR="00852349">
        <w:t>MUS</w:t>
      </w:r>
      <w:r w:rsidR="00613BE9" w:rsidRPr="00B0485F">
        <w:t xml:space="preserve">. </w:t>
      </w:r>
      <w:r w:rsidR="008C732C">
        <w:t xml:space="preserve">All 40 </w:t>
      </w:r>
      <w:r w:rsidR="00801B71">
        <w:t xml:space="preserve">RCTs </w:t>
      </w:r>
      <w:r w:rsidR="003D7497">
        <w:t>are</w:t>
      </w:r>
      <w:r w:rsidR="000A2D06">
        <w:t xml:space="preserve"> relevant to this review</w:t>
      </w:r>
      <w:r w:rsidR="005030E3">
        <w:t xml:space="preserve"> and </w:t>
      </w:r>
      <w:r w:rsidR="00603D1F">
        <w:t xml:space="preserve">their characteristics </w:t>
      </w:r>
      <w:r w:rsidR="005030E3">
        <w:t>are summarised</w:t>
      </w:r>
      <w:r w:rsidR="00517BED" w:rsidRPr="00B0485F">
        <w:t xml:space="preserve"> in</w:t>
      </w:r>
      <w:r w:rsidR="00EB11DE" w:rsidRPr="00B0485F">
        <w:t xml:space="preserve"> </w:t>
      </w:r>
      <w:r w:rsidR="000F6007">
        <w:t xml:space="preserve">Appendix </w:t>
      </w:r>
      <w:r w:rsidR="0036240C">
        <w:fldChar w:fldCharType="begin"/>
      </w:r>
      <w:r w:rsidR="0036240C">
        <w:instrText xml:space="preserve"> REF _Ref165620287 \n \h </w:instrText>
      </w:r>
      <w:r w:rsidR="0036240C">
        <w:fldChar w:fldCharType="separate"/>
      </w:r>
      <w:r w:rsidR="007105D3">
        <w:t>B.1.3</w:t>
      </w:r>
      <w:r w:rsidR="0036240C">
        <w:fldChar w:fldCharType="end"/>
      </w:r>
      <w:r w:rsidR="000F6007">
        <w:t>,</w:t>
      </w:r>
      <w:r w:rsidR="00EB11DE" w:rsidRPr="00B0485F">
        <w:t xml:space="preserve"> </w:t>
      </w:r>
      <w:r w:rsidR="008C1F75" w:rsidRPr="008C1F75">
        <w:rPr>
          <w:b/>
          <w:bCs/>
        </w:rPr>
        <w:fldChar w:fldCharType="begin"/>
      </w:r>
      <w:r w:rsidR="008C1F75" w:rsidRPr="008C1F75">
        <w:rPr>
          <w:b/>
          <w:bCs/>
        </w:rPr>
        <w:instrText xml:space="preserve"> REF _Ref132276530 \h </w:instrText>
      </w:r>
      <w:r w:rsidR="008C1F75">
        <w:rPr>
          <w:b/>
          <w:bCs/>
        </w:rPr>
        <w:instrText xml:space="preserve"> \* MERGEFORMAT </w:instrText>
      </w:r>
      <w:r w:rsidR="008C1F75" w:rsidRPr="008C1F75">
        <w:rPr>
          <w:b/>
          <w:bCs/>
        </w:rPr>
      </w:r>
      <w:r w:rsidR="008C1F75" w:rsidRPr="008C1F75">
        <w:rPr>
          <w:b/>
          <w:bCs/>
        </w:rPr>
        <w:fldChar w:fldCharType="separate"/>
      </w:r>
      <w:r w:rsidR="007105D3" w:rsidRPr="007105D3">
        <w:rPr>
          <w:b/>
          <w:bCs/>
        </w:rPr>
        <w:t xml:space="preserve">Table App. </w:t>
      </w:r>
      <w:r w:rsidR="007105D3" w:rsidRPr="007105D3">
        <w:rPr>
          <w:b/>
          <w:bCs/>
          <w:noProof/>
        </w:rPr>
        <w:t>5</w:t>
      </w:r>
      <w:r w:rsidR="008C1F75" w:rsidRPr="008C1F75">
        <w:rPr>
          <w:b/>
          <w:bCs/>
        </w:rPr>
        <w:fldChar w:fldCharType="end"/>
      </w:r>
      <w:r w:rsidR="00EB11DE" w:rsidRPr="00B0485F">
        <w:t>.</w:t>
      </w:r>
    </w:p>
    <w:p w14:paraId="7788E63E" w14:textId="1B967815" w:rsidR="00012332" w:rsidRPr="00B0485F" w:rsidRDefault="001C2C0C" w:rsidP="00D26049">
      <w:pPr>
        <w:pStyle w:val="Heading4"/>
      </w:pPr>
      <w:bookmarkStart w:id="54" w:name="_Ref130983280"/>
      <w:r>
        <w:t xml:space="preserve">NICE </w:t>
      </w:r>
      <w:r w:rsidR="005C01F8" w:rsidRPr="00B0485F">
        <w:t>Findings</w:t>
      </w:r>
      <w:bookmarkEnd w:id="54"/>
    </w:p>
    <w:p w14:paraId="43C254C5" w14:textId="4682C8AB" w:rsidR="00012332" w:rsidRDefault="00E62BCC" w:rsidP="00E62BCC">
      <w:pPr>
        <w:pStyle w:val="Heading5"/>
      </w:pPr>
      <w:proofErr w:type="spellStart"/>
      <w:r w:rsidRPr="00B0485F">
        <w:t>Colposuspension</w:t>
      </w:r>
      <w:proofErr w:type="spellEnd"/>
      <w:r w:rsidRPr="00B0485F">
        <w:t xml:space="preserve"> versus </w:t>
      </w:r>
      <w:r w:rsidR="00B00309">
        <w:t>MUS</w:t>
      </w:r>
    </w:p>
    <w:p w14:paraId="13FE80A7" w14:textId="69536211" w:rsidR="005A067F" w:rsidRPr="00AA2394" w:rsidRDefault="00B92CE2" w:rsidP="005A067F">
      <w:pPr>
        <w:pStyle w:val="BodyText"/>
      </w:pPr>
      <w:r>
        <w:t xml:space="preserve">The findings for </w:t>
      </w:r>
      <w:proofErr w:type="spellStart"/>
      <w:r>
        <w:t>colposuspension</w:t>
      </w:r>
      <w:proofErr w:type="spellEnd"/>
      <w:r>
        <w:t xml:space="preserve"> versus MUS are </w:t>
      </w:r>
      <w:r w:rsidR="007576FF">
        <w:t xml:space="preserve">summarised below by outcome. </w:t>
      </w:r>
      <w:r w:rsidR="00CA612E">
        <w:t>An overview of the</w:t>
      </w:r>
      <w:r w:rsidR="007576FF">
        <w:t>se</w:t>
      </w:r>
      <w:r w:rsidR="00CA612E">
        <w:t xml:space="preserve"> findings </w:t>
      </w:r>
      <w:r w:rsidR="007576FF">
        <w:t xml:space="preserve">is </w:t>
      </w:r>
      <w:r w:rsidR="00CA612E">
        <w:t xml:space="preserve">provided </w:t>
      </w:r>
      <w:r w:rsidR="00A460E9">
        <w:t>in</w:t>
      </w:r>
      <w:r w:rsidR="00D255E7">
        <w:t xml:space="preserve"> Section </w:t>
      </w:r>
      <w:r w:rsidR="00FF26AF">
        <w:fldChar w:fldCharType="begin"/>
      </w:r>
      <w:r w:rsidR="00FF26AF">
        <w:instrText xml:space="preserve"> REF _Ref165620394 \n \h </w:instrText>
      </w:r>
      <w:r w:rsidR="00FF26AF">
        <w:fldChar w:fldCharType="separate"/>
      </w:r>
      <w:r w:rsidR="007105D3">
        <w:t>6.1.1</w:t>
      </w:r>
      <w:r w:rsidR="00FF26AF">
        <w:fldChar w:fldCharType="end"/>
      </w:r>
      <w:r w:rsidR="00A460E9">
        <w:t xml:space="preserve"> </w:t>
      </w:r>
      <w:r w:rsidR="005F0024" w:rsidRPr="00EA26D3">
        <w:t>(</w:t>
      </w:r>
      <w:r w:rsidR="00E308A1" w:rsidRPr="00E308A1">
        <w:rPr>
          <w:b/>
          <w:bCs/>
        </w:rPr>
        <w:fldChar w:fldCharType="begin"/>
      </w:r>
      <w:r w:rsidR="00E308A1" w:rsidRPr="00E308A1">
        <w:rPr>
          <w:b/>
          <w:bCs/>
        </w:rPr>
        <w:instrText xml:space="preserve"> REF _Ref133501201 \h </w:instrText>
      </w:r>
      <w:r w:rsidR="00E308A1">
        <w:rPr>
          <w:b/>
          <w:bCs/>
        </w:rPr>
        <w:instrText xml:space="preserve"> \* MERGEFORMAT </w:instrText>
      </w:r>
      <w:r w:rsidR="00E308A1" w:rsidRPr="00E308A1">
        <w:rPr>
          <w:b/>
          <w:bCs/>
        </w:rPr>
      </w:r>
      <w:r w:rsidR="00E308A1" w:rsidRPr="00E308A1">
        <w:rPr>
          <w:b/>
          <w:bCs/>
        </w:rPr>
        <w:fldChar w:fldCharType="separate"/>
      </w:r>
      <w:r w:rsidR="007105D3" w:rsidRPr="007105D3">
        <w:rPr>
          <w:b/>
          <w:bCs/>
        </w:rPr>
        <w:t xml:space="preserve">Table </w:t>
      </w:r>
      <w:r w:rsidR="007105D3" w:rsidRPr="007105D3">
        <w:rPr>
          <w:b/>
          <w:bCs/>
          <w:noProof/>
        </w:rPr>
        <w:t>32</w:t>
      </w:r>
      <w:r w:rsidR="00E308A1" w:rsidRPr="00E308A1">
        <w:rPr>
          <w:b/>
          <w:bCs/>
        </w:rPr>
        <w:fldChar w:fldCharType="end"/>
      </w:r>
      <w:r w:rsidR="005F0024" w:rsidRPr="00EA26D3">
        <w:t>)</w:t>
      </w:r>
      <w:r w:rsidR="00AA2394">
        <w:t>, including the number of RCTs and participants</w:t>
      </w:r>
      <w:r w:rsidR="00F80BEB">
        <w:t>,</w:t>
      </w:r>
      <w:r w:rsidR="001A58E5">
        <w:t xml:space="preserve"> and </w:t>
      </w:r>
      <w:r w:rsidR="003141B6">
        <w:t xml:space="preserve">the </w:t>
      </w:r>
      <w:r w:rsidR="001A58E5">
        <w:t xml:space="preserve">quality of </w:t>
      </w:r>
      <w:r w:rsidR="003141B6">
        <w:t xml:space="preserve">the </w:t>
      </w:r>
      <w:r w:rsidR="001A58E5">
        <w:t>evidence</w:t>
      </w:r>
      <w:r w:rsidR="003141B6">
        <w:t>.</w:t>
      </w:r>
    </w:p>
    <w:p w14:paraId="737798A3" w14:textId="6DD07A26" w:rsidR="00E31AD2" w:rsidRPr="00B0485F" w:rsidRDefault="00EC5EF5" w:rsidP="00E31AD2">
      <w:pPr>
        <w:pStyle w:val="Heading6"/>
      </w:pPr>
      <w:r w:rsidRPr="00B0485F">
        <w:t>Continence-specific health-related quality</w:t>
      </w:r>
      <w:r w:rsidR="00C548B2" w:rsidRPr="00B0485F">
        <w:t xml:space="preserve"> </w:t>
      </w:r>
      <w:r w:rsidRPr="00B0485F">
        <w:t>of</w:t>
      </w:r>
      <w:r w:rsidR="00C548B2" w:rsidRPr="00B0485F">
        <w:t xml:space="preserve"> </w:t>
      </w:r>
      <w:r w:rsidRPr="00B0485F">
        <w:t>life</w:t>
      </w:r>
    </w:p>
    <w:p w14:paraId="5CF4D5DA" w14:textId="3D7DA35D" w:rsidR="00C548B2" w:rsidRPr="00B0485F" w:rsidRDefault="00C17D94" w:rsidP="00C548B2">
      <w:pPr>
        <w:pStyle w:val="BodyText"/>
      </w:pPr>
      <w:r w:rsidRPr="002A238D">
        <w:t xml:space="preserve">Based on very </w:t>
      </w:r>
      <w:proofErr w:type="gramStart"/>
      <w:r w:rsidRPr="002A238D">
        <w:t>low quality</w:t>
      </w:r>
      <w:proofErr w:type="gramEnd"/>
      <w:r w:rsidRPr="002A238D">
        <w:t xml:space="preserve"> evidence</w:t>
      </w:r>
      <w:r w:rsidR="00671697">
        <w:t xml:space="preserve"> (one RCT)</w:t>
      </w:r>
      <w:r w:rsidRPr="002A238D">
        <w:t xml:space="preserve">, there </w:t>
      </w:r>
      <w:r w:rsidR="001E0C68">
        <w:t>was</w:t>
      </w:r>
      <w:r w:rsidRPr="002A238D">
        <w:t xml:space="preserve"> no clinically </w:t>
      </w:r>
      <w:r w:rsidR="001E0C68">
        <w:t>important</w:t>
      </w:r>
      <w:r w:rsidRPr="002A238D">
        <w:t xml:space="preserve"> difference</w:t>
      </w:r>
      <w:r w:rsidR="001E0C68">
        <w:t xml:space="preserve"> </w:t>
      </w:r>
      <w:r w:rsidR="004A0A9E" w:rsidRPr="002A238D">
        <w:t xml:space="preserve">between </w:t>
      </w:r>
      <w:proofErr w:type="spellStart"/>
      <w:r w:rsidR="004A0A9E" w:rsidRPr="002A238D">
        <w:t>colposuspension</w:t>
      </w:r>
      <w:proofErr w:type="spellEnd"/>
      <w:r w:rsidR="004A0A9E" w:rsidRPr="002A238D">
        <w:t xml:space="preserve"> and </w:t>
      </w:r>
      <w:r w:rsidR="004A0A9E">
        <w:t>MUS</w:t>
      </w:r>
      <w:r w:rsidR="004A0A9E" w:rsidRPr="002A238D">
        <w:t xml:space="preserve"> </w:t>
      </w:r>
      <w:r w:rsidR="00AC1337" w:rsidRPr="002A238D">
        <w:t xml:space="preserve">in continence-specific </w:t>
      </w:r>
      <w:proofErr w:type="spellStart"/>
      <w:r w:rsidR="007B1DCA">
        <w:t>HRQoL</w:t>
      </w:r>
      <w:proofErr w:type="spellEnd"/>
      <w:r w:rsidR="00A94BE7" w:rsidRPr="002A238D">
        <w:t xml:space="preserve"> for </w:t>
      </w:r>
      <w:r w:rsidR="00A94BE7" w:rsidRPr="002A238D">
        <w:rPr>
          <w:i/>
        </w:rPr>
        <w:t>sex life spoilt by urinary symptoms</w:t>
      </w:r>
      <w:r w:rsidR="00A94BE7" w:rsidRPr="002A238D">
        <w:t xml:space="preserve"> </w:t>
      </w:r>
      <w:r w:rsidR="00E0128C">
        <w:t>in the short or medium</w:t>
      </w:r>
      <w:r w:rsidR="007F181F">
        <w:t>-</w:t>
      </w:r>
      <w:r w:rsidR="00E0128C">
        <w:t>term</w:t>
      </w:r>
      <w:r w:rsidR="00C77309" w:rsidRPr="002A238D">
        <w:t xml:space="preserve"> as measured by the </w:t>
      </w:r>
      <w:r w:rsidR="00A16360" w:rsidRPr="002A238D">
        <w:t>Bristol Female Lower Urinary Tract Symptoms</w:t>
      </w:r>
      <w:r w:rsidR="00FD5D89" w:rsidRPr="002A238D">
        <w:t xml:space="preserve">- </w:t>
      </w:r>
      <w:r w:rsidR="00E138DE" w:rsidRPr="002A238D">
        <w:t>scored</w:t>
      </w:r>
      <w:r w:rsidR="00FD5D89" w:rsidRPr="002A238D">
        <w:t xml:space="preserve"> form (</w:t>
      </w:r>
      <w:r w:rsidR="00D85088" w:rsidRPr="002A238D">
        <w:t>BFLUTS-SF</w:t>
      </w:r>
      <w:r w:rsidR="00FD5D89" w:rsidRPr="002A238D">
        <w:t>) questionnaire</w:t>
      </w:r>
      <w:r w:rsidR="00FD7F74" w:rsidRPr="002A238D">
        <w:t xml:space="preserve">. </w:t>
      </w:r>
      <w:r w:rsidR="00F625A1" w:rsidRPr="002A238D">
        <w:t>No</w:t>
      </w:r>
      <w:r w:rsidR="00F625A1">
        <w:t xml:space="preserve"> other </w:t>
      </w:r>
      <w:proofErr w:type="gramStart"/>
      <w:r w:rsidR="00F625A1">
        <w:t>continence-specific</w:t>
      </w:r>
      <w:proofErr w:type="gramEnd"/>
      <w:r w:rsidR="00F625A1">
        <w:t xml:space="preserve"> </w:t>
      </w:r>
      <w:proofErr w:type="spellStart"/>
      <w:r w:rsidR="007B1DCA">
        <w:t>HRQoL</w:t>
      </w:r>
      <w:proofErr w:type="spellEnd"/>
      <w:r w:rsidR="002A238D">
        <w:t xml:space="preserve"> outcomes were reported.</w:t>
      </w:r>
    </w:p>
    <w:p w14:paraId="5E4855BC" w14:textId="7DF20A06" w:rsidR="00927E27" w:rsidRPr="00B0485F" w:rsidRDefault="00927E27" w:rsidP="00927E27">
      <w:pPr>
        <w:pStyle w:val="Heading6"/>
      </w:pPr>
      <w:r w:rsidRPr="00B0485F">
        <w:t>Change in continence status</w:t>
      </w:r>
    </w:p>
    <w:p w14:paraId="756D209E" w14:textId="17F10E1D" w:rsidR="00193788" w:rsidRPr="00B0485F" w:rsidRDefault="00193788" w:rsidP="00193788">
      <w:pPr>
        <w:pStyle w:val="BodyText"/>
      </w:pPr>
      <w:r w:rsidRPr="00B0485F">
        <w:t>There was a statistically significant difference in the number of women objectively cured</w:t>
      </w:r>
      <w:r w:rsidR="00AC4DB9">
        <w:t>,</w:t>
      </w:r>
      <w:r w:rsidRPr="00B0485F">
        <w:t xml:space="preserve"> favouring </w:t>
      </w:r>
      <w:r w:rsidR="007A4927">
        <w:t>MUS</w:t>
      </w:r>
      <w:r w:rsidRPr="00B0485F">
        <w:t xml:space="preserve"> over </w:t>
      </w:r>
      <w:proofErr w:type="spellStart"/>
      <w:r w:rsidRPr="00B0485F">
        <w:t>colposuspension</w:t>
      </w:r>
      <w:proofErr w:type="spellEnd"/>
      <w:r w:rsidRPr="00B0485F">
        <w:t xml:space="preserve"> in both the short</w:t>
      </w:r>
      <w:r w:rsidR="006D3D97">
        <w:t>-term</w:t>
      </w:r>
      <w:r w:rsidRPr="00B0485F">
        <w:t xml:space="preserve"> (</w:t>
      </w:r>
      <w:r w:rsidR="005F4BF4">
        <w:t>5</w:t>
      </w:r>
      <w:r w:rsidR="009643F4">
        <w:t xml:space="preserve"> </w:t>
      </w:r>
      <w:r w:rsidR="005F4BF4">
        <w:t>RCTs</w:t>
      </w:r>
      <w:r w:rsidR="003207E3">
        <w:t>;</w:t>
      </w:r>
      <w:r w:rsidR="009643F4">
        <w:t xml:space="preserve"> </w:t>
      </w:r>
      <w:r w:rsidRPr="00B0485F">
        <w:t>RR 0.88</w:t>
      </w:r>
      <w:r w:rsidR="003207E3">
        <w:t>,</w:t>
      </w:r>
      <w:r w:rsidRPr="00B0485F">
        <w:t xml:space="preserve"> 95% CI 0.8 to 0.96) and medium</w:t>
      </w:r>
      <w:r w:rsidR="006D3D97">
        <w:t>-term</w:t>
      </w:r>
      <w:r w:rsidRPr="00B0485F">
        <w:t xml:space="preserve"> (</w:t>
      </w:r>
      <w:r w:rsidR="005F4BF4">
        <w:t>7</w:t>
      </w:r>
      <w:r w:rsidR="00DD73C3">
        <w:t xml:space="preserve"> RCT</w:t>
      </w:r>
      <w:r w:rsidR="005F4BF4">
        <w:t>s</w:t>
      </w:r>
      <w:r w:rsidR="003207E3">
        <w:t>;</w:t>
      </w:r>
      <w:r w:rsidR="00DD73C3">
        <w:t xml:space="preserve"> </w:t>
      </w:r>
      <w:r w:rsidRPr="00B0485F">
        <w:t>RR 0.84</w:t>
      </w:r>
      <w:r w:rsidR="003207E3">
        <w:t>,</w:t>
      </w:r>
      <w:r w:rsidRPr="00B0485F">
        <w:t xml:space="preserve"> 95% CI 0.74 to 0.95) (very low to low quality evidence). This difference, however, was not clinically </w:t>
      </w:r>
      <w:r w:rsidR="005819D2">
        <w:t>important</w:t>
      </w:r>
      <w:r w:rsidRPr="00B0485F">
        <w:t>.</w:t>
      </w:r>
    </w:p>
    <w:p w14:paraId="180DF3A7" w14:textId="30669ED2" w:rsidR="00927E27" w:rsidRPr="00B0485F" w:rsidRDefault="00927E27" w:rsidP="00927E27">
      <w:pPr>
        <w:pStyle w:val="BodyText"/>
      </w:pPr>
      <w:r w:rsidRPr="00B0485F">
        <w:t xml:space="preserve">There was no clinically important difference </w:t>
      </w:r>
      <w:r w:rsidR="00122DB4" w:rsidRPr="00B0485F">
        <w:t xml:space="preserve">between </w:t>
      </w:r>
      <w:proofErr w:type="spellStart"/>
      <w:r w:rsidR="00122DB4" w:rsidRPr="00B0485F">
        <w:t>colposuspension</w:t>
      </w:r>
      <w:proofErr w:type="spellEnd"/>
      <w:r w:rsidR="00122DB4" w:rsidRPr="00B0485F">
        <w:t xml:space="preserve"> and </w:t>
      </w:r>
      <w:r w:rsidR="00122DB4">
        <w:t>MUS</w:t>
      </w:r>
      <w:r w:rsidR="00122DB4" w:rsidRPr="00B0485F">
        <w:t xml:space="preserve"> </w:t>
      </w:r>
      <w:r w:rsidRPr="00B0485F">
        <w:t>in the number of women subjectively cured in the short</w:t>
      </w:r>
      <w:r w:rsidR="00122DB4">
        <w:t>-term</w:t>
      </w:r>
      <w:r w:rsidR="00D630B9">
        <w:t xml:space="preserve"> (</w:t>
      </w:r>
      <w:r w:rsidR="002F34C7">
        <w:t>seven RCTs)</w:t>
      </w:r>
      <w:r w:rsidRPr="00B0485F">
        <w:t>, medium</w:t>
      </w:r>
      <w:r w:rsidR="00122DB4">
        <w:t>-term</w:t>
      </w:r>
      <w:r w:rsidRPr="00B0485F">
        <w:t xml:space="preserve"> </w:t>
      </w:r>
      <w:r w:rsidR="002F34C7">
        <w:t>(five RCTs)</w:t>
      </w:r>
      <w:r w:rsidRPr="00B0485F">
        <w:t xml:space="preserve"> or long</w:t>
      </w:r>
      <w:r w:rsidR="00122DB4">
        <w:t>-term</w:t>
      </w:r>
      <w:r w:rsidR="00D630B9">
        <w:t xml:space="preserve"> (one RCT)</w:t>
      </w:r>
      <w:r w:rsidRPr="00B0485F">
        <w:t xml:space="preserve"> (very low to low quality evidence).</w:t>
      </w:r>
    </w:p>
    <w:p w14:paraId="68BA0BEF" w14:textId="1BE57BE6" w:rsidR="00C548B2" w:rsidRPr="00B0485F" w:rsidRDefault="00C548B2" w:rsidP="00C548B2">
      <w:pPr>
        <w:pStyle w:val="Heading6"/>
      </w:pPr>
      <w:r w:rsidRPr="00B0485F">
        <w:t>Adverse events</w:t>
      </w:r>
    </w:p>
    <w:p w14:paraId="43E7E74D" w14:textId="6018068C" w:rsidR="00A533AF" w:rsidRPr="00B0485F" w:rsidRDefault="00A533AF" w:rsidP="00A533AF">
      <w:pPr>
        <w:pStyle w:val="BodyText"/>
      </w:pPr>
      <w:r w:rsidRPr="00B0485F">
        <w:t xml:space="preserve">Perioperative bladder injury was more prevalent with </w:t>
      </w:r>
      <w:r w:rsidR="007431D6">
        <w:t>MUS</w:t>
      </w:r>
      <w:r w:rsidRPr="00B0485F">
        <w:t xml:space="preserve"> compared to </w:t>
      </w:r>
      <w:proofErr w:type="spellStart"/>
      <w:r w:rsidRPr="00B0485F">
        <w:t>colposuspension</w:t>
      </w:r>
      <w:proofErr w:type="spellEnd"/>
      <w:r w:rsidRPr="00B0485F">
        <w:t xml:space="preserve"> (RR 0.23</w:t>
      </w:r>
      <w:r w:rsidR="003207E3">
        <w:t>,</w:t>
      </w:r>
      <w:r w:rsidRPr="00B0485F">
        <w:t xml:space="preserve"> 95% CI 0.1 to 0.51)</w:t>
      </w:r>
      <w:r w:rsidR="00173F4C" w:rsidRPr="00B0485F">
        <w:t>. This finding was</w:t>
      </w:r>
      <w:r w:rsidRPr="00B0485F">
        <w:t xml:space="preserve"> based on low quality evidence from 11 RCTs.</w:t>
      </w:r>
    </w:p>
    <w:p w14:paraId="657C4E25" w14:textId="15B73485" w:rsidR="00613993" w:rsidRPr="00B0485F" w:rsidRDefault="0009028E" w:rsidP="00C548B2">
      <w:pPr>
        <w:pStyle w:val="BodyText"/>
      </w:pPr>
      <w:r w:rsidRPr="00B0485F">
        <w:t xml:space="preserve">There were no clinically </w:t>
      </w:r>
      <w:r w:rsidR="00547ED1">
        <w:t>important</w:t>
      </w:r>
      <w:r w:rsidRPr="00B0485F">
        <w:t xml:space="preserve"> differences </w:t>
      </w:r>
      <w:r w:rsidR="00BF4287" w:rsidRPr="00B0485F">
        <w:t xml:space="preserve">between </w:t>
      </w:r>
      <w:proofErr w:type="spellStart"/>
      <w:r w:rsidR="00BF4287" w:rsidRPr="00B0485F">
        <w:t>colposuspension</w:t>
      </w:r>
      <w:proofErr w:type="spellEnd"/>
      <w:r w:rsidR="00BF4287" w:rsidRPr="00B0485F">
        <w:t xml:space="preserve"> and </w:t>
      </w:r>
      <w:r w:rsidR="007431D6">
        <w:t>MUS</w:t>
      </w:r>
      <w:r w:rsidR="00BF4287" w:rsidRPr="00B0485F">
        <w:t xml:space="preserve"> </w:t>
      </w:r>
      <w:r w:rsidRPr="00B0485F">
        <w:t xml:space="preserve">in </w:t>
      </w:r>
      <w:r w:rsidR="00314233" w:rsidRPr="00B0485F">
        <w:t xml:space="preserve">the number of women with </w:t>
      </w:r>
      <w:r w:rsidR="003A161F" w:rsidRPr="00B0485F">
        <w:t>sever</w:t>
      </w:r>
      <w:r w:rsidR="00314233" w:rsidRPr="00B0485F">
        <w:t>e</w:t>
      </w:r>
      <w:r w:rsidR="003A161F" w:rsidRPr="00B0485F">
        <w:t xml:space="preserve"> bleeding requiring blood transfusion</w:t>
      </w:r>
      <w:r w:rsidR="003C3295" w:rsidRPr="00B0485F">
        <w:t xml:space="preserve"> during surgery</w:t>
      </w:r>
      <w:r w:rsidR="00450DBC">
        <w:t xml:space="preserve"> (three RCTs)</w:t>
      </w:r>
      <w:r w:rsidR="003C3295" w:rsidRPr="00B0485F">
        <w:t>,</w:t>
      </w:r>
      <w:r w:rsidR="00314233" w:rsidRPr="00B0485F">
        <w:t xml:space="preserve"> or</w:t>
      </w:r>
      <w:r w:rsidR="00072733" w:rsidRPr="00B0485F">
        <w:t xml:space="preserve"> </w:t>
      </w:r>
      <w:r w:rsidR="00313EE6" w:rsidRPr="00B0485F">
        <w:t xml:space="preserve">the number of women with </w:t>
      </w:r>
      <w:r w:rsidR="00072733" w:rsidRPr="00B0485F">
        <w:t>bowel injury</w:t>
      </w:r>
      <w:r w:rsidR="00314233" w:rsidRPr="00B0485F">
        <w:t xml:space="preserve"> </w:t>
      </w:r>
      <w:r w:rsidR="00313EE6" w:rsidRPr="00B0485F">
        <w:t>(</w:t>
      </w:r>
      <w:r w:rsidR="00E14A76">
        <w:t>one RCT)</w:t>
      </w:r>
      <w:r w:rsidR="00314233" w:rsidRPr="00B0485F">
        <w:t xml:space="preserve"> </w:t>
      </w:r>
      <w:r w:rsidR="00313EE6" w:rsidRPr="00B0485F">
        <w:t xml:space="preserve">(very </w:t>
      </w:r>
      <w:proofErr w:type="gramStart"/>
      <w:r w:rsidR="00313EE6" w:rsidRPr="00B0485F">
        <w:t>low quality</w:t>
      </w:r>
      <w:proofErr w:type="gramEnd"/>
      <w:r w:rsidR="00E824C3" w:rsidRPr="00B0485F">
        <w:t xml:space="preserve"> evidence</w:t>
      </w:r>
      <w:r w:rsidR="00313EE6" w:rsidRPr="00B0485F">
        <w:t>).</w:t>
      </w:r>
    </w:p>
    <w:p w14:paraId="375B775D" w14:textId="5102B1CF" w:rsidR="00C548B2" w:rsidRPr="00B0485F" w:rsidRDefault="00C548B2" w:rsidP="00C548B2">
      <w:pPr>
        <w:pStyle w:val="Heading6"/>
      </w:pPr>
      <w:r w:rsidRPr="00B0485F">
        <w:t>Complications</w:t>
      </w:r>
    </w:p>
    <w:p w14:paraId="73C82E3B" w14:textId="7D95A3A8" w:rsidR="00A533AF" w:rsidRPr="00B0485F" w:rsidRDefault="00BA0A8F" w:rsidP="00A533AF">
      <w:pPr>
        <w:pStyle w:val="BodyText"/>
      </w:pPr>
      <w:r>
        <w:t>POP</w:t>
      </w:r>
      <w:r w:rsidR="00155A27" w:rsidRPr="00B0485F">
        <w:t xml:space="preserve"> occurred more frequently </w:t>
      </w:r>
      <w:r w:rsidR="000E6FAF" w:rsidRPr="00B0485F">
        <w:t xml:space="preserve">in the medium-term </w:t>
      </w:r>
      <w:r w:rsidR="008005BC" w:rsidRPr="00B0485F">
        <w:t xml:space="preserve">in women who had undergone </w:t>
      </w:r>
      <w:proofErr w:type="spellStart"/>
      <w:r w:rsidR="008005BC" w:rsidRPr="00B0485F">
        <w:t>colposuspension</w:t>
      </w:r>
      <w:proofErr w:type="spellEnd"/>
      <w:r w:rsidR="008005BC" w:rsidRPr="00B0485F">
        <w:t xml:space="preserve"> compared to </w:t>
      </w:r>
      <w:r w:rsidR="00C96B0D">
        <w:t>MUS</w:t>
      </w:r>
      <w:r w:rsidR="008005BC" w:rsidRPr="00B0485F">
        <w:t xml:space="preserve"> </w:t>
      </w:r>
      <w:r w:rsidR="009E2A5B" w:rsidRPr="00B0485F">
        <w:t>(</w:t>
      </w:r>
      <w:r w:rsidR="00772F30">
        <w:t>3 RCTs</w:t>
      </w:r>
      <w:r w:rsidR="00513D5C">
        <w:t>;</w:t>
      </w:r>
      <w:r w:rsidR="00772F30">
        <w:t xml:space="preserve"> </w:t>
      </w:r>
      <w:r w:rsidR="009E2A5B" w:rsidRPr="00B0485F">
        <w:t>RR 1.64</w:t>
      </w:r>
      <w:r w:rsidR="00513D5C">
        <w:t>,</w:t>
      </w:r>
      <w:r w:rsidR="009E2A5B" w:rsidRPr="00B0485F">
        <w:t xml:space="preserve"> 95% CI </w:t>
      </w:r>
      <w:r w:rsidR="00E63383" w:rsidRPr="00B0485F">
        <w:t>1.1 to 2.24)</w:t>
      </w:r>
      <w:r w:rsidR="00064CE4" w:rsidRPr="00B0485F">
        <w:t xml:space="preserve"> </w:t>
      </w:r>
      <w:r w:rsidR="00527303" w:rsidRPr="00B0485F">
        <w:t>(low quality evidence</w:t>
      </w:r>
      <w:r w:rsidR="00F66E35" w:rsidRPr="00B0485F">
        <w:t>).</w:t>
      </w:r>
    </w:p>
    <w:p w14:paraId="1812FAEB" w14:textId="659C137F" w:rsidR="007662FF" w:rsidRPr="00B0485F" w:rsidRDefault="008C47E9" w:rsidP="00E27BA0">
      <w:pPr>
        <w:pStyle w:val="BodyText"/>
      </w:pPr>
      <w:r w:rsidRPr="00B07A06">
        <w:t xml:space="preserve">There were no clinically </w:t>
      </w:r>
      <w:r w:rsidR="001F5E7B" w:rsidRPr="00B07A06">
        <w:t>important</w:t>
      </w:r>
      <w:r w:rsidRPr="00B07A06">
        <w:t xml:space="preserve"> differences between </w:t>
      </w:r>
      <w:proofErr w:type="spellStart"/>
      <w:r w:rsidRPr="00B07A06">
        <w:t>colposuspension</w:t>
      </w:r>
      <w:proofErr w:type="spellEnd"/>
      <w:r w:rsidRPr="00B07A06">
        <w:t xml:space="preserve"> and </w:t>
      </w:r>
      <w:r w:rsidR="0048208B" w:rsidRPr="00B07A06">
        <w:t>MUS</w:t>
      </w:r>
      <w:r w:rsidRPr="00B07A06">
        <w:t xml:space="preserve"> in the number of women with </w:t>
      </w:r>
      <w:r w:rsidR="00703A52" w:rsidRPr="002D5A54">
        <w:t>infection in the short</w:t>
      </w:r>
      <w:r w:rsidR="00D51E41">
        <w:t>-term</w:t>
      </w:r>
      <w:r w:rsidR="00703A52" w:rsidRPr="002D5A54">
        <w:t xml:space="preserve"> (two RCTs) or medium</w:t>
      </w:r>
      <w:r w:rsidR="00D51E41">
        <w:t>-term</w:t>
      </w:r>
      <w:r w:rsidR="00703A52" w:rsidRPr="002D5A54">
        <w:t xml:space="preserve"> (four RCTs)</w:t>
      </w:r>
      <w:r w:rsidR="00703A52" w:rsidRPr="000F5C13">
        <w:t xml:space="preserve">, </w:t>
      </w:r>
      <w:r w:rsidR="00A159AC" w:rsidRPr="00B07A06">
        <w:t xml:space="preserve">pain </w:t>
      </w:r>
      <w:r w:rsidR="00D97A31" w:rsidRPr="00B07A06">
        <w:t xml:space="preserve">in the </w:t>
      </w:r>
      <w:r w:rsidR="0062334E" w:rsidRPr="00B07A06">
        <w:t>short</w:t>
      </w:r>
      <w:r w:rsidR="00D97A31" w:rsidRPr="00B07A06">
        <w:t xml:space="preserve"> </w:t>
      </w:r>
      <w:r w:rsidR="0062334E" w:rsidRPr="00B07A06">
        <w:t>or medium</w:t>
      </w:r>
      <w:r w:rsidR="007F181F">
        <w:t>-</w:t>
      </w:r>
      <w:r w:rsidR="0062334E" w:rsidRPr="00B07A06">
        <w:t>term</w:t>
      </w:r>
      <w:r w:rsidR="00B07A06" w:rsidRPr="00B07A06">
        <w:t xml:space="preserve"> (</w:t>
      </w:r>
      <w:r w:rsidR="00C533BF">
        <w:t>two</w:t>
      </w:r>
      <w:r w:rsidR="00B07A06" w:rsidRPr="00B07A06">
        <w:t xml:space="preserve"> RCTs)</w:t>
      </w:r>
      <w:r w:rsidR="0062334E" w:rsidRPr="00B07A06">
        <w:t xml:space="preserve">, </w:t>
      </w:r>
      <w:r w:rsidR="00EA6FFC" w:rsidRPr="00C533BF">
        <w:t xml:space="preserve">mesh extrusion </w:t>
      </w:r>
      <w:r w:rsidR="00D97A31" w:rsidRPr="00C533BF">
        <w:t xml:space="preserve">in the </w:t>
      </w:r>
      <w:r w:rsidR="00EA6FFC" w:rsidRPr="00C533BF">
        <w:t>short</w:t>
      </w:r>
      <w:r w:rsidR="006829C3">
        <w:t>-term</w:t>
      </w:r>
      <w:r w:rsidR="00EA6FFC" w:rsidRPr="00C533BF">
        <w:t xml:space="preserve"> </w:t>
      </w:r>
      <w:r w:rsidR="00D97A31" w:rsidRPr="00C533BF">
        <w:t>(</w:t>
      </w:r>
      <w:r w:rsidR="00C533BF" w:rsidRPr="00C533BF">
        <w:t>two RCTs</w:t>
      </w:r>
      <w:r w:rsidR="00D97A31" w:rsidRPr="00C533BF">
        <w:t xml:space="preserve">) </w:t>
      </w:r>
      <w:r w:rsidR="000A1B1B" w:rsidRPr="00C533BF">
        <w:t>or</w:t>
      </w:r>
      <w:r w:rsidR="00EA6FFC" w:rsidRPr="00C533BF">
        <w:t xml:space="preserve"> med</w:t>
      </w:r>
      <w:r w:rsidR="000A1B1B" w:rsidRPr="00C533BF">
        <w:t>ium</w:t>
      </w:r>
      <w:r w:rsidR="006829C3">
        <w:t>-term</w:t>
      </w:r>
      <w:r w:rsidR="00EA6FFC" w:rsidRPr="00C533BF">
        <w:t xml:space="preserve"> </w:t>
      </w:r>
      <w:r w:rsidR="007632F9" w:rsidRPr="00C533BF">
        <w:t>(</w:t>
      </w:r>
      <w:r w:rsidR="00C533BF" w:rsidRPr="00C533BF">
        <w:t>five RCTs</w:t>
      </w:r>
      <w:r w:rsidR="007632F9" w:rsidRPr="00C533BF">
        <w:t>)</w:t>
      </w:r>
      <w:r w:rsidR="00EA6FFC" w:rsidRPr="00B9275D">
        <w:t xml:space="preserve">, </w:t>
      </w:r>
      <w:r w:rsidR="00FC6CEE" w:rsidRPr="00B9275D">
        <w:t xml:space="preserve">the </w:t>
      </w:r>
      <w:r w:rsidR="007058FB" w:rsidRPr="00B9275D">
        <w:t>need for catheteri</w:t>
      </w:r>
      <w:r w:rsidR="00CE303B" w:rsidRPr="00B9275D">
        <w:t>s</w:t>
      </w:r>
      <w:r w:rsidR="007058FB" w:rsidRPr="00B9275D">
        <w:t xml:space="preserve">ation </w:t>
      </w:r>
      <w:r w:rsidR="00D97A31" w:rsidRPr="00B9275D">
        <w:t xml:space="preserve">in the </w:t>
      </w:r>
      <w:r w:rsidR="007058FB" w:rsidRPr="00B9275D">
        <w:t xml:space="preserve">short </w:t>
      </w:r>
      <w:r w:rsidR="003A73A6" w:rsidRPr="00B9275D">
        <w:t>or</w:t>
      </w:r>
      <w:r w:rsidR="007058FB" w:rsidRPr="00B9275D">
        <w:t xml:space="preserve"> med</w:t>
      </w:r>
      <w:r w:rsidR="00FC6CEE" w:rsidRPr="00B9275D">
        <w:t>ium</w:t>
      </w:r>
      <w:r w:rsidR="007F181F">
        <w:t>-</w:t>
      </w:r>
      <w:r w:rsidR="007058FB" w:rsidRPr="00B9275D">
        <w:t>term</w:t>
      </w:r>
      <w:r w:rsidR="00B9275D" w:rsidRPr="00B9275D">
        <w:t xml:space="preserve"> (three RCTs</w:t>
      </w:r>
      <w:r w:rsidR="00B9275D" w:rsidRPr="002D5A54">
        <w:t>)</w:t>
      </w:r>
      <w:r w:rsidR="007058FB" w:rsidRPr="002D5A54">
        <w:t xml:space="preserve">, </w:t>
      </w:r>
      <w:r w:rsidR="002A4E8C" w:rsidRPr="000F5C13">
        <w:t xml:space="preserve">de novo urgency </w:t>
      </w:r>
      <w:r w:rsidR="00D97A31" w:rsidRPr="000F5C13">
        <w:t xml:space="preserve">in the </w:t>
      </w:r>
      <w:r w:rsidR="002A4E8C" w:rsidRPr="000F5C13">
        <w:t>short</w:t>
      </w:r>
      <w:r w:rsidR="00BF3539">
        <w:t>-term</w:t>
      </w:r>
      <w:r w:rsidR="00D97A31" w:rsidRPr="000F5C13">
        <w:t xml:space="preserve"> (</w:t>
      </w:r>
      <w:r w:rsidR="000F5C13" w:rsidRPr="000F5C13">
        <w:t>one RCT</w:t>
      </w:r>
      <w:r w:rsidR="00D97A31" w:rsidRPr="000F5C13">
        <w:t>)</w:t>
      </w:r>
      <w:r w:rsidR="00CD3DDA" w:rsidRPr="000F5C13">
        <w:t xml:space="preserve"> </w:t>
      </w:r>
      <w:r w:rsidR="003A73A6" w:rsidRPr="000F5C13">
        <w:t>or</w:t>
      </w:r>
      <w:r w:rsidR="00CD3DDA" w:rsidRPr="000F5C13">
        <w:t xml:space="preserve"> med</w:t>
      </w:r>
      <w:r w:rsidR="00FC6CEE" w:rsidRPr="000F5C13">
        <w:t>ium</w:t>
      </w:r>
      <w:r w:rsidR="00BF3539">
        <w:t>-term</w:t>
      </w:r>
      <w:r w:rsidR="002A4E8C" w:rsidRPr="000F5C13">
        <w:t xml:space="preserve"> </w:t>
      </w:r>
      <w:r w:rsidR="00B83A2C" w:rsidRPr="000F5C13">
        <w:t>(</w:t>
      </w:r>
      <w:r w:rsidR="000F5C13" w:rsidRPr="000F5C13">
        <w:t>three RCTs</w:t>
      </w:r>
      <w:r w:rsidR="00B83A2C" w:rsidRPr="000F5C13">
        <w:t>)</w:t>
      </w:r>
      <w:r w:rsidR="007632F9" w:rsidRPr="000F5C13">
        <w:t>,</w:t>
      </w:r>
      <w:r w:rsidR="007662FF" w:rsidRPr="000F5C13">
        <w:t xml:space="preserve"> </w:t>
      </w:r>
      <w:r w:rsidR="007662FF" w:rsidRPr="00442030">
        <w:t>or</w:t>
      </w:r>
      <w:r w:rsidR="002A4E8C" w:rsidRPr="00442030">
        <w:t xml:space="preserve"> </w:t>
      </w:r>
      <w:r w:rsidR="00EF227A" w:rsidRPr="00442030">
        <w:t>de novo urge incontinence</w:t>
      </w:r>
      <w:r w:rsidR="008610F0" w:rsidRPr="00442030">
        <w:t xml:space="preserve"> </w:t>
      </w:r>
      <w:r w:rsidR="007632F9" w:rsidRPr="00442030">
        <w:t xml:space="preserve">in the </w:t>
      </w:r>
      <w:r w:rsidR="008610F0" w:rsidRPr="00442030">
        <w:t>short</w:t>
      </w:r>
      <w:r w:rsidR="00BF3539">
        <w:t>-term</w:t>
      </w:r>
      <w:r w:rsidR="007632F9" w:rsidRPr="00442030">
        <w:t xml:space="preserve"> (</w:t>
      </w:r>
      <w:r w:rsidR="00442030" w:rsidRPr="00442030">
        <w:t>two RCTs</w:t>
      </w:r>
      <w:r w:rsidR="007632F9" w:rsidRPr="00442030">
        <w:t>)</w:t>
      </w:r>
      <w:r w:rsidR="008610F0" w:rsidRPr="00442030">
        <w:t xml:space="preserve"> </w:t>
      </w:r>
      <w:r w:rsidR="003A73A6" w:rsidRPr="00442030">
        <w:t>or</w:t>
      </w:r>
      <w:r w:rsidR="008610F0" w:rsidRPr="00442030">
        <w:t xml:space="preserve"> med</w:t>
      </w:r>
      <w:r w:rsidR="00FC6CEE" w:rsidRPr="00442030">
        <w:t>ium</w:t>
      </w:r>
      <w:r w:rsidR="00BF3539">
        <w:t>-term</w:t>
      </w:r>
      <w:r w:rsidR="008610F0" w:rsidRPr="00442030">
        <w:t xml:space="preserve"> </w:t>
      </w:r>
      <w:r w:rsidR="007632F9" w:rsidRPr="00442030">
        <w:t>(</w:t>
      </w:r>
      <w:r w:rsidR="00442030" w:rsidRPr="00442030">
        <w:t>three RCTs</w:t>
      </w:r>
      <w:r w:rsidR="007632F9" w:rsidRPr="00442030">
        <w:t xml:space="preserve">) </w:t>
      </w:r>
      <w:r w:rsidR="00F075D2" w:rsidRPr="00442030">
        <w:t>(very low quality evidence).</w:t>
      </w:r>
    </w:p>
    <w:p w14:paraId="40421842" w14:textId="6BE7A339" w:rsidR="00AD3FA2" w:rsidRDefault="00FD3487" w:rsidP="00E27BA0">
      <w:pPr>
        <w:pStyle w:val="BodyText"/>
      </w:pPr>
      <w:r w:rsidRPr="00B0485F">
        <w:t>There were no occurrences of</w:t>
      </w:r>
      <w:r w:rsidR="00417D4A" w:rsidRPr="00B0485F">
        <w:t xml:space="preserve"> wound complications </w:t>
      </w:r>
      <w:r w:rsidR="009E72DA">
        <w:t>(</w:t>
      </w:r>
      <w:r w:rsidR="00417266">
        <w:t>one RCT</w:t>
      </w:r>
      <w:r w:rsidR="00417D4A" w:rsidRPr="00B0485F">
        <w:t>)</w:t>
      </w:r>
      <w:r w:rsidRPr="00B0485F">
        <w:t xml:space="preserve"> or </w:t>
      </w:r>
      <w:r w:rsidR="00AD3FA2" w:rsidRPr="00B0485F">
        <w:t>fistula</w:t>
      </w:r>
      <w:r w:rsidR="004E7D60">
        <w:t xml:space="preserve"> (one RCT)</w:t>
      </w:r>
      <w:r w:rsidR="00DF6B7F" w:rsidRPr="00B0485F">
        <w:t xml:space="preserve"> </w:t>
      </w:r>
      <w:r w:rsidR="00AD0A4E">
        <w:t xml:space="preserve">in the medium-term </w:t>
      </w:r>
      <w:r w:rsidR="00A166B3" w:rsidRPr="00B0485F">
        <w:t xml:space="preserve">for </w:t>
      </w:r>
      <w:proofErr w:type="spellStart"/>
      <w:r w:rsidR="00CD2807" w:rsidRPr="00B0485F">
        <w:t>colposuspension</w:t>
      </w:r>
      <w:proofErr w:type="spellEnd"/>
      <w:r w:rsidR="00CD2807" w:rsidRPr="00B0485F">
        <w:t xml:space="preserve"> or </w:t>
      </w:r>
      <w:r w:rsidR="00A35528">
        <w:t>MUS</w:t>
      </w:r>
      <w:r w:rsidR="00923FCC" w:rsidRPr="00B0485F">
        <w:t>.</w:t>
      </w:r>
    </w:p>
    <w:p w14:paraId="576B6822" w14:textId="485CAC9B" w:rsidR="009D0CEE" w:rsidRPr="00B0485F" w:rsidRDefault="009F285D" w:rsidP="009F285D">
      <w:pPr>
        <w:pStyle w:val="Heading6"/>
      </w:pPr>
      <w:r w:rsidRPr="00B0485F">
        <w:lastRenderedPageBreak/>
        <w:t>Patient</w:t>
      </w:r>
      <w:r w:rsidR="00312F15" w:rsidRPr="00B0485F">
        <w:t xml:space="preserve"> satisfaction/patient-reported improvement</w:t>
      </w:r>
    </w:p>
    <w:p w14:paraId="60862341" w14:textId="306D9FBE" w:rsidR="00312F15" w:rsidRPr="00B0485F" w:rsidRDefault="00FD1565" w:rsidP="00312F15">
      <w:pPr>
        <w:pStyle w:val="BodyText"/>
      </w:pPr>
      <w:r w:rsidRPr="00B0485F">
        <w:t xml:space="preserve">There were no clinically </w:t>
      </w:r>
      <w:r w:rsidR="00106789" w:rsidRPr="00B0485F">
        <w:t xml:space="preserve">important </w:t>
      </w:r>
      <w:r w:rsidR="004D24D0" w:rsidRPr="00B0485F">
        <w:t>differences in patient-reported improvement in continence status</w:t>
      </w:r>
      <w:r w:rsidR="00255C2A" w:rsidRPr="00B0485F">
        <w:t xml:space="preserve"> </w:t>
      </w:r>
      <w:r w:rsidR="00191BAD" w:rsidRPr="00B0485F">
        <w:t xml:space="preserve">between </w:t>
      </w:r>
      <w:proofErr w:type="spellStart"/>
      <w:r w:rsidR="00191BAD" w:rsidRPr="00B0485F">
        <w:t>colposuspension</w:t>
      </w:r>
      <w:proofErr w:type="spellEnd"/>
      <w:r w:rsidR="00191BAD" w:rsidRPr="00B0485F">
        <w:t xml:space="preserve"> and </w:t>
      </w:r>
      <w:r w:rsidR="00A35528">
        <w:t>MUS</w:t>
      </w:r>
      <w:r w:rsidR="0076491B" w:rsidRPr="00B0485F">
        <w:t xml:space="preserve"> in the medium</w:t>
      </w:r>
      <w:r w:rsidR="004965F7">
        <w:t>-term</w:t>
      </w:r>
      <w:r w:rsidR="00C1142C">
        <w:t xml:space="preserve"> (five RCTs</w:t>
      </w:r>
      <w:r w:rsidR="00C45ADF">
        <w:t>, low quality evidence</w:t>
      </w:r>
      <w:r w:rsidR="00C1142C">
        <w:t>)</w:t>
      </w:r>
      <w:r w:rsidR="0076491B" w:rsidRPr="00B0485F">
        <w:t xml:space="preserve"> or long</w:t>
      </w:r>
      <w:r w:rsidR="004965F7">
        <w:t>-term</w:t>
      </w:r>
      <w:r w:rsidR="00C1142C">
        <w:t xml:space="preserve"> (one RCT</w:t>
      </w:r>
      <w:r w:rsidR="00C45ADF">
        <w:t xml:space="preserve">, </w:t>
      </w:r>
      <w:r w:rsidR="00874E94">
        <w:t xml:space="preserve">very </w:t>
      </w:r>
      <w:proofErr w:type="gramStart"/>
      <w:r w:rsidR="00874E94">
        <w:t>low quality</w:t>
      </w:r>
      <w:proofErr w:type="gramEnd"/>
      <w:r w:rsidR="00874E94">
        <w:t xml:space="preserve"> evidence</w:t>
      </w:r>
      <w:r w:rsidR="00C1142C">
        <w:t>)</w:t>
      </w:r>
      <w:r w:rsidR="0076491B" w:rsidRPr="00B0485F">
        <w:t xml:space="preserve">. </w:t>
      </w:r>
      <w:r w:rsidR="00EF6202" w:rsidRPr="00B0485F">
        <w:t>Whil</w:t>
      </w:r>
      <w:r w:rsidR="004965F7">
        <w:t>e</w:t>
      </w:r>
      <w:r w:rsidR="00EF6202" w:rsidRPr="00B0485F">
        <w:t xml:space="preserve"> the </w:t>
      </w:r>
      <w:r w:rsidR="005E5C04" w:rsidRPr="00B0485F">
        <w:t>medium</w:t>
      </w:r>
      <w:r w:rsidR="00EF6202" w:rsidRPr="00B0485F">
        <w:t xml:space="preserve">-term </w:t>
      </w:r>
      <w:r w:rsidR="00C4692D" w:rsidRPr="00B0485F">
        <w:t xml:space="preserve">finding </w:t>
      </w:r>
      <w:r w:rsidR="00D94800" w:rsidRPr="00B0485F">
        <w:t>showed a</w:t>
      </w:r>
      <w:r w:rsidR="00C4692D" w:rsidRPr="00B0485F">
        <w:t xml:space="preserve"> statistically significant </w:t>
      </w:r>
      <w:r w:rsidR="00D94800" w:rsidRPr="00B0485F">
        <w:t xml:space="preserve">difference in favour of </w:t>
      </w:r>
      <w:r w:rsidR="00172C2D">
        <w:t>MUS</w:t>
      </w:r>
      <w:r w:rsidR="00251390" w:rsidRPr="00B0485F">
        <w:t xml:space="preserve"> </w:t>
      </w:r>
      <w:r w:rsidR="00C4692D" w:rsidRPr="00B0485F">
        <w:t>(</w:t>
      </w:r>
      <w:r w:rsidR="00F15BFB" w:rsidRPr="00B0485F">
        <w:t>RR 0.89</w:t>
      </w:r>
      <w:r w:rsidR="00A2104B">
        <w:t>,</w:t>
      </w:r>
      <w:r w:rsidR="00F15BFB" w:rsidRPr="00B0485F">
        <w:t xml:space="preserve"> 95% CI </w:t>
      </w:r>
      <w:r w:rsidR="00E85332" w:rsidRPr="00B0485F">
        <w:t>0.79 to 0.99)</w:t>
      </w:r>
      <w:r w:rsidR="004B0F80" w:rsidRPr="00B0485F">
        <w:t xml:space="preserve">, </w:t>
      </w:r>
      <w:r w:rsidR="001139EE" w:rsidRPr="00B0485F">
        <w:t>the difference</w:t>
      </w:r>
      <w:r w:rsidR="004B0F80" w:rsidRPr="00B0485F">
        <w:t xml:space="preserve"> was not clinically </w:t>
      </w:r>
      <w:r w:rsidR="005819D2">
        <w:t>important</w:t>
      </w:r>
      <w:r w:rsidR="004B0F80" w:rsidRPr="00B0485F">
        <w:t>.</w:t>
      </w:r>
    </w:p>
    <w:p w14:paraId="3B6F839B" w14:textId="553C483A" w:rsidR="00312F15" w:rsidRPr="00B0485F" w:rsidRDefault="00312F15" w:rsidP="00312F15">
      <w:pPr>
        <w:pStyle w:val="Heading6"/>
      </w:pPr>
      <w:r w:rsidRPr="00B0485F">
        <w:t>Repeat surgery</w:t>
      </w:r>
    </w:p>
    <w:p w14:paraId="7B503ABD" w14:textId="4E71BDDC" w:rsidR="00AB000A" w:rsidRPr="00B0485F" w:rsidRDefault="00AB000A" w:rsidP="00AB000A">
      <w:pPr>
        <w:pStyle w:val="BodyText"/>
      </w:pPr>
      <w:r w:rsidRPr="00B0485F">
        <w:t xml:space="preserve">Low quality evidence demonstrated a clinically important difference favouring </w:t>
      </w:r>
      <w:r w:rsidR="00C749C7">
        <w:t>MUS</w:t>
      </w:r>
      <w:r w:rsidRPr="00B0485F">
        <w:t xml:space="preserve"> compared to </w:t>
      </w:r>
      <w:proofErr w:type="spellStart"/>
      <w:r w:rsidRPr="00B0485F">
        <w:t>colposuspension</w:t>
      </w:r>
      <w:proofErr w:type="spellEnd"/>
      <w:r w:rsidRPr="00B0485F">
        <w:t xml:space="preserve"> </w:t>
      </w:r>
      <w:r w:rsidR="00233753" w:rsidRPr="00B0485F">
        <w:t>regarding</w:t>
      </w:r>
      <w:r w:rsidRPr="00B0485F">
        <w:t xml:space="preserve"> the number of women who have repeat surgery for any reason in the medium-term </w:t>
      </w:r>
      <w:r w:rsidR="00CD69EF" w:rsidRPr="00B0485F">
        <w:t xml:space="preserve">following surgery </w:t>
      </w:r>
      <w:r w:rsidRPr="00B0485F">
        <w:rPr>
          <w:rFonts w:cs="Calibri"/>
        </w:rPr>
        <w:t>(</w:t>
      </w:r>
      <w:r w:rsidR="00973EA4">
        <w:rPr>
          <w:rFonts w:cs="Calibri"/>
        </w:rPr>
        <w:t>1 RCT</w:t>
      </w:r>
      <w:r w:rsidR="00CD5515">
        <w:rPr>
          <w:rFonts w:cs="Calibri"/>
        </w:rPr>
        <w:t>;</w:t>
      </w:r>
      <w:r w:rsidR="00973EA4">
        <w:rPr>
          <w:rFonts w:cs="Calibri"/>
        </w:rPr>
        <w:t xml:space="preserve"> </w:t>
      </w:r>
      <w:r w:rsidRPr="00B0485F">
        <w:t>RR 2.66</w:t>
      </w:r>
      <w:r w:rsidR="00CD5515">
        <w:t>,</w:t>
      </w:r>
      <w:r w:rsidRPr="00B0485F">
        <w:t xml:space="preserve"> 95% CI 1.13</w:t>
      </w:r>
      <w:r w:rsidR="00DC6DB3">
        <w:t xml:space="preserve"> to </w:t>
      </w:r>
      <w:r w:rsidRPr="00B0485F">
        <w:t>6.29)</w:t>
      </w:r>
      <w:r w:rsidR="00A30B8A">
        <w:t>.</w:t>
      </w:r>
    </w:p>
    <w:p w14:paraId="33E7AF3C" w14:textId="55AE262D" w:rsidR="009F2701" w:rsidRDefault="005C1973" w:rsidP="00936C13">
      <w:pPr>
        <w:pStyle w:val="BodyText"/>
      </w:pPr>
      <w:r w:rsidRPr="00CB2F56">
        <w:t xml:space="preserve">Based on very </w:t>
      </w:r>
      <w:proofErr w:type="gramStart"/>
      <w:r w:rsidRPr="00CB2F56">
        <w:t>low quality</w:t>
      </w:r>
      <w:proofErr w:type="gramEnd"/>
      <w:r w:rsidRPr="00CB2F56">
        <w:t xml:space="preserve"> evidence, </w:t>
      </w:r>
      <w:r w:rsidR="00316F47" w:rsidRPr="00CB2F56">
        <w:t>there w</w:t>
      </w:r>
      <w:r w:rsidR="00546DF9" w:rsidRPr="00CB2F56">
        <w:t>ere</w:t>
      </w:r>
      <w:r w:rsidR="00316F47" w:rsidRPr="00CB2F56">
        <w:t xml:space="preserve"> </w:t>
      </w:r>
      <w:r w:rsidRPr="00CB2F56">
        <w:t xml:space="preserve">no clinically </w:t>
      </w:r>
      <w:r w:rsidR="007E6ABD" w:rsidRPr="00CB2F56">
        <w:t>important</w:t>
      </w:r>
      <w:r w:rsidRPr="00CB2F56">
        <w:t xml:space="preserve"> difference</w:t>
      </w:r>
      <w:r w:rsidR="00546DF9" w:rsidRPr="00CB2F56">
        <w:t>s</w:t>
      </w:r>
      <w:r w:rsidRPr="00CB2F56">
        <w:t xml:space="preserve"> </w:t>
      </w:r>
      <w:r w:rsidR="00C4227E" w:rsidRPr="00CB2F56">
        <w:t xml:space="preserve">between </w:t>
      </w:r>
      <w:proofErr w:type="spellStart"/>
      <w:r w:rsidR="00B57561" w:rsidRPr="00CB2F56">
        <w:t>c</w:t>
      </w:r>
      <w:r w:rsidR="00B21DA6" w:rsidRPr="00CB2F56">
        <w:t>olposuspension</w:t>
      </w:r>
      <w:proofErr w:type="spellEnd"/>
      <w:r w:rsidR="00B21DA6" w:rsidRPr="00CB2F56">
        <w:t xml:space="preserve"> and </w:t>
      </w:r>
      <w:r w:rsidR="00C749C7" w:rsidRPr="00CB2F56">
        <w:t>MUS</w:t>
      </w:r>
      <w:r w:rsidR="00B21DA6" w:rsidRPr="00CB2F56">
        <w:t xml:space="preserve"> </w:t>
      </w:r>
      <w:r w:rsidR="006D3906" w:rsidRPr="00CB2F56">
        <w:t>in regard to</w:t>
      </w:r>
      <w:r w:rsidR="00046CB0" w:rsidRPr="00CB2F56">
        <w:t xml:space="preserve"> </w:t>
      </w:r>
      <w:r w:rsidR="00B21DA6" w:rsidRPr="00CB2F56">
        <w:t xml:space="preserve">the number of women requiring repeat surgery </w:t>
      </w:r>
      <w:r w:rsidR="006D7878" w:rsidRPr="00CB2F56">
        <w:t xml:space="preserve">for any reason </w:t>
      </w:r>
      <w:r w:rsidR="00174FC6" w:rsidRPr="00CB2F56">
        <w:t xml:space="preserve">in the </w:t>
      </w:r>
      <w:r w:rsidR="006D7878" w:rsidRPr="00CB2F56">
        <w:t>short</w:t>
      </w:r>
      <w:r w:rsidR="007F181F">
        <w:t>-</w:t>
      </w:r>
      <w:r w:rsidR="006D7878" w:rsidRPr="00CB2F56">
        <w:t>term</w:t>
      </w:r>
      <w:r w:rsidR="00174FC6" w:rsidRPr="00CB2F56">
        <w:t xml:space="preserve"> </w:t>
      </w:r>
      <w:r w:rsidR="00166465" w:rsidRPr="00CB2F56">
        <w:t>(</w:t>
      </w:r>
      <w:r w:rsidR="00174FC6" w:rsidRPr="00CB2F56">
        <w:t>two RCTs)</w:t>
      </w:r>
      <w:r w:rsidR="006D7878" w:rsidRPr="00CB2F56">
        <w:t xml:space="preserve">, </w:t>
      </w:r>
      <w:r w:rsidR="00AD49DF" w:rsidRPr="00CB2F56">
        <w:t xml:space="preserve">due to SUI </w:t>
      </w:r>
      <w:r w:rsidR="00174FC6" w:rsidRPr="00CB2F56">
        <w:t xml:space="preserve">in the </w:t>
      </w:r>
      <w:r w:rsidR="00AD49DF" w:rsidRPr="00CB2F56">
        <w:t>medium</w:t>
      </w:r>
      <w:r w:rsidR="00F35CFF">
        <w:t>-term</w:t>
      </w:r>
      <w:r w:rsidR="00AD49DF" w:rsidRPr="00CB2F56">
        <w:t xml:space="preserve"> </w:t>
      </w:r>
      <w:r w:rsidR="00174FC6" w:rsidRPr="00CB2F56">
        <w:t>(</w:t>
      </w:r>
      <w:r w:rsidR="00030CB2" w:rsidRPr="00CB2F56">
        <w:t xml:space="preserve">two RCTs) </w:t>
      </w:r>
      <w:r w:rsidR="00AD49DF" w:rsidRPr="00CB2F56">
        <w:t>or long</w:t>
      </w:r>
      <w:r w:rsidR="007F181F">
        <w:t>-</w:t>
      </w:r>
      <w:r w:rsidR="00AD49DF" w:rsidRPr="00CB2F56">
        <w:t>term</w:t>
      </w:r>
      <w:r w:rsidR="00174FC6" w:rsidRPr="00CB2F56">
        <w:t xml:space="preserve"> (</w:t>
      </w:r>
      <w:r w:rsidR="001F1334" w:rsidRPr="00CB2F56">
        <w:t>one RCT</w:t>
      </w:r>
      <w:r w:rsidR="002F338A" w:rsidRPr="00CB2F56">
        <w:t>)</w:t>
      </w:r>
      <w:r w:rsidR="00AD49DF" w:rsidRPr="00CB2F56">
        <w:t xml:space="preserve">, </w:t>
      </w:r>
      <w:r w:rsidR="00B9629F" w:rsidRPr="00CB2F56">
        <w:t xml:space="preserve">or due to mesh complications </w:t>
      </w:r>
      <w:r w:rsidR="001F1334" w:rsidRPr="00CB2F56">
        <w:t xml:space="preserve">in the </w:t>
      </w:r>
      <w:r w:rsidR="00535A95" w:rsidRPr="00CB2F56">
        <w:t>s</w:t>
      </w:r>
      <w:r w:rsidR="00B9629F" w:rsidRPr="00CB2F56">
        <w:t>hort or long</w:t>
      </w:r>
      <w:r w:rsidR="00F35CFF">
        <w:t>-term</w:t>
      </w:r>
      <w:r w:rsidR="001F1334" w:rsidRPr="00CB2F56">
        <w:t xml:space="preserve"> (</w:t>
      </w:r>
      <w:r w:rsidR="00CB2F56" w:rsidRPr="00CB2F56">
        <w:t>one RCT</w:t>
      </w:r>
      <w:r w:rsidR="006B7237">
        <w:t xml:space="preserve"> each</w:t>
      </w:r>
      <w:r w:rsidR="00535A95" w:rsidRPr="00CB2F56">
        <w:t>)</w:t>
      </w:r>
      <w:r w:rsidR="00B9629F" w:rsidRPr="00CB2F56">
        <w:t>.</w:t>
      </w:r>
    </w:p>
    <w:p w14:paraId="72062758" w14:textId="4FCC3D83" w:rsidR="00C53C5B" w:rsidRPr="00297BB2" w:rsidRDefault="00096FAC" w:rsidP="00C53C5B">
      <w:pPr>
        <w:pStyle w:val="Heading5"/>
      </w:pPr>
      <w:r w:rsidRPr="00297BB2">
        <w:t xml:space="preserve">Autologous rectus fascial sling (pubovaginal sling) versus </w:t>
      </w:r>
      <w:r w:rsidR="00A34D1B">
        <w:t>MUS</w:t>
      </w:r>
    </w:p>
    <w:p w14:paraId="799E95AE" w14:textId="01CBEB75" w:rsidR="009A5529" w:rsidRDefault="00EE0889" w:rsidP="00C53C5B">
      <w:pPr>
        <w:pStyle w:val="BodyText"/>
      </w:pPr>
      <w:r w:rsidRPr="00297BB2">
        <w:t xml:space="preserve">Results </w:t>
      </w:r>
      <w:r w:rsidR="00AE5D59">
        <w:t xml:space="preserve">reported in </w:t>
      </w:r>
      <w:r w:rsidR="002E2967">
        <w:t xml:space="preserve">NICE </w:t>
      </w:r>
      <w:r w:rsidR="00AE5D59">
        <w:t>GRADE tables</w:t>
      </w:r>
      <w:r w:rsidRPr="00297BB2">
        <w:t xml:space="preserve"> compar</w:t>
      </w:r>
      <w:r w:rsidR="002E2967">
        <w:t>ing</w:t>
      </w:r>
      <w:r w:rsidRPr="00297BB2">
        <w:t xml:space="preserve"> autologous rectus fascial sling </w:t>
      </w:r>
      <w:r w:rsidR="00F8616B">
        <w:t>with</w:t>
      </w:r>
      <w:r w:rsidRPr="00297BB2">
        <w:t xml:space="preserve"> synthetic mesh sling could not be </w:t>
      </w:r>
      <w:r w:rsidR="00FD2BC6">
        <w:t>used in their entirety</w:t>
      </w:r>
      <w:r w:rsidRPr="00297BB2">
        <w:t xml:space="preserve"> for this review </w:t>
      </w:r>
      <w:r w:rsidR="00F81748">
        <w:t xml:space="preserve">as </w:t>
      </w:r>
      <w:r w:rsidRPr="00297BB2">
        <w:t xml:space="preserve">three trials </w:t>
      </w:r>
      <w:r w:rsidR="00000646">
        <w:t xml:space="preserve">included </w:t>
      </w:r>
      <w:r w:rsidRPr="00297BB2">
        <w:t>single-incision mini-slings</w:t>
      </w:r>
      <w:r w:rsidR="00D766D3">
        <w:t xml:space="preserve"> as the synthetic mesh sling</w:t>
      </w:r>
      <w:r w:rsidR="00AF48BD" w:rsidRPr="00297BB2">
        <w:t xml:space="preserve">. </w:t>
      </w:r>
      <w:r w:rsidR="00030172">
        <w:t>I</w:t>
      </w:r>
      <w:r w:rsidR="00BC2EBB" w:rsidRPr="00297BB2">
        <w:t xml:space="preserve">t was not </w:t>
      </w:r>
      <w:r w:rsidR="00556163">
        <w:t xml:space="preserve">always </w:t>
      </w:r>
      <w:r w:rsidR="00BC2EBB" w:rsidRPr="00297BB2">
        <w:t xml:space="preserve">possible to </w:t>
      </w:r>
      <w:r w:rsidR="001A531E" w:rsidRPr="00297BB2">
        <w:t xml:space="preserve">ascertain </w:t>
      </w:r>
      <w:r w:rsidR="00F62D9F">
        <w:t xml:space="preserve">from the GRADE tables </w:t>
      </w:r>
      <w:r w:rsidR="001A531E" w:rsidRPr="00297BB2">
        <w:t xml:space="preserve">which </w:t>
      </w:r>
      <w:r w:rsidR="00A75C3B" w:rsidRPr="00297BB2">
        <w:t>meta-analyses</w:t>
      </w:r>
      <w:r w:rsidR="00DC40BB">
        <w:t xml:space="preserve"> the</w:t>
      </w:r>
      <w:r w:rsidR="00030172">
        <w:t>se studies</w:t>
      </w:r>
      <w:r w:rsidR="00DC40BB">
        <w:t xml:space="preserve"> </w:t>
      </w:r>
      <w:r w:rsidR="0089200E">
        <w:t>contributed to</w:t>
      </w:r>
      <w:r w:rsidR="00104D15">
        <w:t>.</w:t>
      </w:r>
      <w:r w:rsidR="00937808">
        <w:t xml:space="preserve"> </w:t>
      </w:r>
      <w:r w:rsidR="00581DDB">
        <w:t>F</w:t>
      </w:r>
      <w:r w:rsidR="00F8112E">
        <w:t xml:space="preserve">indings reported here are </w:t>
      </w:r>
      <w:r w:rsidR="00556163">
        <w:t xml:space="preserve">primarily </w:t>
      </w:r>
      <w:r w:rsidR="00F8112E">
        <w:t xml:space="preserve">based </w:t>
      </w:r>
      <w:r w:rsidR="00C11688">
        <w:t xml:space="preserve">on </w:t>
      </w:r>
      <w:r w:rsidR="00C774A2">
        <w:t xml:space="preserve">interpretation of </w:t>
      </w:r>
      <w:r w:rsidR="00C11688">
        <w:t xml:space="preserve">the forest plots </w:t>
      </w:r>
      <w:r w:rsidR="007845A0">
        <w:t>presented by NICE</w:t>
      </w:r>
      <w:r w:rsidR="00705EF0">
        <w:t xml:space="preserve">, </w:t>
      </w:r>
      <w:r w:rsidR="00054401">
        <w:t xml:space="preserve">in </w:t>
      </w:r>
      <w:r w:rsidR="00E2357D">
        <w:t xml:space="preserve">which </w:t>
      </w:r>
      <w:r w:rsidR="00054401">
        <w:t xml:space="preserve">the excluded studies could be readily </w:t>
      </w:r>
      <w:r w:rsidR="00E2357D">
        <w:t>identified</w:t>
      </w:r>
      <w:r w:rsidR="00F55BA9">
        <w:t>.</w:t>
      </w:r>
      <w:r w:rsidR="00170D09">
        <w:t xml:space="preserve"> </w:t>
      </w:r>
      <w:r w:rsidR="007402D9">
        <w:t xml:space="preserve">Data </w:t>
      </w:r>
      <w:r w:rsidR="00BE3DED">
        <w:t>were</w:t>
      </w:r>
      <w:r w:rsidR="007402D9">
        <w:t xml:space="preserve"> </w:t>
      </w:r>
      <w:r w:rsidR="002164F8">
        <w:t xml:space="preserve">also </w:t>
      </w:r>
      <w:r w:rsidR="007402D9">
        <w:t>drawn from GRADE tables where possible.</w:t>
      </w:r>
    </w:p>
    <w:p w14:paraId="6B367E9E" w14:textId="55B9CBFF" w:rsidR="00170D09" w:rsidRPr="00AA2394" w:rsidRDefault="00A72045" w:rsidP="00170D09">
      <w:pPr>
        <w:pStyle w:val="BodyText"/>
      </w:pPr>
      <w:r>
        <w:t xml:space="preserve">An overview of </w:t>
      </w:r>
      <w:r w:rsidR="007D754B">
        <w:t xml:space="preserve">the </w:t>
      </w:r>
      <w:r>
        <w:t>findings</w:t>
      </w:r>
      <w:r w:rsidR="00170D09">
        <w:t xml:space="preserve"> by outcome and follow-up time </w:t>
      </w:r>
      <w:r>
        <w:t>is provided</w:t>
      </w:r>
      <w:r w:rsidR="00170D09">
        <w:t xml:space="preserve"> in</w:t>
      </w:r>
      <w:r w:rsidR="00437C85">
        <w:t xml:space="preserve"> </w:t>
      </w:r>
      <w:r>
        <w:t xml:space="preserve">Section </w:t>
      </w:r>
      <w:r w:rsidR="002C3AAA">
        <w:fldChar w:fldCharType="begin"/>
      </w:r>
      <w:r w:rsidR="002C3AAA">
        <w:instrText xml:space="preserve"> REF _Ref165620485 \n \h </w:instrText>
      </w:r>
      <w:r w:rsidR="002C3AAA">
        <w:fldChar w:fldCharType="separate"/>
      </w:r>
      <w:r w:rsidR="007105D3">
        <w:t>6.1.2</w:t>
      </w:r>
      <w:r w:rsidR="002C3AAA">
        <w:fldChar w:fldCharType="end"/>
      </w:r>
      <w:r>
        <w:t xml:space="preserve"> </w:t>
      </w:r>
      <w:r w:rsidRPr="00EA26D3">
        <w:t>(</w:t>
      </w:r>
      <w:r w:rsidR="00437C85" w:rsidRPr="00437C85">
        <w:rPr>
          <w:b/>
          <w:bCs/>
        </w:rPr>
        <w:fldChar w:fldCharType="begin"/>
      </w:r>
      <w:r w:rsidR="00437C85" w:rsidRPr="00437C85">
        <w:rPr>
          <w:b/>
          <w:bCs/>
        </w:rPr>
        <w:instrText xml:space="preserve"> REF _Ref133501262 \h </w:instrText>
      </w:r>
      <w:r w:rsidR="00437C85">
        <w:rPr>
          <w:b/>
          <w:bCs/>
        </w:rPr>
        <w:instrText xml:space="preserve"> \* MERGEFORMAT </w:instrText>
      </w:r>
      <w:r w:rsidR="00437C85" w:rsidRPr="00437C85">
        <w:rPr>
          <w:b/>
          <w:bCs/>
        </w:rPr>
      </w:r>
      <w:r w:rsidR="00437C85" w:rsidRPr="00437C85">
        <w:rPr>
          <w:b/>
          <w:bCs/>
        </w:rPr>
        <w:fldChar w:fldCharType="separate"/>
      </w:r>
      <w:r w:rsidR="007105D3" w:rsidRPr="007105D3">
        <w:rPr>
          <w:b/>
          <w:bCs/>
        </w:rPr>
        <w:t xml:space="preserve">Table </w:t>
      </w:r>
      <w:r w:rsidR="007105D3" w:rsidRPr="007105D3">
        <w:rPr>
          <w:b/>
          <w:bCs/>
          <w:noProof/>
        </w:rPr>
        <w:t>33</w:t>
      </w:r>
      <w:r w:rsidR="00437C85" w:rsidRPr="00437C85">
        <w:rPr>
          <w:b/>
          <w:bCs/>
        </w:rPr>
        <w:fldChar w:fldCharType="end"/>
      </w:r>
      <w:r w:rsidRPr="00EA26D3">
        <w:t>)</w:t>
      </w:r>
      <w:r w:rsidR="00170D09">
        <w:t xml:space="preserve">, including the number of RCTs and participants, and the quality of the evidence </w:t>
      </w:r>
      <w:r w:rsidR="007951BB">
        <w:t>(where available)</w:t>
      </w:r>
      <w:r w:rsidR="00170D09">
        <w:t>.</w:t>
      </w:r>
    </w:p>
    <w:p w14:paraId="0A4EAB99" w14:textId="77777777" w:rsidR="004105EE" w:rsidRPr="00600010" w:rsidRDefault="004105EE" w:rsidP="004105EE">
      <w:pPr>
        <w:pStyle w:val="Heading6"/>
      </w:pPr>
      <w:r>
        <w:t>Change in continence status</w:t>
      </w:r>
    </w:p>
    <w:p w14:paraId="4830396D" w14:textId="3098138B" w:rsidR="009009D3" w:rsidRDefault="00E01684" w:rsidP="004105EE">
      <w:pPr>
        <w:pStyle w:val="BodyText"/>
      </w:pPr>
      <w:r w:rsidRPr="00CD0AA5">
        <w:t>The</w:t>
      </w:r>
      <w:r w:rsidR="00D070ED">
        <w:t>re was a borderline statistically significant</w:t>
      </w:r>
      <w:r w:rsidR="001663DE">
        <w:t xml:space="preserve"> </w:t>
      </w:r>
      <w:r w:rsidRPr="00CD0AA5">
        <w:t>difference</w:t>
      </w:r>
      <w:r w:rsidR="00D070ED">
        <w:t xml:space="preserve"> favouring RP-MUS</w:t>
      </w:r>
      <w:r w:rsidRPr="00CD0AA5">
        <w:t xml:space="preserve"> </w:t>
      </w:r>
      <w:r w:rsidR="00E850EA">
        <w:t xml:space="preserve">over rectus fascial sling </w:t>
      </w:r>
      <w:r w:rsidRPr="00CD0AA5">
        <w:t xml:space="preserve">in </w:t>
      </w:r>
      <w:r w:rsidR="001D01EE">
        <w:t>short</w:t>
      </w:r>
      <w:r w:rsidR="007F181F">
        <w:t>-</w:t>
      </w:r>
      <w:r w:rsidR="001D01EE">
        <w:t xml:space="preserve">term </w:t>
      </w:r>
      <w:r w:rsidR="00EF6C48" w:rsidRPr="00CD0AA5">
        <w:t>subjective cure (</w:t>
      </w:r>
      <w:r w:rsidR="00603074">
        <w:t>2 RCTs</w:t>
      </w:r>
      <w:r w:rsidR="00E05795">
        <w:t>;</w:t>
      </w:r>
      <w:r w:rsidR="00603074">
        <w:t xml:space="preserve"> </w:t>
      </w:r>
      <w:r w:rsidR="00395810" w:rsidRPr="00461C1D">
        <w:t>RR 0.75</w:t>
      </w:r>
      <w:r w:rsidR="00E05795">
        <w:t>,</w:t>
      </w:r>
      <w:r w:rsidR="00395810" w:rsidRPr="00461C1D">
        <w:t xml:space="preserve"> 95%</w:t>
      </w:r>
      <w:r w:rsidR="003F6254">
        <w:t xml:space="preserve"> </w:t>
      </w:r>
      <w:r w:rsidR="00395810" w:rsidRPr="00461C1D">
        <w:t xml:space="preserve">CI </w:t>
      </w:r>
      <w:r w:rsidR="00290319" w:rsidRPr="00461C1D">
        <w:t>0.57 to 1.00</w:t>
      </w:r>
      <w:r w:rsidR="00290319" w:rsidRPr="00CD0AA5">
        <w:t>)</w:t>
      </w:r>
      <w:r w:rsidR="00603074">
        <w:t xml:space="preserve"> </w:t>
      </w:r>
      <w:r w:rsidR="005908FB">
        <w:t>(</w:t>
      </w:r>
      <w:r w:rsidR="006F1871">
        <w:t xml:space="preserve">very </w:t>
      </w:r>
      <w:proofErr w:type="gramStart"/>
      <w:r w:rsidR="006F1871">
        <w:t>low quality</w:t>
      </w:r>
      <w:proofErr w:type="gramEnd"/>
      <w:r w:rsidR="00603074">
        <w:t xml:space="preserve"> evidence</w:t>
      </w:r>
      <w:r w:rsidR="005908FB">
        <w:t>)</w:t>
      </w:r>
      <w:r w:rsidR="00290319" w:rsidRPr="00CD0AA5">
        <w:t>.</w:t>
      </w:r>
      <w:r w:rsidR="00953277">
        <w:t xml:space="preserve"> Th</w:t>
      </w:r>
      <w:r w:rsidR="00DB203D">
        <w:t>e difference</w:t>
      </w:r>
      <w:r w:rsidR="000B4320">
        <w:t xml:space="preserve"> </w:t>
      </w:r>
      <w:r w:rsidR="00DB203D">
        <w:t xml:space="preserve">was interpreted </w:t>
      </w:r>
      <w:r w:rsidR="005F651E">
        <w:t>to be</w:t>
      </w:r>
      <w:r w:rsidR="00DB203D">
        <w:t xml:space="preserve"> clinically important by NICE</w:t>
      </w:r>
      <w:r w:rsidR="00F73107">
        <w:t>.</w:t>
      </w:r>
    </w:p>
    <w:p w14:paraId="0719C71B" w14:textId="55329ABB" w:rsidR="004105EE" w:rsidRDefault="004354FF" w:rsidP="004105EE">
      <w:pPr>
        <w:pStyle w:val="BodyText"/>
      </w:pPr>
      <w:r>
        <w:t>T</w:t>
      </w:r>
      <w:r w:rsidR="00E123D3" w:rsidRPr="00CD0AA5">
        <w:t xml:space="preserve">here </w:t>
      </w:r>
      <w:r w:rsidR="00700BDE" w:rsidRPr="00CD0AA5">
        <w:t xml:space="preserve">was no statistically significant difference in subjective cure between rectus fascial sling and </w:t>
      </w:r>
      <w:r w:rsidR="00BB6B5E" w:rsidRPr="00CD0AA5">
        <w:t xml:space="preserve">MUS </w:t>
      </w:r>
      <w:r w:rsidR="00400F5B" w:rsidRPr="00CD0AA5">
        <w:t>in the medium</w:t>
      </w:r>
      <w:r w:rsidR="007F181F">
        <w:t>-</w:t>
      </w:r>
      <w:r w:rsidR="00400F5B" w:rsidRPr="00CD0AA5">
        <w:t xml:space="preserve">term </w:t>
      </w:r>
      <w:r w:rsidR="00BB6B5E" w:rsidRPr="00CD0AA5">
        <w:t>(</w:t>
      </w:r>
      <w:r w:rsidR="00400F5B">
        <w:t>1 RCT</w:t>
      </w:r>
      <w:r w:rsidR="00E05795">
        <w:t>;</w:t>
      </w:r>
      <w:r w:rsidR="00400F5B">
        <w:t xml:space="preserve"> </w:t>
      </w:r>
      <w:r w:rsidR="00BB6B5E" w:rsidRPr="00CD0AA5">
        <w:t>RR 0.88</w:t>
      </w:r>
      <w:r w:rsidR="00E05795">
        <w:t>,</w:t>
      </w:r>
      <w:r w:rsidR="00BB6B5E" w:rsidRPr="00CD0AA5">
        <w:t xml:space="preserve"> 95% CI </w:t>
      </w:r>
      <w:r w:rsidR="00A636D1" w:rsidRPr="00CD0AA5">
        <w:t>0.54 to 1.44) or long</w:t>
      </w:r>
      <w:r w:rsidR="007F181F">
        <w:t>-</w:t>
      </w:r>
      <w:r w:rsidR="005A223A" w:rsidRPr="00CD0AA5">
        <w:t xml:space="preserve">term </w:t>
      </w:r>
      <w:r w:rsidR="003A0E5E" w:rsidRPr="00CD0AA5">
        <w:t>(</w:t>
      </w:r>
      <w:r w:rsidR="00400F5B">
        <w:t>1 RCT</w:t>
      </w:r>
      <w:r w:rsidR="00E05795">
        <w:t>;</w:t>
      </w:r>
      <w:r w:rsidR="00400F5B">
        <w:t xml:space="preserve"> </w:t>
      </w:r>
      <w:r w:rsidR="003A0E5E" w:rsidRPr="00CD0AA5">
        <w:t>RR 1.33</w:t>
      </w:r>
      <w:r w:rsidR="00E05795">
        <w:t>,</w:t>
      </w:r>
      <w:r w:rsidR="003A0E5E" w:rsidRPr="00CD0AA5">
        <w:t xml:space="preserve"> 95% CI 0.83 to 2.12)</w:t>
      </w:r>
      <w:r w:rsidR="000F3E6D">
        <w:t xml:space="preserve"> (very </w:t>
      </w:r>
      <w:proofErr w:type="gramStart"/>
      <w:r w:rsidR="000F3E6D">
        <w:t>low quality</w:t>
      </w:r>
      <w:proofErr w:type="gramEnd"/>
      <w:r w:rsidR="000F3E6D">
        <w:t xml:space="preserve"> evidence)</w:t>
      </w:r>
      <w:r w:rsidR="003A0E5E" w:rsidRPr="00CD0AA5">
        <w:t>.</w:t>
      </w:r>
    </w:p>
    <w:p w14:paraId="125CAB40" w14:textId="1166CC9B" w:rsidR="00CD0AA5" w:rsidRDefault="00585226" w:rsidP="004105EE">
      <w:pPr>
        <w:pStyle w:val="BodyText"/>
      </w:pPr>
      <w:r>
        <w:t>Three s</w:t>
      </w:r>
      <w:r w:rsidRPr="0051569C">
        <w:t xml:space="preserve">tudies reporting on </w:t>
      </w:r>
      <w:r>
        <w:t>short</w:t>
      </w:r>
      <w:r w:rsidR="007F181F">
        <w:t>-</w:t>
      </w:r>
      <w:r>
        <w:t xml:space="preserve">term </w:t>
      </w:r>
      <w:r w:rsidRPr="0051569C">
        <w:t>objective cure between rectus fascial sling and MUS</w:t>
      </w:r>
      <w:r>
        <w:t xml:space="preserve"> </w:t>
      </w:r>
      <w:r w:rsidRPr="0051569C">
        <w:t>consistently showed no statistically significant difference</w:t>
      </w:r>
      <w:r>
        <w:t xml:space="preserve">. </w:t>
      </w:r>
      <w:r w:rsidR="0020009D">
        <w:t xml:space="preserve">There was </w:t>
      </w:r>
      <w:r w:rsidR="00EB1B20">
        <w:t xml:space="preserve">also </w:t>
      </w:r>
      <w:r w:rsidR="0020009D">
        <w:t xml:space="preserve">no statistically significant difference in </w:t>
      </w:r>
      <w:r w:rsidR="007A1298">
        <w:t>objective cure in the medium</w:t>
      </w:r>
      <w:r w:rsidR="007F181F">
        <w:t>-</w:t>
      </w:r>
      <w:r w:rsidR="007A1298">
        <w:t xml:space="preserve">term </w:t>
      </w:r>
      <w:r w:rsidR="008009F4">
        <w:t>(</w:t>
      </w:r>
      <w:r w:rsidR="0002699A">
        <w:t>3 RCTs</w:t>
      </w:r>
      <w:r w:rsidR="00746CC7">
        <w:t>;</w:t>
      </w:r>
      <w:r w:rsidR="0002699A">
        <w:t xml:space="preserve"> </w:t>
      </w:r>
      <w:r w:rsidR="008009F4">
        <w:t>RR</w:t>
      </w:r>
      <w:r w:rsidR="009C7AC9">
        <w:t xml:space="preserve"> </w:t>
      </w:r>
      <w:r w:rsidR="00855F0F">
        <w:t>0.98</w:t>
      </w:r>
      <w:r w:rsidR="00746CC7">
        <w:t>,</w:t>
      </w:r>
      <w:r w:rsidR="00855F0F">
        <w:t xml:space="preserve"> 95% CI </w:t>
      </w:r>
      <w:r w:rsidR="00663BBF">
        <w:t>0.85 to 1.13)</w:t>
      </w:r>
      <w:r w:rsidR="004C6534">
        <w:t xml:space="preserve"> (very </w:t>
      </w:r>
      <w:proofErr w:type="gramStart"/>
      <w:r w:rsidR="004C6534">
        <w:t>low quality</w:t>
      </w:r>
      <w:proofErr w:type="gramEnd"/>
      <w:r w:rsidR="004C6534">
        <w:t xml:space="preserve"> evidence)</w:t>
      </w:r>
      <w:r w:rsidR="00663BBF">
        <w:t>.</w:t>
      </w:r>
    </w:p>
    <w:p w14:paraId="7C361BB8" w14:textId="0075D7F3" w:rsidR="0020759C" w:rsidRDefault="005E0F57" w:rsidP="005E0F57">
      <w:pPr>
        <w:pStyle w:val="Heading6"/>
      </w:pPr>
      <w:r>
        <w:t>Adverse events</w:t>
      </w:r>
    </w:p>
    <w:p w14:paraId="1DA70A6A" w14:textId="79E877D0" w:rsidR="00570B58" w:rsidRDefault="00501AB8" w:rsidP="005E0F57">
      <w:pPr>
        <w:pStyle w:val="BodyText"/>
      </w:pPr>
      <w:r>
        <w:t>Studies reporting on adverse events in the short</w:t>
      </w:r>
      <w:r w:rsidR="007F181F">
        <w:t>-</w:t>
      </w:r>
      <w:r>
        <w:t xml:space="preserve">term consistently showed </w:t>
      </w:r>
      <w:r w:rsidRPr="00D6157F">
        <w:t>no statistically significant difference</w:t>
      </w:r>
      <w:r w:rsidR="00106AAE">
        <w:t xml:space="preserve"> </w:t>
      </w:r>
      <w:r w:rsidR="00106AAE" w:rsidRPr="00D6157F">
        <w:t>between rectus fascial sling and MUS</w:t>
      </w:r>
      <w:r w:rsidR="00106AAE">
        <w:t xml:space="preserve"> (</w:t>
      </w:r>
      <w:r w:rsidR="004407DA">
        <w:t xml:space="preserve">3 </w:t>
      </w:r>
      <w:r w:rsidR="00106AAE">
        <w:t>RCTs)</w:t>
      </w:r>
      <w:r w:rsidRPr="00D6157F">
        <w:t>.</w:t>
      </w:r>
      <w:r>
        <w:t xml:space="preserve"> </w:t>
      </w:r>
      <w:r w:rsidR="0017345B">
        <w:t xml:space="preserve">There was </w:t>
      </w:r>
      <w:r w:rsidR="00EB1B20">
        <w:t xml:space="preserve">also </w:t>
      </w:r>
      <w:r w:rsidR="0017345B">
        <w:t xml:space="preserve">no statistically significant difference in </w:t>
      </w:r>
      <w:r w:rsidR="00A60B86">
        <w:t>adverse events in the medium</w:t>
      </w:r>
      <w:r w:rsidR="007F181F">
        <w:t>-</w:t>
      </w:r>
      <w:r w:rsidR="00A60B86">
        <w:t xml:space="preserve">term </w:t>
      </w:r>
      <w:r w:rsidR="00655574">
        <w:t>(</w:t>
      </w:r>
      <w:r w:rsidR="00A033A9">
        <w:t>3 RCTs</w:t>
      </w:r>
      <w:r w:rsidR="004407DA">
        <w:t>;</w:t>
      </w:r>
      <w:r w:rsidR="00A033A9">
        <w:t xml:space="preserve"> </w:t>
      </w:r>
      <w:r w:rsidR="00655574">
        <w:t xml:space="preserve">RR </w:t>
      </w:r>
      <w:r w:rsidR="0050352A">
        <w:t>0.98</w:t>
      </w:r>
      <w:r w:rsidR="004407DA">
        <w:t>,</w:t>
      </w:r>
      <w:r w:rsidR="0050352A">
        <w:t xml:space="preserve"> 95% CI 0.85 to 1.13).</w:t>
      </w:r>
    </w:p>
    <w:p w14:paraId="501AD81C" w14:textId="4E2B590B" w:rsidR="00600010" w:rsidRDefault="00600010" w:rsidP="00600010">
      <w:pPr>
        <w:pStyle w:val="Heading6"/>
      </w:pPr>
      <w:r>
        <w:t>Complications</w:t>
      </w:r>
    </w:p>
    <w:p w14:paraId="73CB6845" w14:textId="1B51EF26" w:rsidR="00600010" w:rsidRPr="00D862F7" w:rsidRDefault="00C5519A" w:rsidP="00600010">
      <w:pPr>
        <w:pStyle w:val="BodyText"/>
      </w:pPr>
      <w:r>
        <w:t xml:space="preserve">There was no statistically significant difference in </w:t>
      </w:r>
      <w:r w:rsidR="00DF17C2">
        <w:t>short</w:t>
      </w:r>
      <w:r w:rsidR="007F181F">
        <w:t>-</w:t>
      </w:r>
      <w:r w:rsidR="00DF17C2">
        <w:t xml:space="preserve">term </w:t>
      </w:r>
      <w:r w:rsidR="001413A2">
        <w:t>pain</w:t>
      </w:r>
      <w:r w:rsidR="0003210C">
        <w:t xml:space="preserve"> between rectus fascial sling and MUS (</w:t>
      </w:r>
      <w:r w:rsidR="00E127AE">
        <w:t>2 RCTs</w:t>
      </w:r>
      <w:r w:rsidR="00EC7959">
        <w:t>;</w:t>
      </w:r>
      <w:r w:rsidR="00E127AE">
        <w:t xml:space="preserve"> </w:t>
      </w:r>
      <w:r w:rsidR="00EC7959">
        <w:t xml:space="preserve">RR </w:t>
      </w:r>
      <w:r w:rsidR="00F46450">
        <w:t>0.72</w:t>
      </w:r>
      <w:r w:rsidR="00EC7959">
        <w:t>,</w:t>
      </w:r>
      <w:r w:rsidR="00F46450">
        <w:t xml:space="preserve"> 95% CI</w:t>
      </w:r>
      <w:r w:rsidR="00156568">
        <w:t xml:space="preserve"> 0.02 to 34.42). </w:t>
      </w:r>
      <w:r w:rsidR="00AD0BB9">
        <w:t xml:space="preserve">For the sub-group analyses of </w:t>
      </w:r>
      <w:r w:rsidR="00D53A51">
        <w:t>rectus fascial sling versus RP-MUS</w:t>
      </w:r>
      <w:r w:rsidR="008040AE">
        <w:t>,</w:t>
      </w:r>
      <w:r w:rsidR="00B123AA">
        <w:t xml:space="preserve"> the difference was not statistically significant (</w:t>
      </w:r>
      <w:r w:rsidR="00E36CD2">
        <w:t>1 RCT</w:t>
      </w:r>
      <w:r w:rsidR="008040AE">
        <w:t>;</w:t>
      </w:r>
      <w:r w:rsidR="00E36CD2">
        <w:t xml:space="preserve"> </w:t>
      </w:r>
      <w:r w:rsidR="00B123AA">
        <w:t>RR 3.92</w:t>
      </w:r>
      <w:r w:rsidR="008040AE">
        <w:t>,</w:t>
      </w:r>
      <w:r w:rsidR="00B123AA">
        <w:t xml:space="preserve"> 95% CI 0.90 to 17.15)</w:t>
      </w:r>
      <w:r w:rsidR="008040AE">
        <w:t>;</w:t>
      </w:r>
      <w:r w:rsidR="00B123AA">
        <w:t xml:space="preserve"> however</w:t>
      </w:r>
      <w:r w:rsidR="008040AE">
        <w:t>,</w:t>
      </w:r>
      <w:r w:rsidR="00B123AA">
        <w:t xml:space="preserve"> NICE </w:t>
      </w:r>
      <w:r w:rsidR="00046F43">
        <w:t xml:space="preserve">considered that </w:t>
      </w:r>
      <w:r w:rsidR="00CC04F2">
        <w:t xml:space="preserve">the difference </w:t>
      </w:r>
      <w:r w:rsidR="00046F43">
        <w:t xml:space="preserve">may be clinically </w:t>
      </w:r>
      <w:r w:rsidR="00655CD9">
        <w:t>important</w:t>
      </w:r>
      <w:r w:rsidR="001814B6">
        <w:t>, favouring RP-MUS</w:t>
      </w:r>
      <w:r w:rsidR="00595465">
        <w:t xml:space="preserve"> (very </w:t>
      </w:r>
      <w:proofErr w:type="gramStart"/>
      <w:r w:rsidR="00595465">
        <w:t>low quality</w:t>
      </w:r>
      <w:proofErr w:type="gramEnd"/>
      <w:r w:rsidR="00595465">
        <w:t xml:space="preserve"> evidence)</w:t>
      </w:r>
      <w:r w:rsidR="00046F43">
        <w:t xml:space="preserve">. </w:t>
      </w:r>
      <w:r w:rsidR="00046F43" w:rsidRPr="00D862F7">
        <w:t>L</w:t>
      </w:r>
      <w:r w:rsidR="00626639" w:rsidRPr="00D862F7">
        <w:t>ong</w:t>
      </w:r>
      <w:r w:rsidR="007F181F" w:rsidRPr="00D862F7">
        <w:t>-</w:t>
      </w:r>
      <w:r w:rsidR="00626639" w:rsidRPr="00D862F7">
        <w:t xml:space="preserve">term pain was not </w:t>
      </w:r>
      <w:r w:rsidR="009843A5" w:rsidRPr="00D862F7">
        <w:t>significantly different between rectus fascial sling and MUS (</w:t>
      </w:r>
      <w:r w:rsidR="000A072B" w:rsidRPr="00D862F7">
        <w:t>2 RCTs</w:t>
      </w:r>
      <w:r w:rsidR="00CC04F2" w:rsidRPr="00D862F7">
        <w:t>;</w:t>
      </w:r>
      <w:r w:rsidR="000A072B" w:rsidRPr="00D862F7">
        <w:t xml:space="preserve"> </w:t>
      </w:r>
      <w:r w:rsidR="009843A5" w:rsidRPr="00D862F7">
        <w:t>RR</w:t>
      </w:r>
      <w:r w:rsidR="001B60CB" w:rsidRPr="00D862F7">
        <w:t xml:space="preserve"> 1.12</w:t>
      </w:r>
      <w:r w:rsidR="00CC04F2" w:rsidRPr="00D862F7">
        <w:t>,</w:t>
      </w:r>
      <w:r w:rsidR="001B60CB" w:rsidRPr="00D862F7">
        <w:t xml:space="preserve"> 95% CI 0.36 to </w:t>
      </w:r>
      <w:r w:rsidR="008023F3" w:rsidRPr="00D862F7">
        <w:t>3.52)</w:t>
      </w:r>
      <w:r w:rsidR="00595465" w:rsidRPr="00D862F7">
        <w:t xml:space="preserve"> (very </w:t>
      </w:r>
      <w:proofErr w:type="gramStart"/>
      <w:r w:rsidR="00595465" w:rsidRPr="00D862F7">
        <w:t>low quality</w:t>
      </w:r>
      <w:proofErr w:type="gramEnd"/>
      <w:r w:rsidR="00595465" w:rsidRPr="00D862F7">
        <w:t xml:space="preserve"> evidence)</w:t>
      </w:r>
      <w:r w:rsidR="008023F3" w:rsidRPr="00D862F7">
        <w:t>.</w:t>
      </w:r>
    </w:p>
    <w:p w14:paraId="0D49138E" w14:textId="2FC41387" w:rsidR="00057C3D" w:rsidRPr="00D862F7" w:rsidRDefault="00540FA9" w:rsidP="00600010">
      <w:pPr>
        <w:pStyle w:val="BodyText"/>
      </w:pPr>
      <w:r w:rsidRPr="00D862F7">
        <w:lastRenderedPageBreak/>
        <w:t xml:space="preserve">The single study </w:t>
      </w:r>
      <w:r w:rsidR="008A0DFD" w:rsidRPr="00D862F7">
        <w:t xml:space="preserve">reporting mesh extrusion rates </w:t>
      </w:r>
      <w:r w:rsidRPr="00D862F7">
        <w:t>of rectus fascial sling versus MUS in the medium-term showed no statistically significant difference (RR 0.21</w:t>
      </w:r>
      <w:r w:rsidR="00CB381D" w:rsidRPr="00D862F7">
        <w:t>,</w:t>
      </w:r>
      <w:r w:rsidRPr="00D862F7">
        <w:t xml:space="preserve"> 95% CI 0.01 to 4.92). </w:t>
      </w:r>
      <w:r w:rsidR="00057C3D" w:rsidRPr="00D862F7">
        <w:t xml:space="preserve">There was </w:t>
      </w:r>
      <w:r w:rsidR="00C07490" w:rsidRPr="00D862F7">
        <w:t xml:space="preserve">also </w:t>
      </w:r>
      <w:r w:rsidR="00057C3D" w:rsidRPr="00D862F7">
        <w:t>no statistically significant difference</w:t>
      </w:r>
      <w:r w:rsidR="00B30CD8" w:rsidRPr="00D862F7">
        <w:t xml:space="preserve"> in the number of women </w:t>
      </w:r>
      <w:r w:rsidR="00CB381D" w:rsidRPr="00D862F7">
        <w:t xml:space="preserve">reporting </w:t>
      </w:r>
      <w:r w:rsidR="00B30CD8" w:rsidRPr="00D862F7">
        <w:t>mesh extrusion in the long</w:t>
      </w:r>
      <w:r w:rsidR="007F181F" w:rsidRPr="00D862F7">
        <w:t>-</w:t>
      </w:r>
      <w:r w:rsidR="00B30CD8" w:rsidRPr="00D862F7">
        <w:t xml:space="preserve">term </w:t>
      </w:r>
      <w:r w:rsidR="00703506" w:rsidRPr="00D862F7">
        <w:t>(</w:t>
      </w:r>
      <w:r w:rsidR="009C6674" w:rsidRPr="00D862F7">
        <w:t>2 RCTs</w:t>
      </w:r>
      <w:r w:rsidR="00CB381D" w:rsidRPr="00D862F7">
        <w:t>;</w:t>
      </w:r>
      <w:r w:rsidR="009C6674" w:rsidRPr="00D862F7">
        <w:t xml:space="preserve"> </w:t>
      </w:r>
      <w:r w:rsidR="00FB597D" w:rsidRPr="00D862F7">
        <w:t>RR</w:t>
      </w:r>
      <w:r w:rsidR="009C6674" w:rsidRPr="00D862F7">
        <w:t xml:space="preserve"> </w:t>
      </w:r>
      <w:r w:rsidR="00B11E1D" w:rsidRPr="00D862F7">
        <w:t>0.22</w:t>
      </w:r>
      <w:r w:rsidR="00FB597D" w:rsidRPr="00D862F7">
        <w:t>,</w:t>
      </w:r>
      <w:r w:rsidR="00352F72" w:rsidRPr="00D862F7">
        <w:t xml:space="preserve"> 95% CI </w:t>
      </w:r>
      <w:r w:rsidR="00CA2901" w:rsidRPr="00D862F7">
        <w:t>0.03 to 1.87)</w:t>
      </w:r>
      <w:r w:rsidR="009C6674" w:rsidRPr="00D862F7">
        <w:t xml:space="preserve"> (very </w:t>
      </w:r>
      <w:proofErr w:type="gramStart"/>
      <w:r w:rsidR="009C6674" w:rsidRPr="00D862F7">
        <w:t>low quality</w:t>
      </w:r>
      <w:proofErr w:type="gramEnd"/>
      <w:r w:rsidR="009C6674" w:rsidRPr="00D862F7">
        <w:t xml:space="preserve"> evidence)</w:t>
      </w:r>
      <w:r w:rsidR="00CA2901" w:rsidRPr="00D862F7">
        <w:t>.</w:t>
      </w:r>
    </w:p>
    <w:p w14:paraId="1E75E98C" w14:textId="102DE4E2" w:rsidR="005A3D01" w:rsidRPr="00CD0AA5" w:rsidRDefault="00FF6159" w:rsidP="005A3D01">
      <w:pPr>
        <w:pStyle w:val="BodyText"/>
      </w:pPr>
      <w:r w:rsidRPr="00D862F7">
        <w:t>Studies reporting on the need for catheterisation in the short</w:t>
      </w:r>
      <w:r w:rsidR="007F181F" w:rsidRPr="00D862F7">
        <w:t>-</w:t>
      </w:r>
      <w:r w:rsidRPr="00D862F7">
        <w:t xml:space="preserve">term (4 RCTs) consistently reported no statistically significant difference between rectus fascial sling and MUS. </w:t>
      </w:r>
      <w:r w:rsidR="005A3D01" w:rsidRPr="00D862F7">
        <w:t xml:space="preserve">There was </w:t>
      </w:r>
      <w:r w:rsidR="00321AFB" w:rsidRPr="00D862F7">
        <w:t xml:space="preserve">also </w:t>
      </w:r>
      <w:r w:rsidR="005A3D01" w:rsidRPr="00D862F7">
        <w:t>no statistically significant difference in the need for catheterisation in the long</w:t>
      </w:r>
      <w:r w:rsidR="007F181F" w:rsidRPr="00D862F7">
        <w:t>-</w:t>
      </w:r>
      <w:r w:rsidR="005A3D01" w:rsidRPr="00D862F7">
        <w:t>term between rectus fascial</w:t>
      </w:r>
      <w:r w:rsidR="005A3D01">
        <w:t xml:space="preserve"> sling and MUS (</w:t>
      </w:r>
      <w:r w:rsidR="00414AF0">
        <w:t>1 RCT</w:t>
      </w:r>
      <w:r w:rsidR="00FB597D">
        <w:t>;</w:t>
      </w:r>
      <w:r w:rsidR="00414AF0">
        <w:t xml:space="preserve"> </w:t>
      </w:r>
      <w:r w:rsidR="005A3D01">
        <w:t>RR 1.38</w:t>
      </w:r>
      <w:r w:rsidR="00FB597D">
        <w:t>,</w:t>
      </w:r>
      <w:r w:rsidR="005A3D01">
        <w:t xml:space="preserve"> 95% CI 0.32 to 5.90)</w:t>
      </w:r>
      <w:r w:rsidR="00414AF0">
        <w:t xml:space="preserve"> (very </w:t>
      </w:r>
      <w:proofErr w:type="gramStart"/>
      <w:r w:rsidR="00414AF0">
        <w:t>low quality</w:t>
      </w:r>
      <w:proofErr w:type="gramEnd"/>
      <w:r w:rsidR="00414AF0">
        <w:t xml:space="preserve"> evidence)</w:t>
      </w:r>
      <w:r w:rsidR="005A3D01">
        <w:t>.</w:t>
      </w:r>
    </w:p>
    <w:p w14:paraId="217EA9FD" w14:textId="4BB2667A" w:rsidR="00FC4A06" w:rsidRDefault="00FC4A06" w:rsidP="00600010">
      <w:pPr>
        <w:pStyle w:val="BodyText"/>
      </w:pPr>
      <w:r>
        <w:t>There was no statistically significant difference in de novo urgency between rect</w:t>
      </w:r>
      <w:r w:rsidR="002C41D5">
        <w:t>us fascial sling and MUS in the medium</w:t>
      </w:r>
      <w:r w:rsidR="007F181F">
        <w:t>-</w:t>
      </w:r>
      <w:r w:rsidR="002C41D5">
        <w:t>term (</w:t>
      </w:r>
      <w:r w:rsidR="00321AFB">
        <w:t>2 RCTs</w:t>
      </w:r>
      <w:r w:rsidR="00411634">
        <w:t>;</w:t>
      </w:r>
      <w:r w:rsidR="00321AFB">
        <w:t xml:space="preserve"> </w:t>
      </w:r>
      <w:r w:rsidR="002C41D5">
        <w:t>RR 0.96</w:t>
      </w:r>
      <w:r w:rsidR="00411634">
        <w:t>,</w:t>
      </w:r>
      <w:r w:rsidR="002C41D5">
        <w:t xml:space="preserve"> 95% CI </w:t>
      </w:r>
      <w:r w:rsidR="00C762BF">
        <w:t>0.46 to 2.01)</w:t>
      </w:r>
      <w:r w:rsidR="00E3459B">
        <w:t xml:space="preserve"> or </w:t>
      </w:r>
      <w:r w:rsidR="00E3459B" w:rsidRPr="00D862F7">
        <w:t>long</w:t>
      </w:r>
      <w:r w:rsidR="007F181F" w:rsidRPr="00D862F7">
        <w:t>-</w:t>
      </w:r>
      <w:r w:rsidR="00E3459B" w:rsidRPr="00D862F7">
        <w:t>term</w:t>
      </w:r>
      <w:r w:rsidR="00E3459B">
        <w:t xml:space="preserve"> (</w:t>
      </w:r>
      <w:r w:rsidR="00321AFB">
        <w:t>2 RCTs</w:t>
      </w:r>
      <w:r w:rsidR="00411634">
        <w:t>;</w:t>
      </w:r>
      <w:r w:rsidR="00321AFB">
        <w:t xml:space="preserve"> </w:t>
      </w:r>
      <w:r w:rsidR="00E3459B">
        <w:t>RR 0.77</w:t>
      </w:r>
      <w:r w:rsidR="00411634">
        <w:t>,</w:t>
      </w:r>
      <w:r w:rsidR="00E3459B">
        <w:t xml:space="preserve"> 95% CI 0.31 to 1.93)</w:t>
      </w:r>
      <w:r w:rsidR="002F28F6">
        <w:t xml:space="preserve"> (very </w:t>
      </w:r>
      <w:proofErr w:type="gramStart"/>
      <w:r w:rsidR="002F28F6">
        <w:t>low quality</w:t>
      </w:r>
      <w:proofErr w:type="gramEnd"/>
      <w:r w:rsidR="002F28F6">
        <w:t xml:space="preserve"> evidence)</w:t>
      </w:r>
      <w:r w:rsidR="00E3459B">
        <w:t>.</w:t>
      </w:r>
    </w:p>
    <w:p w14:paraId="5EC406E3" w14:textId="12AE71F6" w:rsidR="004105EE" w:rsidRDefault="004105EE" w:rsidP="004105EE">
      <w:pPr>
        <w:pStyle w:val="Heading6"/>
      </w:pPr>
      <w:r>
        <w:t>Patient satisfaction</w:t>
      </w:r>
      <w:r w:rsidR="00633883">
        <w:t>/patient-reported improvement</w:t>
      </w:r>
    </w:p>
    <w:p w14:paraId="2015C57E" w14:textId="16122EE3" w:rsidR="00FD5458" w:rsidRDefault="00B61702" w:rsidP="00FD5458">
      <w:pPr>
        <w:pStyle w:val="BodyText"/>
      </w:pPr>
      <w:r>
        <w:t>Studies reporting patient-reported improvement in the medium</w:t>
      </w:r>
      <w:r w:rsidR="007F181F">
        <w:t>-</w:t>
      </w:r>
      <w:r>
        <w:t>term consistently reported no statistically significant difference</w:t>
      </w:r>
      <w:r w:rsidR="00711A53">
        <w:t xml:space="preserve"> between rectus fascial sling and MUS (</w:t>
      </w:r>
      <w:r w:rsidR="007B1F04">
        <w:t xml:space="preserve">2 </w:t>
      </w:r>
      <w:r w:rsidR="00711A53">
        <w:t>RCTs)</w:t>
      </w:r>
      <w:r>
        <w:t xml:space="preserve">. </w:t>
      </w:r>
      <w:r w:rsidR="00A00F9A">
        <w:t xml:space="preserve">There was </w:t>
      </w:r>
      <w:r w:rsidR="004F103E">
        <w:t xml:space="preserve">also </w:t>
      </w:r>
      <w:r w:rsidR="00A00F9A">
        <w:t xml:space="preserve">no statistically significant difference in patient reported </w:t>
      </w:r>
      <w:r w:rsidR="001A7B9A">
        <w:t>improvement in the long</w:t>
      </w:r>
      <w:r w:rsidR="007F181F">
        <w:t>-</w:t>
      </w:r>
      <w:r w:rsidR="001A7B9A">
        <w:t>term (</w:t>
      </w:r>
      <w:r w:rsidR="00A70BBC">
        <w:t>2 RCTs</w:t>
      </w:r>
      <w:r w:rsidR="007B1F04">
        <w:t>;</w:t>
      </w:r>
      <w:r w:rsidR="00A70BBC">
        <w:t xml:space="preserve"> </w:t>
      </w:r>
      <w:r w:rsidR="002C52CD">
        <w:t>RR 0.85</w:t>
      </w:r>
      <w:r w:rsidR="007B1F04">
        <w:t>,</w:t>
      </w:r>
      <w:r w:rsidR="002C52CD">
        <w:t xml:space="preserve"> 95% CI </w:t>
      </w:r>
      <w:r w:rsidR="00BD5324">
        <w:t xml:space="preserve">0.69 to </w:t>
      </w:r>
      <w:r w:rsidR="00DA75D8">
        <w:t>1.04)</w:t>
      </w:r>
      <w:r w:rsidR="00A70BBC">
        <w:t xml:space="preserve"> (very </w:t>
      </w:r>
      <w:proofErr w:type="gramStart"/>
      <w:r w:rsidR="00A70BBC">
        <w:t>low quality</w:t>
      </w:r>
      <w:proofErr w:type="gramEnd"/>
      <w:r w:rsidR="00A70BBC">
        <w:t xml:space="preserve"> evidence)</w:t>
      </w:r>
      <w:r w:rsidR="00DA75D8">
        <w:t>.</w:t>
      </w:r>
    </w:p>
    <w:p w14:paraId="64197837" w14:textId="528E537D" w:rsidR="00FD5458" w:rsidRDefault="00FD5458" w:rsidP="00FD5458">
      <w:pPr>
        <w:pStyle w:val="Heading6"/>
      </w:pPr>
      <w:r>
        <w:t>Repeat surgery</w:t>
      </w:r>
    </w:p>
    <w:p w14:paraId="68AE454F" w14:textId="78B46606" w:rsidR="00116E60" w:rsidRDefault="00667435" w:rsidP="00116E60">
      <w:pPr>
        <w:pStyle w:val="BodyText"/>
      </w:pPr>
      <w:r>
        <w:t xml:space="preserve">There were no statistically significant differences in the </w:t>
      </w:r>
      <w:r w:rsidR="006B10E1">
        <w:t xml:space="preserve">number of women requiring repeat surgery for any reason between </w:t>
      </w:r>
      <w:r w:rsidR="002D3E5C">
        <w:t xml:space="preserve">rectus fascial sling and MUS in the </w:t>
      </w:r>
      <w:r w:rsidR="006E7EFF">
        <w:t>short</w:t>
      </w:r>
      <w:r w:rsidR="007F181F">
        <w:t>-</w:t>
      </w:r>
      <w:r w:rsidR="006E7EFF">
        <w:t>term (</w:t>
      </w:r>
      <w:r w:rsidR="001365A7">
        <w:t>2 RCTs</w:t>
      </w:r>
      <w:r w:rsidR="005009E7">
        <w:t>;</w:t>
      </w:r>
      <w:r w:rsidR="001365A7">
        <w:t xml:space="preserve"> </w:t>
      </w:r>
      <w:r w:rsidR="007F3F78">
        <w:t>RR 1.39</w:t>
      </w:r>
      <w:r w:rsidR="005009E7">
        <w:t>,</w:t>
      </w:r>
      <w:r w:rsidR="007F3F78">
        <w:t xml:space="preserve"> 95% CI </w:t>
      </w:r>
      <w:r w:rsidR="00E01900">
        <w:t>0.13 to 14.50</w:t>
      </w:r>
      <w:r w:rsidR="006E7EFF">
        <w:t>) or long</w:t>
      </w:r>
      <w:r w:rsidR="007F181F">
        <w:t>-</w:t>
      </w:r>
      <w:r w:rsidR="006E7EFF">
        <w:t>term (</w:t>
      </w:r>
      <w:r w:rsidR="001365A7">
        <w:t>1 RCT</w:t>
      </w:r>
      <w:r w:rsidR="005009E7">
        <w:t>;</w:t>
      </w:r>
      <w:r w:rsidR="001365A7">
        <w:t xml:space="preserve"> </w:t>
      </w:r>
      <w:r w:rsidR="00FD083A">
        <w:t>RR 1.16</w:t>
      </w:r>
      <w:r w:rsidR="005009E7">
        <w:t>,</w:t>
      </w:r>
      <w:r w:rsidR="00FD083A">
        <w:t xml:space="preserve"> 95% CI </w:t>
      </w:r>
      <w:r w:rsidR="00C37183">
        <w:t>0.08 to 17.75</w:t>
      </w:r>
      <w:r w:rsidR="006E7EFF">
        <w:t>)</w:t>
      </w:r>
      <w:r w:rsidR="00AF0DEF">
        <w:t xml:space="preserve"> (very </w:t>
      </w:r>
      <w:proofErr w:type="gramStart"/>
      <w:r w:rsidR="00AF0DEF">
        <w:t>low quality</w:t>
      </w:r>
      <w:proofErr w:type="gramEnd"/>
      <w:r w:rsidR="00AF0DEF">
        <w:t xml:space="preserve"> evidence)</w:t>
      </w:r>
      <w:r w:rsidR="006E7EFF">
        <w:t>.</w:t>
      </w:r>
    </w:p>
    <w:p w14:paraId="57C576EB" w14:textId="247153D5" w:rsidR="000E7204" w:rsidRDefault="0038532F" w:rsidP="00A96C03">
      <w:pPr>
        <w:pStyle w:val="Heading5"/>
      </w:pPr>
      <w:r>
        <w:t>TO-</w:t>
      </w:r>
      <w:r w:rsidR="004C7642">
        <w:t>MUS</w:t>
      </w:r>
      <w:r w:rsidR="00F8392C" w:rsidRPr="00B0485F">
        <w:t xml:space="preserve"> versus </w:t>
      </w:r>
      <w:r>
        <w:t>RP-</w:t>
      </w:r>
      <w:r w:rsidR="004C7642">
        <w:t>MUS</w:t>
      </w:r>
    </w:p>
    <w:p w14:paraId="4156B7A8" w14:textId="115BBDB6" w:rsidR="008C1941" w:rsidRPr="008C1941" w:rsidRDefault="00CC7EA9" w:rsidP="008C1941">
      <w:pPr>
        <w:pStyle w:val="BodyText"/>
      </w:pPr>
      <w:r>
        <w:t xml:space="preserve">An overview of </w:t>
      </w:r>
      <w:r w:rsidR="00E31B64">
        <w:t xml:space="preserve">the </w:t>
      </w:r>
      <w:r w:rsidR="00BA4D86">
        <w:t>f</w:t>
      </w:r>
      <w:r>
        <w:t xml:space="preserve">indings </w:t>
      </w:r>
      <w:r w:rsidR="008C1941">
        <w:t xml:space="preserve">for TO-MUS versus RP-MUS </w:t>
      </w:r>
      <w:r w:rsidR="00BA4D86">
        <w:t>is presented</w:t>
      </w:r>
      <w:r w:rsidR="008C1941">
        <w:t xml:space="preserve"> in</w:t>
      </w:r>
      <w:r w:rsidR="001E7F4A">
        <w:t xml:space="preserve"> </w:t>
      </w:r>
      <w:r w:rsidR="00BA4D86">
        <w:t xml:space="preserve">Section </w:t>
      </w:r>
      <w:r w:rsidR="004601C9">
        <w:fldChar w:fldCharType="begin"/>
      </w:r>
      <w:r w:rsidR="004601C9">
        <w:instrText xml:space="preserve"> REF _Ref165620527 \n \h </w:instrText>
      </w:r>
      <w:r w:rsidR="004601C9">
        <w:fldChar w:fldCharType="separate"/>
      </w:r>
      <w:r w:rsidR="007105D3">
        <w:t>6.1.3</w:t>
      </w:r>
      <w:r w:rsidR="004601C9">
        <w:fldChar w:fldCharType="end"/>
      </w:r>
      <w:r w:rsidR="001E7F4A">
        <w:t xml:space="preserve"> </w:t>
      </w:r>
      <w:r w:rsidR="00BA4D86">
        <w:t>(</w:t>
      </w:r>
      <w:r w:rsidR="001E7F4A" w:rsidRPr="001E7F4A">
        <w:rPr>
          <w:b/>
          <w:bCs/>
        </w:rPr>
        <w:fldChar w:fldCharType="begin"/>
      </w:r>
      <w:r w:rsidR="001E7F4A" w:rsidRPr="001E7F4A">
        <w:rPr>
          <w:b/>
          <w:bCs/>
        </w:rPr>
        <w:instrText xml:space="preserve"> REF _Ref133501302 \h </w:instrText>
      </w:r>
      <w:r w:rsidR="001E7F4A">
        <w:rPr>
          <w:b/>
          <w:bCs/>
        </w:rPr>
        <w:instrText xml:space="preserve"> \* MERGEFORMAT </w:instrText>
      </w:r>
      <w:r w:rsidR="001E7F4A" w:rsidRPr="001E7F4A">
        <w:rPr>
          <w:b/>
          <w:bCs/>
        </w:rPr>
      </w:r>
      <w:r w:rsidR="001E7F4A" w:rsidRPr="001E7F4A">
        <w:rPr>
          <w:b/>
          <w:bCs/>
        </w:rPr>
        <w:fldChar w:fldCharType="separate"/>
      </w:r>
      <w:r w:rsidR="007105D3" w:rsidRPr="007105D3">
        <w:rPr>
          <w:b/>
          <w:bCs/>
        </w:rPr>
        <w:t xml:space="preserve">Table </w:t>
      </w:r>
      <w:r w:rsidR="007105D3" w:rsidRPr="007105D3">
        <w:rPr>
          <w:b/>
          <w:bCs/>
          <w:noProof/>
        </w:rPr>
        <w:t>34</w:t>
      </w:r>
      <w:r w:rsidR="001E7F4A" w:rsidRPr="001E7F4A">
        <w:rPr>
          <w:b/>
          <w:bCs/>
        </w:rPr>
        <w:fldChar w:fldCharType="end"/>
      </w:r>
      <w:r w:rsidR="00BA4D86" w:rsidRPr="00BA4D86">
        <w:t>)</w:t>
      </w:r>
      <w:r w:rsidR="008C1941">
        <w:t>, including the number of RCTs and participants, and the quality of the evidence</w:t>
      </w:r>
      <w:r w:rsidR="001D1FC2">
        <w:t>.</w:t>
      </w:r>
    </w:p>
    <w:p w14:paraId="1306E203" w14:textId="131D77C6" w:rsidR="00120AD2" w:rsidRPr="00B0485F" w:rsidRDefault="00120AD2" w:rsidP="00120AD2">
      <w:pPr>
        <w:pStyle w:val="Heading6"/>
      </w:pPr>
      <w:r w:rsidRPr="00B0485F">
        <w:t>Continence-specific health-related quality of life</w:t>
      </w:r>
    </w:p>
    <w:p w14:paraId="24897B70" w14:textId="529D88C4" w:rsidR="00386061" w:rsidRDefault="00892D5E" w:rsidP="00C540AB">
      <w:pPr>
        <w:pStyle w:val="BodyText"/>
      </w:pPr>
      <w:r w:rsidRPr="00B0485F">
        <w:t xml:space="preserve">Continence-specific </w:t>
      </w:r>
      <w:proofErr w:type="spellStart"/>
      <w:r w:rsidR="007B1DCA">
        <w:t>HRQoL</w:t>
      </w:r>
      <w:proofErr w:type="spellEnd"/>
      <w:r w:rsidRPr="00B0485F">
        <w:t xml:space="preserve"> was assessed using a variety of measurement tools across the included RCTs. </w:t>
      </w:r>
      <w:r w:rsidR="006C1B52" w:rsidRPr="00B0485F">
        <w:t xml:space="preserve">For </w:t>
      </w:r>
      <w:r w:rsidR="007562B2" w:rsidRPr="00B0485F">
        <w:t>most of</w:t>
      </w:r>
      <w:r w:rsidR="006C1B52" w:rsidRPr="00B0485F">
        <w:t xml:space="preserve"> the </w:t>
      </w:r>
      <w:r w:rsidR="00C56449" w:rsidRPr="00B0485F">
        <w:t xml:space="preserve">continence-specific </w:t>
      </w:r>
      <w:proofErr w:type="spellStart"/>
      <w:r w:rsidR="007B1DCA">
        <w:t>HRQoL</w:t>
      </w:r>
      <w:proofErr w:type="spellEnd"/>
      <w:r w:rsidR="00FF4CA5" w:rsidRPr="00B0485F">
        <w:t xml:space="preserve"> outcomes and timepoints assessed </w:t>
      </w:r>
      <w:r w:rsidR="00663BE3">
        <w:t>by</w:t>
      </w:r>
      <w:r w:rsidR="00FF4CA5" w:rsidRPr="00B0485F">
        <w:t xml:space="preserve"> NICE</w:t>
      </w:r>
      <w:r w:rsidR="00291683">
        <w:t>,</w:t>
      </w:r>
      <w:r w:rsidR="00FF4CA5" w:rsidRPr="00B0485F">
        <w:t xml:space="preserve"> </w:t>
      </w:r>
      <w:r w:rsidR="00135F5D" w:rsidRPr="00B0485F">
        <w:t>there w</w:t>
      </w:r>
      <w:r w:rsidR="0057432C" w:rsidRPr="00B0485F">
        <w:t>ere</w:t>
      </w:r>
      <w:r w:rsidR="00135F5D" w:rsidRPr="00B0485F">
        <w:t xml:space="preserve"> no clinically important difference</w:t>
      </w:r>
      <w:r w:rsidR="004E1353" w:rsidRPr="00B0485F">
        <w:t>s</w:t>
      </w:r>
      <w:r w:rsidR="00135F5D" w:rsidRPr="00B0485F">
        <w:t xml:space="preserve"> between </w:t>
      </w:r>
      <w:r w:rsidR="00663BE3">
        <w:t>TO-MUS</w:t>
      </w:r>
      <w:r w:rsidR="00FF3242" w:rsidRPr="00B0485F">
        <w:t xml:space="preserve"> and</w:t>
      </w:r>
      <w:r w:rsidR="00135F5D" w:rsidRPr="00B0485F">
        <w:t xml:space="preserve"> </w:t>
      </w:r>
      <w:r w:rsidR="00663BE3">
        <w:t>RP-MUS</w:t>
      </w:r>
      <w:r w:rsidR="00E60CA1">
        <w:t xml:space="preserve"> (very low to low quality evidence)</w:t>
      </w:r>
      <w:r w:rsidR="00135F5D" w:rsidRPr="00B0485F">
        <w:t>.</w:t>
      </w:r>
    </w:p>
    <w:p w14:paraId="54A7CBAB" w14:textId="5B662B0E" w:rsidR="00A14F6C" w:rsidRDefault="00275F8C" w:rsidP="00C540AB">
      <w:pPr>
        <w:pStyle w:val="BodyText"/>
      </w:pPr>
      <w:r w:rsidRPr="00B0485F">
        <w:t xml:space="preserve">Based on very low quality evidence, </w:t>
      </w:r>
      <w:r w:rsidR="009C1A0D" w:rsidRPr="00B0485F">
        <w:t xml:space="preserve">clinically important differences favouring </w:t>
      </w:r>
      <w:r w:rsidR="00EA7AF6">
        <w:t>RP-MUS</w:t>
      </w:r>
      <w:r w:rsidR="00146288" w:rsidRPr="00B0485F">
        <w:t xml:space="preserve"> </w:t>
      </w:r>
      <w:r w:rsidR="00BC3877" w:rsidRPr="00B0485F">
        <w:t xml:space="preserve">were found for </w:t>
      </w:r>
      <w:r w:rsidR="00964776" w:rsidRPr="00964776">
        <w:t xml:space="preserve"> International Consultation on Incontinence Modular Questionnaire-Urinary Incontinence Quality of Life</w:t>
      </w:r>
      <w:r w:rsidR="00964776">
        <w:t xml:space="preserve"> (</w:t>
      </w:r>
      <w:r w:rsidR="00777982" w:rsidRPr="00B0485F">
        <w:t>ICIQ-</w:t>
      </w:r>
      <w:r w:rsidR="00C80736">
        <w:t>UI-</w:t>
      </w:r>
      <w:r w:rsidR="00777982" w:rsidRPr="00B0485F">
        <w:t>QoL</w:t>
      </w:r>
      <w:r w:rsidR="00964776">
        <w:t>)</w:t>
      </w:r>
      <w:r w:rsidR="00777982" w:rsidRPr="00B0485F">
        <w:t xml:space="preserve"> scores in the medium</w:t>
      </w:r>
      <w:r w:rsidR="007F181F">
        <w:t>-</w:t>
      </w:r>
      <w:r w:rsidR="00777982" w:rsidRPr="00B0485F">
        <w:t>term (</w:t>
      </w:r>
      <w:r w:rsidR="0074446B">
        <w:t>1 RCT</w:t>
      </w:r>
      <w:r w:rsidR="00E52D06">
        <w:t>;</w:t>
      </w:r>
      <w:r w:rsidR="0074446B">
        <w:t xml:space="preserve"> </w:t>
      </w:r>
      <w:r w:rsidR="00482DA3" w:rsidRPr="00B0485F">
        <w:t>MD 8.34 lower</w:t>
      </w:r>
      <w:bookmarkStart w:id="55" w:name="_Ref130905329"/>
      <w:r w:rsidR="00C814EC" w:rsidRPr="00B0485F">
        <w:rPr>
          <w:rStyle w:val="FootnoteReference"/>
        </w:rPr>
        <w:footnoteReference w:id="3"/>
      </w:r>
      <w:bookmarkEnd w:id="55"/>
      <w:r w:rsidR="00482DA3" w:rsidRPr="00B0485F">
        <w:t xml:space="preserve">, </w:t>
      </w:r>
      <w:r w:rsidR="00D92C62">
        <w:t xml:space="preserve">95% CI </w:t>
      </w:r>
      <w:r w:rsidR="00347535" w:rsidRPr="00B0485F">
        <w:t>14.4 to 2.8 lower)</w:t>
      </w:r>
      <w:r w:rsidR="00751C19" w:rsidRPr="00B0485F">
        <w:t xml:space="preserve"> and </w:t>
      </w:r>
      <w:r w:rsidR="00993345">
        <w:t xml:space="preserve"> Urinary Incontinence </w:t>
      </w:r>
      <w:r w:rsidR="00C04F2E">
        <w:t>Quality of Life Scale (</w:t>
      </w:r>
      <w:r w:rsidR="007E352A" w:rsidRPr="00B0485F">
        <w:t>I-QoL</w:t>
      </w:r>
      <w:r w:rsidR="00C04F2E">
        <w:t>)</w:t>
      </w:r>
      <w:r w:rsidR="00876648" w:rsidRPr="00B0485F">
        <w:t xml:space="preserve"> scores </w:t>
      </w:r>
      <w:r w:rsidR="0074446B">
        <w:t>in the short</w:t>
      </w:r>
      <w:r w:rsidR="007F181F">
        <w:t>-</w:t>
      </w:r>
      <w:r w:rsidR="0074446B">
        <w:t>term</w:t>
      </w:r>
      <w:r w:rsidR="00876648" w:rsidRPr="00B0485F">
        <w:t xml:space="preserve"> (</w:t>
      </w:r>
      <w:r w:rsidR="00386061">
        <w:t>1 RCT</w:t>
      </w:r>
      <w:r w:rsidR="00E52D06">
        <w:t>;</w:t>
      </w:r>
      <w:r w:rsidR="00386061">
        <w:t xml:space="preserve"> </w:t>
      </w:r>
      <w:r w:rsidR="00876648" w:rsidRPr="00B0485F">
        <w:t>MD 4.54 lower</w:t>
      </w:r>
      <w:r w:rsidR="00F7797D" w:rsidRPr="00B0485F">
        <w:rPr>
          <w:vertAlign w:val="superscript"/>
        </w:rPr>
        <w:fldChar w:fldCharType="begin"/>
      </w:r>
      <w:r w:rsidR="00F7797D" w:rsidRPr="00B0485F">
        <w:rPr>
          <w:vertAlign w:val="superscript"/>
        </w:rPr>
        <w:instrText xml:space="preserve"> NOTEREF _Ref130905329 \h  \* MERGEFORMAT </w:instrText>
      </w:r>
      <w:r w:rsidR="00F7797D" w:rsidRPr="00B0485F">
        <w:rPr>
          <w:vertAlign w:val="superscript"/>
        </w:rPr>
      </w:r>
      <w:r w:rsidR="00F7797D" w:rsidRPr="00B0485F">
        <w:rPr>
          <w:vertAlign w:val="superscript"/>
        </w:rPr>
        <w:fldChar w:fldCharType="separate"/>
      </w:r>
      <w:r w:rsidR="007105D3">
        <w:rPr>
          <w:vertAlign w:val="superscript"/>
        </w:rPr>
        <w:t>2</w:t>
      </w:r>
      <w:r w:rsidR="00F7797D" w:rsidRPr="00B0485F">
        <w:rPr>
          <w:vertAlign w:val="superscript"/>
        </w:rPr>
        <w:fldChar w:fldCharType="end"/>
      </w:r>
      <w:r w:rsidR="00A16E2B" w:rsidRPr="00B0485F">
        <w:t xml:space="preserve">, </w:t>
      </w:r>
      <w:r w:rsidR="00D92C62">
        <w:t xml:space="preserve">95% CI </w:t>
      </w:r>
      <w:r w:rsidR="00A16E2B" w:rsidRPr="00B0485F">
        <w:t>7.43 to 1.65 lower)</w:t>
      </w:r>
      <w:r w:rsidR="001B3C73" w:rsidRPr="00B0485F">
        <w:t>.</w:t>
      </w:r>
      <w:r w:rsidR="009B5005">
        <w:t xml:space="preserve"> </w:t>
      </w:r>
      <w:r w:rsidR="00B2125C">
        <w:t xml:space="preserve">Very low quality evidence showed that there may be a clinically important difference favouring RP-MUS over TO-MUS for </w:t>
      </w:r>
      <w:r w:rsidR="00C80736">
        <w:t>ICIQ-UI-QoL scores</w:t>
      </w:r>
      <w:r w:rsidR="002D50BA">
        <w:t xml:space="preserve"> in the short</w:t>
      </w:r>
      <w:r w:rsidR="007F181F">
        <w:t>-</w:t>
      </w:r>
      <w:r w:rsidR="002D50BA">
        <w:t>term (</w:t>
      </w:r>
      <w:r w:rsidR="00A14F6C">
        <w:t>1 RCT</w:t>
      </w:r>
      <w:r w:rsidR="00CF323F">
        <w:t>;</w:t>
      </w:r>
      <w:r w:rsidR="00A14F6C">
        <w:t xml:space="preserve"> </w:t>
      </w:r>
      <w:r w:rsidR="002D50BA">
        <w:t>MD 6.37 lower</w:t>
      </w:r>
      <w:r w:rsidR="00F54E4E" w:rsidRPr="00F54E4E">
        <w:rPr>
          <w:vertAlign w:val="superscript"/>
        </w:rPr>
        <w:fldChar w:fldCharType="begin"/>
      </w:r>
      <w:r w:rsidR="00F54E4E" w:rsidRPr="00F54E4E">
        <w:rPr>
          <w:vertAlign w:val="superscript"/>
        </w:rPr>
        <w:instrText xml:space="preserve"> NOTEREF _Ref130905329 \h </w:instrText>
      </w:r>
      <w:r w:rsidR="00F54E4E">
        <w:rPr>
          <w:vertAlign w:val="superscript"/>
        </w:rPr>
        <w:instrText xml:space="preserve"> \* MERGEFORMAT </w:instrText>
      </w:r>
      <w:r w:rsidR="00F54E4E" w:rsidRPr="00F54E4E">
        <w:rPr>
          <w:vertAlign w:val="superscript"/>
        </w:rPr>
      </w:r>
      <w:r w:rsidR="00F54E4E" w:rsidRPr="00F54E4E">
        <w:rPr>
          <w:vertAlign w:val="superscript"/>
        </w:rPr>
        <w:fldChar w:fldCharType="separate"/>
      </w:r>
      <w:r w:rsidR="007105D3">
        <w:rPr>
          <w:vertAlign w:val="superscript"/>
        </w:rPr>
        <w:t>2</w:t>
      </w:r>
      <w:r w:rsidR="00F54E4E" w:rsidRPr="00F54E4E">
        <w:rPr>
          <w:vertAlign w:val="superscript"/>
        </w:rPr>
        <w:fldChar w:fldCharType="end"/>
      </w:r>
      <w:r w:rsidR="002D50BA">
        <w:t xml:space="preserve">, </w:t>
      </w:r>
      <w:r w:rsidR="00D92C62">
        <w:t xml:space="preserve">95% CI </w:t>
      </w:r>
      <w:r w:rsidR="00033E8A">
        <w:t>13.22 lower to 0.48 h</w:t>
      </w:r>
      <w:r w:rsidR="00ED4096">
        <w:t>i</w:t>
      </w:r>
      <w:r w:rsidR="00033E8A">
        <w:t>gher).</w:t>
      </w:r>
    </w:p>
    <w:p w14:paraId="2046F470" w14:textId="5FE1E0F4" w:rsidR="00C540AB" w:rsidRPr="00B0485F" w:rsidRDefault="0061070D" w:rsidP="00C540AB">
      <w:pPr>
        <w:pStyle w:val="BodyText"/>
      </w:pPr>
      <w:r w:rsidRPr="00B0485F">
        <w:t>A c</w:t>
      </w:r>
      <w:r w:rsidR="00182B12" w:rsidRPr="00B0485F">
        <w:t xml:space="preserve">linically important difference favouring </w:t>
      </w:r>
      <w:r w:rsidR="00A14F6C">
        <w:t xml:space="preserve">TO-MUS </w:t>
      </w:r>
      <w:r w:rsidR="00182B12" w:rsidRPr="00B0485F">
        <w:t>w</w:t>
      </w:r>
      <w:r w:rsidR="00BF0B29" w:rsidRPr="00B0485F">
        <w:t>as</w:t>
      </w:r>
      <w:r w:rsidR="00182B12" w:rsidRPr="00B0485F">
        <w:t xml:space="preserve"> identified for </w:t>
      </w:r>
      <w:r w:rsidR="008E38CF" w:rsidRPr="00B0485F">
        <w:t>King’s Health Questionnaire – Intercourse score</w:t>
      </w:r>
      <w:r w:rsidR="008B75C3" w:rsidRPr="00B0485F">
        <w:t xml:space="preserve"> in the medium</w:t>
      </w:r>
      <w:r w:rsidR="007F181F">
        <w:t>-</w:t>
      </w:r>
      <w:r w:rsidR="008B75C3" w:rsidRPr="00B0485F">
        <w:t>term (</w:t>
      </w:r>
      <w:r w:rsidR="00F644B8">
        <w:t>1 RCT</w:t>
      </w:r>
      <w:r w:rsidR="00C304F8">
        <w:t>;</w:t>
      </w:r>
      <w:r w:rsidR="00F644B8">
        <w:t xml:space="preserve"> </w:t>
      </w:r>
      <w:r w:rsidR="008B75C3" w:rsidRPr="00B0485F">
        <w:t>MD 25.6 lower</w:t>
      </w:r>
      <w:r w:rsidR="00066D03" w:rsidRPr="00B0485F">
        <w:rPr>
          <w:rStyle w:val="FootnoteReference"/>
        </w:rPr>
        <w:footnoteReference w:id="4"/>
      </w:r>
      <w:r w:rsidR="008B75C3" w:rsidRPr="00B0485F">
        <w:t xml:space="preserve">, </w:t>
      </w:r>
      <w:r w:rsidR="00A231AA" w:rsidRPr="00B0485F">
        <w:t>34.</w:t>
      </w:r>
      <w:r w:rsidR="00F112A9" w:rsidRPr="00B0485F">
        <w:t>46 to 16.74 lower)</w:t>
      </w:r>
      <w:r w:rsidR="003736F2" w:rsidRPr="00B0485F">
        <w:t xml:space="preserve"> based on very </w:t>
      </w:r>
      <w:proofErr w:type="gramStart"/>
      <w:r w:rsidR="003736F2" w:rsidRPr="00B0485F">
        <w:t>low quality</w:t>
      </w:r>
      <w:proofErr w:type="gramEnd"/>
      <w:r w:rsidR="003736F2" w:rsidRPr="00B0485F">
        <w:t xml:space="preserve"> evidence</w:t>
      </w:r>
      <w:r w:rsidR="00F112A9" w:rsidRPr="00B0485F">
        <w:t>.</w:t>
      </w:r>
    </w:p>
    <w:p w14:paraId="1C24226C" w14:textId="77777777" w:rsidR="00927E27" w:rsidRPr="00B0485F" w:rsidRDefault="00927E27" w:rsidP="00927E27">
      <w:pPr>
        <w:pStyle w:val="Heading6"/>
      </w:pPr>
      <w:r w:rsidRPr="00B0485F">
        <w:t>Change in continence status</w:t>
      </w:r>
    </w:p>
    <w:p w14:paraId="31495CA1" w14:textId="4D980C40" w:rsidR="00927E27" w:rsidRPr="00B0485F" w:rsidRDefault="00927E27" w:rsidP="00927E27">
      <w:pPr>
        <w:pStyle w:val="BodyText"/>
      </w:pPr>
      <w:r w:rsidRPr="00B0485F">
        <w:t xml:space="preserve">There were no clinically important differences between </w:t>
      </w:r>
      <w:r w:rsidR="00D56E8A">
        <w:t>TO-MUS and RP-MUS</w:t>
      </w:r>
      <w:r w:rsidRPr="00B0485F">
        <w:t xml:space="preserve"> for any change in continence status outcome at any timepoint. This included subjective cure </w:t>
      </w:r>
      <w:r w:rsidR="00590716">
        <w:t xml:space="preserve">in the </w:t>
      </w:r>
      <w:r w:rsidRPr="00B0485F">
        <w:t>short</w:t>
      </w:r>
      <w:r w:rsidR="00590716">
        <w:t xml:space="preserve"> (</w:t>
      </w:r>
      <w:r w:rsidR="006F1ACB">
        <w:t>15 RCTs</w:t>
      </w:r>
      <w:r w:rsidR="00590716">
        <w:t>)</w:t>
      </w:r>
      <w:r w:rsidRPr="00B0485F">
        <w:t>, med</w:t>
      </w:r>
      <w:r w:rsidR="00590716">
        <w:t>ium (</w:t>
      </w:r>
      <w:r w:rsidR="0026491E">
        <w:t>6 RCTs</w:t>
      </w:r>
      <w:r w:rsidR="00590716">
        <w:t>)</w:t>
      </w:r>
      <w:r w:rsidRPr="00B0485F">
        <w:t xml:space="preserve"> and long </w:t>
      </w:r>
      <w:r w:rsidR="00590716">
        <w:t>(</w:t>
      </w:r>
      <w:r w:rsidR="0026491E">
        <w:t>2 RCTs</w:t>
      </w:r>
      <w:r w:rsidR="00590716">
        <w:t xml:space="preserve">) </w:t>
      </w:r>
      <w:r w:rsidRPr="00B0485F">
        <w:t>term</w:t>
      </w:r>
      <w:r w:rsidR="00E63933">
        <w:t>;</w:t>
      </w:r>
      <w:r w:rsidRPr="00B0485F">
        <w:t xml:space="preserve"> objective cure </w:t>
      </w:r>
      <w:r w:rsidR="00590716">
        <w:t xml:space="preserve">in the </w:t>
      </w:r>
      <w:r w:rsidRPr="00B0485F">
        <w:t>short</w:t>
      </w:r>
      <w:r w:rsidR="00590716">
        <w:t xml:space="preserve"> (</w:t>
      </w:r>
      <w:r w:rsidR="00BC2228">
        <w:t>15 RCTs</w:t>
      </w:r>
      <w:r w:rsidR="00590716">
        <w:t>)</w:t>
      </w:r>
      <w:r w:rsidRPr="00B0485F">
        <w:t>, med</w:t>
      </w:r>
      <w:r w:rsidR="00590716">
        <w:t>ium (</w:t>
      </w:r>
      <w:r w:rsidR="00FD625A">
        <w:t>10 RCTs</w:t>
      </w:r>
      <w:r w:rsidR="00590716">
        <w:t>)</w:t>
      </w:r>
      <w:r w:rsidRPr="00B0485F">
        <w:t xml:space="preserve"> and long </w:t>
      </w:r>
      <w:r w:rsidR="00590716">
        <w:t>(</w:t>
      </w:r>
      <w:r w:rsidR="00FD625A">
        <w:t>2 RCTs</w:t>
      </w:r>
      <w:r w:rsidR="00590716">
        <w:t xml:space="preserve">) </w:t>
      </w:r>
      <w:r w:rsidRPr="00B0485F">
        <w:t>term</w:t>
      </w:r>
      <w:r w:rsidR="00E63933">
        <w:t>;</w:t>
      </w:r>
      <w:r w:rsidRPr="00B0485F">
        <w:t xml:space="preserve"> negative cough stress test </w:t>
      </w:r>
      <w:r w:rsidR="00590716">
        <w:t xml:space="preserve">in the </w:t>
      </w:r>
      <w:r w:rsidRPr="00B0485F">
        <w:t>short</w:t>
      </w:r>
      <w:r w:rsidR="00590716">
        <w:t xml:space="preserve"> (</w:t>
      </w:r>
      <w:r w:rsidR="00D12045">
        <w:t>9 RCTs</w:t>
      </w:r>
      <w:r w:rsidR="00590716">
        <w:t>)</w:t>
      </w:r>
      <w:r w:rsidRPr="00B0485F">
        <w:t xml:space="preserve"> and medium </w:t>
      </w:r>
      <w:r w:rsidR="00590716">
        <w:t>(</w:t>
      </w:r>
      <w:r w:rsidR="009A3BA4">
        <w:t>5 RCTs</w:t>
      </w:r>
      <w:r w:rsidR="00590716">
        <w:t xml:space="preserve">) </w:t>
      </w:r>
      <w:r w:rsidRPr="00B0485F">
        <w:t>term</w:t>
      </w:r>
      <w:r w:rsidR="00E63933">
        <w:t>;</w:t>
      </w:r>
      <w:r w:rsidRPr="00B0485F">
        <w:t xml:space="preserve"> and number of incontinence </w:t>
      </w:r>
      <w:r w:rsidRPr="00B0485F">
        <w:lastRenderedPageBreak/>
        <w:t xml:space="preserve">episodes per day </w:t>
      </w:r>
      <w:r w:rsidR="00590716">
        <w:t xml:space="preserve">in the </w:t>
      </w:r>
      <w:r w:rsidRPr="00B0485F">
        <w:t>medium</w:t>
      </w:r>
      <w:r w:rsidR="007F181F">
        <w:t>-</w:t>
      </w:r>
      <w:r w:rsidRPr="00B0485F">
        <w:t>term</w:t>
      </w:r>
      <w:r w:rsidR="00590716">
        <w:t xml:space="preserve"> (</w:t>
      </w:r>
      <w:r w:rsidR="00A03698">
        <w:t>1 RCT</w:t>
      </w:r>
      <w:r w:rsidRPr="00B0485F">
        <w:t>). The quality of evidence was very low to low.</w:t>
      </w:r>
      <w:r w:rsidR="00F92828" w:rsidRPr="00B0485F">
        <w:t xml:space="preserve"> </w:t>
      </w:r>
      <w:r w:rsidR="00B5619C">
        <w:t>T</w:t>
      </w:r>
      <w:r w:rsidR="004C6B52" w:rsidRPr="00B0485F">
        <w:t>he</w:t>
      </w:r>
      <w:r w:rsidR="00C00122" w:rsidRPr="00B0485F">
        <w:t>re was a statistically significant</w:t>
      </w:r>
      <w:r w:rsidR="004C6B52" w:rsidRPr="00B0485F">
        <w:t xml:space="preserve"> difference in </w:t>
      </w:r>
      <w:r w:rsidR="00F92828" w:rsidRPr="00B0485F">
        <w:t>short</w:t>
      </w:r>
      <w:r w:rsidR="007F181F">
        <w:t>-</w:t>
      </w:r>
      <w:r w:rsidR="00F92828" w:rsidRPr="00B0485F">
        <w:t>term objective cure</w:t>
      </w:r>
      <w:r w:rsidR="00D62E2E" w:rsidRPr="00B0485F">
        <w:t xml:space="preserve"> in favour of </w:t>
      </w:r>
      <w:r w:rsidR="00B5619C">
        <w:t>RP-MUS</w:t>
      </w:r>
      <w:r w:rsidR="006519CA" w:rsidRPr="00B0485F">
        <w:t xml:space="preserve"> (</w:t>
      </w:r>
      <w:r w:rsidR="006D38B6">
        <w:t>15 RCTs</w:t>
      </w:r>
      <w:r w:rsidR="00B21ED3">
        <w:t xml:space="preserve">; </w:t>
      </w:r>
      <w:r w:rsidR="006519CA" w:rsidRPr="00B0485F">
        <w:t xml:space="preserve">RR </w:t>
      </w:r>
      <w:r w:rsidR="00A547AD" w:rsidRPr="00B0485F">
        <w:t>0.95</w:t>
      </w:r>
      <w:r w:rsidR="006304CC">
        <w:t>,</w:t>
      </w:r>
      <w:r w:rsidR="00A547AD" w:rsidRPr="00B0485F">
        <w:t xml:space="preserve"> 95% CI </w:t>
      </w:r>
      <w:r w:rsidR="00CB0613" w:rsidRPr="00B0485F">
        <w:t>0.91 to 0.99)</w:t>
      </w:r>
      <w:r w:rsidR="006304CC">
        <w:t>;</w:t>
      </w:r>
      <w:r w:rsidR="002A129C" w:rsidRPr="00B0485F">
        <w:t xml:space="preserve"> however</w:t>
      </w:r>
      <w:r w:rsidR="00974CDE" w:rsidRPr="00B0485F">
        <w:t>,</w:t>
      </w:r>
      <w:r w:rsidR="002A129C" w:rsidRPr="00B0485F">
        <w:t xml:space="preserve"> </w:t>
      </w:r>
      <w:r w:rsidR="008269A2" w:rsidRPr="00B0485F">
        <w:t xml:space="preserve">this </w:t>
      </w:r>
      <w:r w:rsidR="002A129C" w:rsidRPr="00B0485F">
        <w:t>was not considered clinically important.</w:t>
      </w:r>
    </w:p>
    <w:p w14:paraId="42472FF3" w14:textId="77777777" w:rsidR="00120AD2" w:rsidRPr="00B0485F" w:rsidRDefault="00120AD2" w:rsidP="00120AD2">
      <w:pPr>
        <w:pStyle w:val="Heading6"/>
      </w:pPr>
      <w:r w:rsidRPr="00B0485F">
        <w:t>Adverse events</w:t>
      </w:r>
    </w:p>
    <w:p w14:paraId="2825840A" w14:textId="5D1AC1EC" w:rsidR="00120AD2" w:rsidRPr="00B0485F" w:rsidRDefault="00E311E5" w:rsidP="00120AD2">
      <w:pPr>
        <w:pStyle w:val="BodyText"/>
      </w:pPr>
      <w:r w:rsidRPr="00B0485F">
        <w:t xml:space="preserve">Moderate quality evidence from </w:t>
      </w:r>
      <w:r w:rsidR="00FD19A1" w:rsidRPr="00B0485F">
        <w:t xml:space="preserve">40 RCTs demonstrated </w:t>
      </w:r>
      <w:r w:rsidR="007D4617" w:rsidRPr="00B0485F">
        <w:t xml:space="preserve">a clinically important difference favouring </w:t>
      </w:r>
      <w:r w:rsidR="005C5A4F">
        <w:t>TO-MUS</w:t>
      </w:r>
      <w:r w:rsidR="007E46B9" w:rsidRPr="00B0485F">
        <w:t xml:space="preserve"> </w:t>
      </w:r>
      <w:r w:rsidR="003C79B6">
        <w:t>over RP-MUS</w:t>
      </w:r>
      <w:r w:rsidR="007E46B9" w:rsidRPr="00B0485F">
        <w:t xml:space="preserve"> in the number of women </w:t>
      </w:r>
      <w:r w:rsidR="000A628E" w:rsidRPr="00B0485F">
        <w:t>experiencing</w:t>
      </w:r>
      <w:r w:rsidR="007E46B9" w:rsidRPr="00B0485F">
        <w:t xml:space="preserve"> a </w:t>
      </w:r>
      <w:r w:rsidR="000A628E" w:rsidRPr="00B0485F">
        <w:t xml:space="preserve">perioperative </w:t>
      </w:r>
      <w:r w:rsidR="007E46B9" w:rsidRPr="00B0485F">
        <w:t>bladder injury</w:t>
      </w:r>
      <w:r w:rsidR="005356CF" w:rsidRPr="00B0485F">
        <w:t xml:space="preserve"> (RR </w:t>
      </w:r>
      <w:r w:rsidR="00847678" w:rsidRPr="00B0485F">
        <w:t>0.15</w:t>
      </w:r>
      <w:r w:rsidR="004B7B1E">
        <w:t>,</w:t>
      </w:r>
      <w:r w:rsidR="00847678" w:rsidRPr="00B0485F">
        <w:t xml:space="preserve"> 95% CI </w:t>
      </w:r>
      <w:r w:rsidR="00421FCC" w:rsidRPr="00B0485F">
        <w:t>0.1 to 0.24)</w:t>
      </w:r>
      <w:r w:rsidR="001110EA" w:rsidRPr="00B0485F">
        <w:t>.</w:t>
      </w:r>
    </w:p>
    <w:p w14:paraId="7E30E115" w14:textId="0176ED3A" w:rsidR="00C74A96" w:rsidRDefault="005E28EF" w:rsidP="00120AD2">
      <w:pPr>
        <w:pStyle w:val="BodyText"/>
      </w:pPr>
      <w:r>
        <w:t>There was n</w:t>
      </w:r>
      <w:r w:rsidR="005354B5" w:rsidRPr="00B0485F">
        <w:t xml:space="preserve">o clinically important difference </w:t>
      </w:r>
      <w:r w:rsidR="004B7B1E" w:rsidRPr="00B0485F">
        <w:t xml:space="preserve">between </w:t>
      </w:r>
      <w:r w:rsidR="004B7B1E">
        <w:t>TO-MUS</w:t>
      </w:r>
      <w:r w:rsidR="004B7B1E" w:rsidRPr="00B0485F">
        <w:t xml:space="preserve"> and </w:t>
      </w:r>
      <w:r w:rsidR="004B7B1E">
        <w:t>RP-MUS</w:t>
      </w:r>
      <w:r w:rsidR="004B7B1E" w:rsidRPr="00B0485F">
        <w:t xml:space="preserve"> </w:t>
      </w:r>
      <w:r w:rsidR="009C2433" w:rsidRPr="00B0485F">
        <w:t xml:space="preserve">in the number of women with severe bleeding requiring a blood transfusion </w:t>
      </w:r>
      <w:r w:rsidR="006B628E" w:rsidRPr="00B0485F">
        <w:t xml:space="preserve">during surgery </w:t>
      </w:r>
      <w:r w:rsidR="000722D9" w:rsidRPr="00B0485F">
        <w:t>(</w:t>
      </w:r>
      <w:r w:rsidR="00882836">
        <w:t xml:space="preserve">10 RCTs, </w:t>
      </w:r>
      <w:r w:rsidR="00C139EB" w:rsidRPr="00B0485F">
        <w:t xml:space="preserve">very </w:t>
      </w:r>
      <w:proofErr w:type="gramStart"/>
      <w:r w:rsidR="00C139EB" w:rsidRPr="00B0485F">
        <w:t>low quality</w:t>
      </w:r>
      <w:proofErr w:type="gramEnd"/>
      <w:r w:rsidR="00C139EB" w:rsidRPr="00B0485F">
        <w:t xml:space="preserve"> evidence).</w:t>
      </w:r>
    </w:p>
    <w:p w14:paraId="559AEEA3" w14:textId="668E704B" w:rsidR="002F1C14" w:rsidRPr="00B0485F" w:rsidRDefault="002F1C14" w:rsidP="00120AD2">
      <w:pPr>
        <w:pStyle w:val="BodyText"/>
      </w:pPr>
      <w:r w:rsidRPr="00B0485F">
        <w:t xml:space="preserve">Across 12 RCTs </w:t>
      </w:r>
      <w:r w:rsidR="00782718" w:rsidRPr="00B0485F">
        <w:t xml:space="preserve">there were no occurrences of </w:t>
      </w:r>
      <w:r w:rsidR="00801EC9" w:rsidRPr="00B0485F">
        <w:t xml:space="preserve">perioperative </w:t>
      </w:r>
      <w:r w:rsidR="00782718" w:rsidRPr="00B0485F">
        <w:t xml:space="preserve">bowel injury in </w:t>
      </w:r>
      <w:r w:rsidR="00CE7EC5" w:rsidRPr="00B0485F">
        <w:t xml:space="preserve">women undergoing </w:t>
      </w:r>
      <w:r w:rsidR="00782718" w:rsidRPr="00B0485F">
        <w:t xml:space="preserve">either the </w:t>
      </w:r>
      <w:r w:rsidR="00D763DB">
        <w:t>TO-MUS</w:t>
      </w:r>
      <w:r w:rsidR="00782718" w:rsidRPr="00B0485F">
        <w:t xml:space="preserve"> or </w:t>
      </w:r>
      <w:r w:rsidR="00D763DB">
        <w:t>RP-MUS</w:t>
      </w:r>
      <w:r w:rsidR="007D4617" w:rsidRPr="00B0485F">
        <w:t xml:space="preserve"> (moderate quality evidence)</w:t>
      </w:r>
      <w:r w:rsidR="00491EAD" w:rsidRPr="00B0485F">
        <w:t>.</w:t>
      </w:r>
    </w:p>
    <w:p w14:paraId="495FD713" w14:textId="2DD1D36B" w:rsidR="00120AD2" w:rsidRPr="00B0485F" w:rsidRDefault="00120AD2" w:rsidP="00120AD2">
      <w:pPr>
        <w:pStyle w:val="Heading6"/>
      </w:pPr>
      <w:r w:rsidRPr="00B0485F">
        <w:t>Complications</w:t>
      </w:r>
    </w:p>
    <w:p w14:paraId="52E2F903" w14:textId="44A7FB58" w:rsidR="00993F16" w:rsidRPr="00B0485F" w:rsidRDefault="003A0B8B" w:rsidP="00292A6C">
      <w:pPr>
        <w:pStyle w:val="BodyText"/>
      </w:pPr>
      <w:r w:rsidRPr="00B0485F">
        <w:t xml:space="preserve">Clinically important differences favouring </w:t>
      </w:r>
      <w:r w:rsidR="00AD5A66">
        <w:t>RP-MUS</w:t>
      </w:r>
      <w:r w:rsidRPr="00B0485F">
        <w:t xml:space="preserve"> </w:t>
      </w:r>
      <w:r w:rsidR="0074742A" w:rsidRPr="00B0485F">
        <w:t xml:space="preserve">over </w:t>
      </w:r>
      <w:r w:rsidR="00AD5A66">
        <w:t>TO-MUS</w:t>
      </w:r>
      <w:r w:rsidRPr="00B0485F">
        <w:t xml:space="preserve"> were </w:t>
      </w:r>
      <w:r w:rsidR="009D3CC6" w:rsidRPr="00B0485F">
        <w:t xml:space="preserve">detected for </w:t>
      </w:r>
      <w:r w:rsidR="00F1589C" w:rsidRPr="00B0485F">
        <w:t>pain (short</w:t>
      </w:r>
      <w:r w:rsidR="007F181F">
        <w:t>-</w:t>
      </w:r>
      <w:r w:rsidR="00F1589C" w:rsidRPr="00B0485F">
        <w:t>term</w:t>
      </w:r>
      <w:r w:rsidR="000F625E" w:rsidRPr="00B0485F">
        <w:t>)</w:t>
      </w:r>
      <w:r w:rsidR="009242EF" w:rsidRPr="00B0485F">
        <w:t xml:space="preserve"> </w:t>
      </w:r>
      <w:r w:rsidR="00D148D5" w:rsidRPr="00B0485F">
        <w:t>(</w:t>
      </w:r>
      <w:r w:rsidR="00BB3A8D">
        <w:t>19 RCTs</w:t>
      </w:r>
      <w:r w:rsidR="009F636E">
        <w:t>;</w:t>
      </w:r>
      <w:r w:rsidR="00BB3A8D">
        <w:t xml:space="preserve"> </w:t>
      </w:r>
      <w:r w:rsidR="00EA095D" w:rsidRPr="00B0485F">
        <w:t>RR 2.8</w:t>
      </w:r>
      <w:r w:rsidR="00EB6E79">
        <w:t>,</w:t>
      </w:r>
      <w:r w:rsidR="00EA095D" w:rsidRPr="00B0485F">
        <w:t xml:space="preserve"> 95% CI </w:t>
      </w:r>
      <w:r w:rsidR="00631C69" w:rsidRPr="00B0485F">
        <w:t>2.04 to 3.86</w:t>
      </w:r>
      <w:r w:rsidR="00513E64" w:rsidRPr="00B0485F">
        <w:t>,</w:t>
      </w:r>
      <w:r w:rsidR="00F1589C" w:rsidRPr="00B0485F">
        <w:t xml:space="preserve"> </w:t>
      </w:r>
      <w:r w:rsidR="00C336D6" w:rsidRPr="00B0485F">
        <w:t>moderate quality</w:t>
      </w:r>
      <w:r w:rsidR="00C750AB" w:rsidRPr="00B0485F">
        <w:t xml:space="preserve"> evidence)</w:t>
      </w:r>
      <w:r w:rsidR="00292A6C">
        <w:t xml:space="preserve">, </w:t>
      </w:r>
      <w:r w:rsidR="003629C8" w:rsidRPr="00B0485F">
        <w:t xml:space="preserve">mesh extrusion </w:t>
      </w:r>
      <w:r w:rsidR="00687510" w:rsidRPr="00B0485F">
        <w:t>(</w:t>
      </w:r>
      <w:r w:rsidR="003629C8" w:rsidRPr="00B0485F">
        <w:t>short</w:t>
      </w:r>
      <w:r w:rsidR="007F181F">
        <w:t>-</w:t>
      </w:r>
      <w:r w:rsidR="003629C8" w:rsidRPr="00B0485F">
        <w:t>term</w:t>
      </w:r>
      <w:r w:rsidR="00513E64" w:rsidRPr="00B0485F">
        <w:t>)</w:t>
      </w:r>
      <w:r w:rsidR="00A633E8" w:rsidRPr="00B0485F">
        <w:t xml:space="preserve"> </w:t>
      </w:r>
      <w:r w:rsidR="00513E64" w:rsidRPr="00B0485F">
        <w:t>(</w:t>
      </w:r>
      <w:r w:rsidR="00ED67F5">
        <w:t>22 RCTs</w:t>
      </w:r>
      <w:r w:rsidR="00EB6E79">
        <w:t>;</w:t>
      </w:r>
      <w:r w:rsidR="00ED67F5">
        <w:t xml:space="preserve"> </w:t>
      </w:r>
      <w:r w:rsidR="003629C8" w:rsidRPr="00B0485F">
        <w:t>RR 1.66</w:t>
      </w:r>
      <w:r w:rsidR="00EB6E79">
        <w:t>,</w:t>
      </w:r>
      <w:r w:rsidR="003629C8" w:rsidRPr="00B0485F">
        <w:t xml:space="preserve"> 95% CI 1.02 to 2.71</w:t>
      </w:r>
      <w:r w:rsidR="00513E64" w:rsidRPr="00B0485F">
        <w:t>, low quality evidence)</w:t>
      </w:r>
      <w:r w:rsidR="00292A6C">
        <w:t xml:space="preserve">, </w:t>
      </w:r>
      <w:r w:rsidR="003629C8" w:rsidRPr="00B0485F">
        <w:t xml:space="preserve">mesh extrusion </w:t>
      </w:r>
      <w:r w:rsidR="009277A6" w:rsidRPr="00B0485F">
        <w:t>(</w:t>
      </w:r>
      <w:r w:rsidR="003629C8" w:rsidRPr="00B0485F">
        <w:t>med</w:t>
      </w:r>
      <w:r w:rsidR="009277A6" w:rsidRPr="00B0485F">
        <w:t>ium</w:t>
      </w:r>
      <w:r w:rsidR="007F181F">
        <w:t>-</w:t>
      </w:r>
      <w:r w:rsidR="003629C8" w:rsidRPr="00B0485F">
        <w:t>term</w:t>
      </w:r>
      <w:r w:rsidR="004750FA" w:rsidRPr="00B0485F">
        <w:t>) (</w:t>
      </w:r>
      <w:r w:rsidR="001146CC">
        <w:t>12 RCTs</w:t>
      </w:r>
      <w:r w:rsidR="00EB6E79">
        <w:t>;</w:t>
      </w:r>
      <w:r w:rsidR="001146CC">
        <w:t xml:space="preserve"> </w:t>
      </w:r>
      <w:r w:rsidR="003629C8" w:rsidRPr="00B0485F">
        <w:t>RR 2.17</w:t>
      </w:r>
      <w:r w:rsidR="00EB6E79">
        <w:t>,</w:t>
      </w:r>
      <w:r w:rsidR="003629C8" w:rsidRPr="00B0485F">
        <w:t xml:space="preserve"> 95% CI 1.14 to 4.14</w:t>
      </w:r>
      <w:r w:rsidR="004750FA" w:rsidRPr="00B0485F">
        <w:t xml:space="preserve">, </w:t>
      </w:r>
      <w:r w:rsidR="002B63C5" w:rsidRPr="00B0485F">
        <w:t>very low quality evidence</w:t>
      </w:r>
      <w:r w:rsidR="003629C8" w:rsidRPr="00B0485F">
        <w:t>)</w:t>
      </w:r>
      <w:r w:rsidR="00C90D35" w:rsidRPr="00B0485F">
        <w:t xml:space="preserve"> </w:t>
      </w:r>
      <w:r w:rsidR="00292A6C">
        <w:t xml:space="preserve">and </w:t>
      </w:r>
      <w:r w:rsidR="00993F16" w:rsidRPr="00B0485F">
        <w:t xml:space="preserve">de novo nocturia </w:t>
      </w:r>
      <w:r w:rsidR="002B63C5" w:rsidRPr="00B0485F">
        <w:t>(</w:t>
      </w:r>
      <w:r w:rsidR="00993F16" w:rsidRPr="00B0485F">
        <w:t>med</w:t>
      </w:r>
      <w:r w:rsidR="002B63C5" w:rsidRPr="00B0485F">
        <w:t>ium</w:t>
      </w:r>
      <w:r w:rsidR="007F181F">
        <w:t>-</w:t>
      </w:r>
      <w:r w:rsidR="00993F16" w:rsidRPr="00B0485F">
        <w:t>term</w:t>
      </w:r>
      <w:r w:rsidR="004750FA" w:rsidRPr="00B0485F">
        <w:t>)</w:t>
      </w:r>
      <w:r w:rsidR="009242EF" w:rsidRPr="00B0485F">
        <w:t xml:space="preserve"> </w:t>
      </w:r>
      <w:r w:rsidR="00993F16" w:rsidRPr="00B0485F">
        <w:t>(</w:t>
      </w:r>
      <w:r w:rsidR="00AA62EB">
        <w:t>1 RCT</w:t>
      </w:r>
      <w:r w:rsidR="00EB6E79">
        <w:t>;</w:t>
      </w:r>
      <w:r w:rsidR="00AA62EB">
        <w:t xml:space="preserve"> </w:t>
      </w:r>
      <w:r w:rsidR="00993F16" w:rsidRPr="00B0485F">
        <w:t>RR 2.6</w:t>
      </w:r>
      <w:r w:rsidR="00EB6E79">
        <w:t>,</w:t>
      </w:r>
      <w:r w:rsidR="00993F16" w:rsidRPr="00B0485F">
        <w:t xml:space="preserve"> 95% CI 1.16 to 5.83</w:t>
      </w:r>
      <w:r w:rsidR="004750FA" w:rsidRPr="00B0485F">
        <w:t>, very low quality evidence</w:t>
      </w:r>
      <w:r w:rsidR="00993F16" w:rsidRPr="00B0485F">
        <w:t>)</w:t>
      </w:r>
      <w:r w:rsidR="001366BD" w:rsidRPr="00B0485F">
        <w:t>.</w:t>
      </w:r>
    </w:p>
    <w:p w14:paraId="0BFD30B5" w14:textId="5959BD91" w:rsidR="00120AD2" w:rsidRPr="00B0485F" w:rsidRDefault="0050300A" w:rsidP="00120AD2">
      <w:pPr>
        <w:pStyle w:val="BodyText"/>
      </w:pPr>
      <w:r w:rsidRPr="00B0485F">
        <w:t>Low quality evidence from</w:t>
      </w:r>
      <w:r w:rsidR="00137F79" w:rsidRPr="00B0485F">
        <w:t xml:space="preserve"> 16 RCTs </w:t>
      </w:r>
      <w:r w:rsidR="00B2575C" w:rsidRPr="00B0485F">
        <w:t xml:space="preserve">demonstrated a clinically important difference </w:t>
      </w:r>
      <w:r w:rsidR="005C0541" w:rsidRPr="00B0485F">
        <w:t xml:space="preserve">favouring </w:t>
      </w:r>
      <w:r w:rsidR="005C0541">
        <w:t>TO-MUS</w:t>
      </w:r>
      <w:r w:rsidR="005C0541" w:rsidRPr="00B0485F">
        <w:t xml:space="preserve"> </w:t>
      </w:r>
      <w:r w:rsidR="003860C5">
        <w:t xml:space="preserve">over RP-MUS </w:t>
      </w:r>
      <w:r w:rsidR="00B2575C" w:rsidRPr="00B0485F">
        <w:t>in the number of women</w:t>
      </w:r>
      <w:r w:rsidRPr="00B0485F">
        <w:t xml:space="preserve"> </w:t>
      </w:r>
      <w:r w:rsidR="00974D00" w:rsidRPr="00B0485F">
        <w:t>need</w:t>
      </w:r>
      <w:r w:rsidR="00B2575C" w:rsidRPr="00B0485F">
        <w:t>ing</w:t>
      </w:r>
      <w:r w:rsidR="00974D00" w:rsidRPr="00B0485F">
        <w:t xml:space="preserve"> catheteri</w:t>
      </w:r>
      <w:r w:rsidR="00460A85" w:rsidRPr="00B0485F">
        <w:t>s</w:t>
      </w:r>
      <w:r w:rsidR="00974D00" w:rsidRPr="00B0485F">
        <w:t xml:space="preserve">ation </w:t>
      </w:r>
      <w:r w:rsidR="0058360F" w:rsidRPr="00B0485F">
        <w:t xml:space="preserve">in the </w:t>
      </w:r>
      <w:r w:rsidR="00974D00" w:rsidRPr="00B0485F">
        <w:t>short</w:t>
      </w:r>
      <w:r w:rsidR="007F181F">
        <w:t>-</w:t>
      </w:r>
      <w:r w:rsidR="00974D00" w:rsidRPr="00B0485F">
        <w:t xml:space="preserve">term </w:t>
      </w:r>
      <w:r w:rsidR="00D12272" w:rsidRPr="00B0485F">
        <w:t>(RR</w:t>
      </w:r>
      <w:r w:rsidR="00D0784A" w:rsidRPr="00B0485F">
        <w:t xml:space="preserve"> </w:t>
      </w:r>
      <w:r w:rsidR="0059008B" w:rsidRPr="00B0485F">
        <w:t>0.61</w:t>
      </w:r>
      <w:r w:rsidR="00AF0EE4">
        <w:t>,</w:t>
      </w:r>
      <w:r w:rsidR="0059008B" w:rsidRPr="00B0485F">
        <w:t xml:space="preserve"> 95% CI </w:t>
      </w:r>
      <w:r w:rsidR="0058265B" w:rsidRPr="00B0485F">
        <w:t>0.46 to 0.81)</w:t>
      </w:r>
      <w:r w:rsidR="00E3107D" w:rsidRPr="00B0485F">
        <w:t>.</w:t>
      </w:r>
    </w:p>
    <w:p w14:paraId="5F51ED55" w14:textId="310B6A74" w:rsidR="005F336B" w:rsidRPr="00B0485F" w:rsidRDefault="0023138C" w:rsidP="00120AD2">
      <w:pPr>
        <w:pStyle w:val="BodyText"/>
      </w:pPr>
      <w:r w:rsidRPr="00B0485F">
        <w:t xml:space="preserve">No clinically important differences were detected between </w:t>
      </w:r>
      <w:r w:rsidR="00312DD5">
        <w:t>TO-MUS</w:t>
      </w:r>
      <w:r w:rsidRPr="00B0485F">
        <w:t xml:space="preserve"> and </w:t>
      </w:r>
      <w:r w:rsidR="00312DD5">
        <w:t>RP-MUS</w:t>
      </w:r>
      <w:r w:rsidRPr="00B0485F">
        <w:t xml:space="preserve"> for </w:t>
      </w:r>
      <w:r w:rsidR="000037ED" w:rsidRPr="00B0485F">
        <w:t xml:space="preserve">infection </w:t>
      </w:r>
      <w:r w:rsidR="000037ED">
        <w:t xml:space="preserve">in the </w:t>
      </w:r>
      <w:r w:rsidR="000037ED" w:rsidRPr="00B0485F">
        <w:t>short</w:t>
      </w:r>
      <w:r w:rsidR="000037ED">
        <w:t xml:space="preserve"> (17 RCTs)</w:t>
      </w:r>
      <w:r w:rsidR="000037ED" w:rsidRPr="00B0485F">
        <w:t xml:space="preserve">, </w:t>
      </w:r>
      <w:r w:rsidR="00651329" w:rsidRPr="00B0485F">
        <w:t>med</w:t>
      </w:r>
      <w:r w:rsidR="00CF2740" w:rsidRPr="00B0485F">
        <w:t>ium</w:t>
      </w:r>
      <w:r w:rsidR="006510E1" w:rsidRPr="00B0485F">
        <w:t xml:space="preserve"> </w:t>
      </w:r>
      <w:r w:rsidR="000037ED">
        <w:t xml:space="preserve">(7 RCTs) </w:t>
      </w:r>
      <w:r w:rsidR="00CF2740" w:rsidRPr="00B0485F">
        <w:t>and</w:t>
      </w:r>
      <w:r w:rsidR="006510E1" w:rsidRPr="00B0485F">
        <w:t xml:space="preserve"> </w:t>
      </w:r>
      <w:r w:rsidR="006510E1" w:rsidRPr="004B0369">
        <w:t>long</w:t>
      </w:r>
      <w:r w:rsidR="000037ED" w:rsidRPr="004B0369">
        <w:t xml:space="preserve"> (2 RCTs) term</w:t>
      </w:r>
      <w:r w:rsidR="00AF0EE4" w:rsidRPr="004B0369">
        <w:t>;</w:t>
      </w:r>
      <w:r w:rsidR="000037ED" w:rsidRPr="004B0369">
        <w:t xml:space="preserve"> </w:t>
      </w:r>
      <w:r w:rsidR="00860926" w:rsidRPr="004B0369">
        <w:t>POP occurrence in the long</w:t>
      </w:r>
      <w:r w:rsidR="007F181F" w:rsidRPr="004B0369">
        <w:t>-</w:t>
      </w:r>
      <w:r w:rsidR="00860926" w:rsidRPr="004B0369">
        <w:t>term (1 RCT)</w:t>
      </w:r>
      <w:r w:rsidR="00AF0EE4" w:rsidRPr="004B0369">
        <w:t>;</w:t>
      </w:r>
      <w:r w:rsidR="00860926" w:rsidRPr="004B0369">
        <w:t xml:space="preserve"> </w:t>
      </w:r>
      <w:r w:rsidR="00651329" w:rsidRPr="004B0369">
        <w:t xml:space="preserve">pain </w:t>
      </w:r>
      <w:r w:rsidR="00312DD5" w:rsidRPr="004B0369">
        <w:t xml:space="preserve">in the </w:t>
      </w:r>
      <w:r w:rsidR="00651329" w:rsidRPr="004B0369">
        <w:t>med</w:t>
      </w:r>
      <w:r w:rsidR="00CF2740" w:rsidRPr="004B0369">
        <w:t>ium</w:t>
      </w:r>
      <w:r w:rsidR="00312DD5" w:rsidRPr="004B0369">
        <w:t xml:space="preserve"> (</w:t>
      </w:r>
      <w:r w:rsidR="00657848" w:rsidRPr="004B0369">
        <w:t>11 RCTs</w:t>
      </w:r>
      <w:r w:rsidR="00312DD5" w:rsidRPr="004B0369">
        <w:t>)</w:t>
      </w:r>
      <w:r w:rsidR="006510E1" w:rsidRPr="004B0369">
        <w:t xml:space="preserve"> </w:t>
      </w:r>
      <w:r w:rsidR="00312DD5" w:rsidRPr="004B0369">
        <w:t>or</w:t>
      </w:r>
      <w:r w:rsidR="006510E1" w:rsidRPr="004B0369">
        <w:t xml:space="preserve"> long</w:t>
      </w:r>
      <w:r w:rsidR="00312DD5" w:rsidRPr="004B0369">
        <w:t xml:space="preserve"> (</w:t>
      </w:r>
      <w:r w:rsidR="009F4BC2" w:rsidRPr="004B0369">
        <w:t>2 RCTs</w:t>
      </w:r>
      <w:r w:rsidR="00312DD5" w:rsidRPr="004B0369">
        <w:t xml:space="preserve">) </w:t>
      </w:r>
      <w:r w:rsidR="006510E1" w:rsidRPr="004B0369">
        <w:t>term</w:t>
      </w:r>
      <w:r w:rsidR="00AF0EE4" w:rsidRPr="004B0369">
        <w:t>;</w:t>
      </w:r>
      <w:r w:rsidR="00AA16B6" w:rsidRPr="004B0369">
        <w:t xml:space="preserve"> need for catheteri</w:t>
      </w:r>
      <w:r w:rsidR="00CF2740" w:rsidRPr="004B0369">
        <w:t>s</w:t>
      </w:r>
      <w:r w:rsidR="00AA16B6" w:rsidRPr="004B0369">
        <w:t>ation</w:t>
      </w:r>
      <w:r w:rsidR="00AA16B6" w:rsidRPr="00B0485F">
        <w:t xml:space="preserve"> </w:t>
      </w:r>
      <w:r w:rsidR="00312DD5">
        <w:t xml:space="preserve">in the </w:t>
      </w:r>
      <w:r w:rsidR="00AA16B6" w:rsidRPr="00B0485F">
        <w:t>med</w:t>
      </w:r>
      <w:r w:rsidR="00CF2740" w:rsidRPr="00B0485F">
        <w:t>ium</w:t>
      </w:r>
      <w:r w:rsidR="007F181F">
        <w:t>-</w:t>
      </w:r>
      <w:r w:rsidR="00AA16B6" w:rsidRPr="00B0485F">
        <w:t>term</w:t>
      </w:r>
      <w:r w:rsidR="00312DD5">
        <w:t xml:space="preserve"> (</w:t>
      </w:r>
      <w:r w:rsidR="008A52E8">
        <w:t>4 RCTs</w:t>
      </w:r>
      <w:r w:rsidR="003F30B3" w:rsidRPr="00B0485F">
        <w:t>)</w:t>
      </w:r>
      <w:r w:rsidR="00AF0EE4">
        <w:t>;</w:t>
      </w:r>
      <w:r w:rsidR="003F30B3" w:rsidRPr="00B0485F">
        <w:t xml:space="preserve"> </w:t>
      </w:r>
      <w:r w:rsidR="004B2873" w:rsidRPr="00B0485F">
        <w:t xml:space="preserve">de novo urgency </w:t>
      </w:r>
      <w:r w:rsidR="00312DD5">
        <w:t xml:space="preserve">in the </w:t>
      </w:r>
      <w:r w:rsidR="004B2873" w:rsidRPr="00B0485F">
        <w:t>short</w:t>
      </w:r>
      <w:r w:rsidR="0066611A" w:rsidRPr="00B0485F">
        <w:t xml:space="preserve"> </w:t>
      </w:r>
      <w:r w:rsidR="00312DD5">
        <w:t>(</w:t>
      </w:r>
      <w:r w:rsidR="00C1795A">
        <w:t>8 RCTs</w:t>
      </w:r>
      <w:r w:rsidR="00312DD5">
        <w:t>)</w:t>
      </w:r>
      <w:r w:rsidR="0066611A" w:rsidRPr="00B0485F">
        <w:t xml:space="preserve"> </w:t>
      </w:r>
      <w:r w:rsidR="00CF2740" w:rsidRPr="00B0485F">
        <w:t>and</w:t>
      </w:r>
      <w:r w:rsidR="0066611A" w:rsidRPr="00B0485F">
        <w:t xml:space="preserve"> medium</w:t>
      </w:r>
      <w:r w:rsidR="004B2873" w:rsidRPr="00B0485F">
        <w:t xml:space="preserve"> </w:t>
      </w:r>
      <w:r w:rsidR="00312DD5">
        <w:t>(</w:t>
      </w:r>
      <w:r w:rsidR="00D87CF7">
        <w:t>7 RCTs</w:t>
      </w:r>
      <w:r w:rsidR="00312DD5">
        <w:t xml:space="preserve">) </w:t>
      </w:r>
      <w:r w:rsidR="004B2873" w:rsidRPr="00B0485F">
        <w:t>term</w:t>
      </w:r>
      <w:r w:rsidR="00AF0EE4">
        <w:t>;</w:t>
      </w:r>
      <w:r w:rsidR="005E4758" w:rsidRPr="00B0485F">
        <w:t xml:space="preserve"> de novo urge incontinence </w:t>
      </w:r>
      <w:r w:rsidR="00312DD5">
        <w:t xml:space="preserve">in the </w:t>
      </w:r>
      <w:r w:rsidR="005E4758" w:rsidRPr="00B0485F">
        <w:t xml:space="preserve">short </w:t>
      </w:r>
      <w:r w:rsidR="00312DD5">
        <w:t>(</w:t>
      </w:r>
      <w:r w:rsidR="005D6335">
        <w:t>5 RCTs</w:t>
      </w:r>
      <w:r w:rsidR="00312DD5">
        <w:t>)</w:t>
      </w:r>
      <w:r w:rsidR="005E4758" w:rsidRPr="00B0485F">
        <w:t xml:space="preserve"> and med</w:t>
      </w:r>
      <w:r w:rsidR="00CF2740" w:rsidRPr="00B0485F">
        <w:t>ium</w:t>
      </w:r>
      <w:r w:rsidR="005E4758" w:rsidRPr="00B0485F">
        <w:t xml:space="preserve"> </w:t>
      </w:r>
      <w:r w:rsidR="00312DD5">
        <w:t>(</w:t>
      </w:r>
      <w:r w:rsidR="00102661">
        <w:t>4 RCTs</w:t>
      </w:r>
      <w:r w:rsidR="00312DD5">
        <w:t xml:space="preserve">) </w:t>
      </w:r>
      <w:r w:rsidR="005E4758" w:rsidRPr="00B0485F">
        <w:t>term</w:t>
      </w:r>
      <w:r w:rsidR="00AF0EE4">
        <w:t>;</w:t>
      </w:r>
      <w:r w:rsidR="00D864DC" w:rsidRPr="00B0485F">
        <w:t xml:space="preserve"> </w:t>
      </w:r>
      <w:r w:rsidR="002A4B0C" w:rsidRPr="00B0485F">
        <w:t xml:space="preserve">de novo nocturia </w:t>
      </w:r>
      <w:r w:rsidR="00312DD5">
        <w:t xml:space="preserve">in the </w:t>
      </w:r>
      <w:r w:rsidR="002A4B0C" w:rsidRPr="00B0485F">
        <w:t>short</w:t>
      </w:r>
      <w:r w:rsidR="007F181F">
        <w:t>-</w:t>
      </w:r>
      <w:r w:rsidR="002A4B0C" w:rsidRPr="00B0485F">
        <w:t>term</w:t>
      </w:r>
      <w:r w:rsidR="00312DD5">
        <w:t xml:space="preserve"> (</w:t>
      </w:r>
      <w:r w:rsidR="00305AE2">
        <w:t>1 RCT</w:t>
      </w:r>
      <w:r w:rsidR="00F6301E" w:rsidRPr="00B0485F">
        <w:t>)</w:t>
      </w:r>
      <w:r w:rsidR="00AF0EE4">
        <w:t>;</w:t>
      </w:r>
      <w:r w:rsidR="002D4567" w:rsidRPr="00B0485F">
        <w:t xml:space="preserve"> </w:t>
      </w:r>
      <w:r w:rsidR="006D697C" w:rsidRPr="00B0485F">
        <w:t>or</w:t>
      </w:r>
      <w:r w:rsidR="00B041E2" w:rsidRPr="00B0485F">
        <w:t xml:space="preserve"> wound complications </w:t>
      </w:r>
      <w:r w:rsidR="00312DD5">
        <w:t xml:space="preserve">in the </w:t>
      </w:r>
      <w:r w:rsidR="00C635D2" w:rsidRPr="00B0485F">
        <w:t>s</w:t>
      </w:r>
      <w:r w:rsidR="00B041E2" w:rsidRPr="00B0485F">
        <w:t xml:space="preserve">hort </w:t>
      </w:r>
      <w:r w:rsidR="00312DD5">
        <w:t>(</w:t>
      </w:r>
      <w:r w:rsidR="00825B91">
        <w:t>4 RCTs</w:t>
      </w:r>
      <w:r w:rsidR="00312DD5">
        <w:t xml:space="preserve">) </w:t>
      </w:r>
      <w:r w:rsidR="00B041E2" w:rsidRPr="00B0485F">
        <w:t>and med</w:t>
      </w:r>
      <w:r w:rsidR="00C635D2" w:rsidRPr="00B0485F">
        <w:t>ium</w:t>
      </w:r>
      <w:r w:rsidR="00B041E2" w:rsidRPr="00B0485F">
        <w:t xml:space="preserve"> </w:t>
      </w:r>
      <w:r w:rsidR="00312DD5">
        <w:t>(</w:t>
      </w:r>
      <w:r w:rsidR="00D578CC">
        <w:t>2 RCTs</w:t>
      </w:r>
      <w:r w:rsidR="00312DD5">
        <w:t xml:space="preserve">) </w:t>
      </w:r>
      <w:r w:rsidR="00B041E2" w:rsidRPr="00B0485F">
        <w:t>term</w:t>
      </w:r>
      <w:r w:rsidR="006D697C" w:rsidRPr="00B0485F">
        <w:t>.</w:t>
      </w:r>
    </w:p>
    <w:p w14:paraId="5665EDE9" w14:textId="4E207977" w:rsidR="00606F37" w:rsidRPr="00B0485F" w:rsidRDefault="00C95009" w:rsidP="00606F37">
      <w:pPr>
        <w:pStyle w:val="Heading6"/>
      </w:pPr>
      <w:r w:rsidRPr="00B0485F">
        <w:t>Patient satisfaction/patient-reported improvement</w:t>
      </w:r>
    </w:p>
    <w:p w14:paraId="70D75416" w14:textId="28C8E47C" w:rsidR="003D6F7E" w:rsidRPr="00B0485F" w:rsidRDefault="0095247F" w:rsidP="003D6F7E">
      <w:pPr>
        <w:pStyle w:val="BodyText"/>
      </w:pPr>
      <w:r w:rsidRPr="00B0485F">
        <w:t>There w</w:t>
      </w:r>
      <w:r w:rsidR="00144ACF">
        <w:t>ere</w:t>
      </w:r>
      <w:r w:rsidRPr="00B0485F">
        <w:t xml:space="preserve"> no</w:t>
      </w:r>
      <w:r w:rsidR="00D50498" w:rsidRPr="00B0485F">
        <w:t xml:space="preserve"> clinically </w:t>
      </w:r>
      <w:r w:rsidRPr="00B0485F">
        <w:t>important difference</w:t>
      </w:r>
      <w:r w:rsidR="00144ACF">
        <w:t>s</w:t>
      </w:r>
      <w:r w:rsidRPr="00B0485F">
        <w:t xml:space="preserve"> </w:t>
      </w:r>
      <w:r w:rsidR="00EB4B1D" w:rsidRPr="00B0485F">
        <w:t xml:space="preserve">between </w:t>
      </w:r>
      <w:r w:rsidR="00EB4B1D">
        <w:t>TO-MUS and RP-MUS</w:t>
      </w:r>
      <w:r w:rsidR="00EB4B1D" w:rsidRPr="00B0485F">
        <w:t xml:space="preserve"> </w:t>
      </w:r>
      <w:r w:rsidRPr="00B0485F">
        <w:t xml:space="preserve">in </w:t>
      </w:r>
      <w:r w:rsidR="00533163" w:rsidRPr="00B0485F">
        <w:t>the number of women reporting an</w:t>
      </w:r>
      <w:r w:rsidRPr="00B0485F">
        <w:t xml:space="preserve"> improvement in continence status in the medium</w:t>
      </w:r>
      <w:r w:rsidR="00EB4B1D">
        <w:t>-term</w:t>
      </w:r>
      <w:r w:rsidRPr="00B0485F">
        <w:t xml:space="preserve"> </w:t>
      </w:r>
      <w:r w:rsidR="00593D2B">
        <w:t xml:space="preserve">(13 RCTs) </w:t>
      </w:r>
      <w:r w:rsidR="00F1292A" w:rsidRPr="00B0485F">
        <w:t>or long</w:t>
      </w:r>
      <w:r w:rsidR="00EB4B1D">
        <w:t>-term</w:t>
      </w:r>
      <w:r w:rsidR="00621458" w:rsidRPr="00B0485F">
        <w:t xml:space="preserve"> </w:t>
      </w:r>
      <w:r w:rsidR="00593D2B">
        <w:t>(</w:t>
      </w:r>
      <w:r w:rsidR="00595CCC">
        <w:t xml:space="preserve">1 RCT) </w:t>
      </w:r>
      <w:r w:rsidR="00C02731" w:rsidRPr="00B0485F">
        <w:t>(</w:t>
      </w:r>
      <w:r w:rsidR="00C02731" w:rsidRPr="00734158">
        <w:t>low quality evidence</w:t>
      </w:r>
      <w:r w:rsidR="00C02731" w:rsidRPr="00B0485F">
        <w:t>).</w:t>
      </w:r>
    </w:p>
    <w:p w14:paraId="164C234B" w14:textId="0628C860" w:rsidR="003D6F7E" w:rsidRPr="00B0485F" w:rsidRDefault="003D6F7E" w:rsidP="003D6F7E">
      <w:pPr>
        <w:pStyle w:val="Heading6"/>
      </w:pPr>
      <w:r w:rsidRPr="00B0485F">
        <w:t>Repeat surgery</w:t>
      </w:r>
    </w:p>
    <w:p w14:paraId="38180A0B" w14:textId="05D4698A" w:rsidR="00C11496" w:rsidRPr="00B0485F" w:rsidRDefault="00E8698C" w:rsidP="00C11496">
      <w:pPr>
        <w:pStyle w:val="BodyText"/>
      </w:pPr>
      <w:r w:rsidRPr="00B0485F">
        <w:t xml:space="preserve">Low quality evidence from </w:t>
      </w:r>
      <w:r w:rsidR="001C1A99" w:rsidRPr="00B0485F">
        <w:t xml:space="preserve">five RCTs </w:t>
      </w:r>
      <w:r w:rsidR="00CA670F" w:rsidRPr="00B0485F">
        <w:t>showed a</w:t>
      </w:r>
      <w:r w:rsidR="00737E53" w:rsidRPr="00B0485F">
        <w:t xml:space="preserve"> clinically important difference in the number of women requiring repeat surgery for SUI</w:t>
      </w:r>
      <w:r w:rsidR="00870880" w:rsidRPr="00B0485F">
        <w:t xml:space="preserve"> </w:t>
      </w:r>
      <w:r w:rsidR="001C73C3">
        <w:t>in the short</w:t>
      </w:r>
      <w:r w:rsidR="007F181F">
        <w:t>-</w:t>
      </w:r>
      <w:r w:rsidR="001C73C3">
        <w:t>term</w:t>
      </w:r>
      <w:r w:rsidR="002B031C">
        <w:t>,</w:t>
      </w:r>
      <w:r w:rsidR="0089497F" w:rsidRPr="00B0485F">
        <w:t xml:space="preserve"> </w:t>
      </w:r>
      <w:r w:rsidR="00CC3B4B" w:rsidRPr="00B0485F">
        <w:t xml:space="preserve">favouring </w:t>
      </w:r>
      <w:r w:rsidR="001C73C3">
        <w:t>RP-MUS</w:t>
      </w:r>
      <w:r w:rsidR="00722EFE" w:rsidRPr="00B0485F">
        <w:t xml:space="preserve"> over </w:t>
      </w:r>
      <w:r w:rsidR="001C73C3">
        <w:t>TO-MUS</w:t>
      </w:r>
      <w:r w:rsidR="00704523" w:rsidRPr="00B0485F">
        <w:t xml:space="preserve"> (RR 8.98</w:t>
      </w:r>
      <w:r w:rsidR="002B031C">
        <w:t>,</w:t>
      </w:r>
      <w:r w:rsidR="00704523" w:rsidRPr="00B0485F">
        <w:t xml:space="preserve"> 95% CI </w:t>
      </w:r>
      <w:r w:rsidR="007B012E" w:rsidRPr="00B0485F">
        <w:t xml:space="preserve">1.53 to </w:t>
      </w:r>
      <w:r w:rsidR="00832F96" w:rsidRPr="00B0485F">
        <w:t>52.59)</w:t>
      </w:r>
      <w:r w:rsidR="00722EFE" w:rsidRPr="00B0485F">
        <w:t>.</w:t>
      </w:r>
    </w:p>
    <w:p w14:paraId="7047465C" w14:textId="62CA4C0D" w:rsidR="00C715CD" w:rsidRPr="00B0485F" w:rsidRDefault="007C3A7E" w:rsidP="00681E08">
      <w:pPr>
        <w:pStyle w:val="BodyText"/>
      </w:pPr>
      <w:r w:rsidRPr="00B0485F">
        <w:t>Based on very low quality evidence</w:t>
      </w:r>
      <w:r w:rsidR="002B031C">
        <w:t>,</w:t>
      </w:r>
      <w:r w:rsidR="00350486" w:rsidRPr="00B0485F">
        <w:t xml:space="preserve"> there were no clinically important differences between</w:t>
      </w:r>
      <w:r w:rsidR="00A515F4" w:rsidRPr="00B0485F">
        <w:t xml:space="preserve"> </w:t>
      </w:r>
      <w:r w:rsidR="005B1F5F">
        <w:t>TO-MUS</w:t>
      </w:r>
      <w:r w:rsidR="00A515F4" w:rsidRPr="00B0485F">
        <w:t xml:space="preserve"> and </w:t>
      </w:r>
      <w:r w:rsidR="005B1F5F">
        <w:t>RP-MUS</w:t>
      </w:r>
      <w:r w:rsidR="00350486" w:rsidRPr="00B0485F">
        <w:t xml:space="preserve"> </w:t>
      </w:r>
      <w:r w:rsidR="00292BE2" w:rsidRPr="00B0485F">
        <w:t xml:space="preserve">in the number of women having repeat surgery for </w:t>
      </w:r>
      <w:r w:rsidR="005B1F5F">
        <w:t>SUI</w:t>
      </w:r>
      <w:r w:rsidR="00292BE2" w:rsidRPr="00B0485F">
        <w:t xml:space="preserve"> in the medium</w:t>
      </w:r>
      <w:r w:rsidR="002B031C">
        <w:t>-term</w:t>
      </w:r>
      <w:r w:rsidR="00292BE2" w:rsidRPr="00B0485F">
        <w:t xml:space="preserve"> </w:t>
      </w:r>
      <w:r w:rsidR="005B1F5F">
        <w:t>(</w:t>
      </w:r>
      <w:r w:rsidR="00510432">
        <w:t>6 RCTs)</w:t>
      </w:r>
      <w:r w:rsidR="00292BE2" w:rsidRPr="00B0485F">
        <w:t xml:space="preserve"> or long</w:t>
      </w:r>
      <w:r w:rsidR="002B031C">
        <w:t>-term</w:t>
      </w:r>
      <w:r w:rsidR="00292BE2" w:rsidRPr="00B0485F">
        <w:t xml:space="preserve"> </w:t>
      </w:r>
      <w:r w:rsidR="00510432">
        <w:t>(</w:t>
      </w:r>
      <w:r w:rsidR="007258E6">
        <w:t>1 RCT)</w:t>
      </w:r>
      <w:r w:rsidR="004D6E4E" w:rsidRPr="00B0485F">
        <w:t xml:space="preserve">, repeat surgery for </w:t>
      </w:r>
      <w:r w:rsidR="008A5252" w:rsidRPr="00B0485F">
        <w:t>POP</w:t>
      </w:r>
      <w:r w:rsidR="00350486" w:rsidRPr="00B0485F">
        <w:t xml:space="preserve"> </w:t>
      </w:r>
      <w:r w:rsidR="00F077E7" w:rsidRPr="00B0485F">
        <w:t>in the long</w:t>
      </w:r>
      <w:r w:rsidR="007F181F">
        <w:t>-</w:t>
      </w:r>
      <w:r w:rsidR="00F077E7" w:rsidRPr="00B0485F">
        <w:t>term</w:t>
      </w:r>
      <w:r w:rsidR="009D327F">
        <w:t xml:space="preserve"> (1 RCT)</w:t>
      </w:r>
      <w:r w:rsidR="00F077E7" w:rsidRPr="00B0485F">
        <w:t>, or repeat surgery for mesh complications in the short</w:t>
      </w:r>
      <w:r w:rsidR="005E1770">
        <w:t xml:space="preserve"> (13 RCTs)</w:t>
      </w:r>
      <w:r w:rsidR="00F077E7" w:rsidRPr="00B0485F">
        <w:t xml:space="preserve">, medium </w:t>
      </w:r>
      <w:r w:rsidR="005E1770">
        <w:t xml:space="preserve">(8 RCTs) </w:t>
      </w:r>
      <w:r w:rsidR="00F077E7" w:rsidRPr="00B0485F">
        <w:t xml:space="preserve">or long </w:t>
      </w:r>
      <w:r w:rsidR="00DB2F5B">
        <w:t>(1 RCT)</w:t>
      </w:r>
      <w:r w:rsidR="00F077E7" w:rsidRPr="00B0485F">
        <w:t xml:space="preserve"> term following surgery.</w:t>
      </w:r>
    </w:p>
    <w:p w14:paraId="0C0E024F" w14:textId="1D903839" w:rsidR="00E56A04" w:rsidRDefault="00DA0F02" w:rsidP="00681E08">
      <w:pPr>
        <w:pStyle w:val="BodyText"/>
      </w:pPr>
      <w:bookmarkStart w:id="56" w:name="_Ref130811090"/>
      <w:r w:rsidRPr="00B0485F">
        <w:t xml:space="preserve">Very </w:t>
      </w:r>
      <w:proofErr w:type="gramStart"/>
      <w:r w:rsidRPr="00B0485F">
        <w:t>low quality</w:t>
      </w:r>
      <w:proofErr w:type="gramEnd"/>
      <w:r w:rsidRPr="00B0485F">
        <w:t xml:space="preserve"> evidence from </w:t>
      </w:r>
      <w:r w:rsidR="00E76F7B" w:rsidRPr="00B0485F">
        <w:t>one</w:t>
      </w:r>
      <w:r w:rsidRPr="00B0485F">
        <w:t xml:space="preserve"> RCT </w:t>
      </w:r>
      <w:r w:rsidR="00E76F7B" w:rsidRPr="00B0485F">
        <w:t xml:space="preserve">showed no occurrences of </w:t>
      </w:r>
      <w:r w:rsidR="00E56A04" w:rsidRPr="00B0485F">
        <w:t xml:space="preserve">repeat surgery </w:t>
      </w:r>
      <w:r w:rsidR="004C4977">
        <w:t>due to</w:t>
      </w:r>
      <w:r w:rsidR="00E56A04" w:rsidRPr="00B0485F">
        <w:t xml:space="preserve"> POP </w:t>
      </w:r>
      <w:r w:rsidR="00E76F7B" w:rsidRPr="00B0485F">
        <w:t xml:space="preserve">in the </w:t>
      </w:r>
      <w:r w:rsidR="00E56A04" w:rsidRPr="00B0485F">
        <w:t>short</w:t>
      </w:r>
      <w:r w:rsidR="007F181F">
        <w:t>-</w:t>
      </w:r>
      <w:r w:rsidR="00E56A04" w:rsidRPr="00B0485F">
        <w:t>term</w:t>
      </w:r>
      <w:bookmarkEnd w:id="56"/>
      <w:r w:rsidR="002F436E" w:rsidRPr="00B0485F">
        <w:t xml:space="preserve"> </w:t>
      </w:r>
      <w:r w:rsidR="00DC7FDA" w:rsidRPr="00B0485F">
        <w:t xml:space="preserve">for </w:t>
      </w:r>
      <w:r w:rsidR="00C25304" w:rsidRPr="00B0485F">
        <w:t xml:space="preserve">women </w:t>
      </w:r>
      <w:r w:rsidR="00E20E5F" w:rsidRPr="00B0485F">
        <w:t>who received</w:t>
      </w:r>
      <w:r w:rsidR="00C25304" w:rsidRPr="00B0485F">
        <w:t xml:space="preserve"> either </w:t>
      </w:r>
      <w:r w:rsidR="004C4977">
        <w:t>TO-MUS</w:t>
      </w:r>
      <w:r w:rsidR="006F1E7D" w:rsidRPr="00B0485F">
        <w:t xml:space="preserve"> </w:t>
      </w:r>
      <w:r w:rsidR="008774A6" w:rsidRPr="00B0485F">
        <w:t xml:space="preserve">or </w:t>
      </w:r>
      <w:r w:rsidR="004C4977">
        <w:t>RP-MUS</w:t>
      </w:r>
      <w:r w:rsidR="00E20E5F" w:rsidRPr="00B0485F">
        <w:t>.</w:t>
      </w:r>
    </w:p>
    <w:p w14:paraId="7EB3376C" w14:textId="2B1D5C37" w:rsidR="00A841D7" w:rsidRPr="00B0485F" w:rsidRDefault="00A841D7" w:rsidP="009363F1">
      <w:pPr>
        <w:pStyle w:val="Heading3"/>
      </w:pPr>
      <w:bookmarkStart w:id="57" w:name="_Ref130907248"/>
      <w:bookmarkStart w:id="58" w:name="_Toc165627823"/>
      <w:r w:rsidRPr="00B0485F">
        <w:lastRenderedPageBreak/>
        <w:t>Network meta-analysis (</w:t>
      </w:r>
      <w:proofErr w:type="spellStart"/>
      <w:r w:rsidRPr="00B0485F">
        <w:t>Brazzelli</w:t>
      </w:r>
      <w:proofErr w:type="spellEnd"/>
      <w:r w:rsidRPr="00B0485F">
        <w:t xml:space="preserve"> </w:t>
      </w:r>
      <w:r w:rsidR="005A1FD4" w:rsidRPr="00B0485F">
        <w:t>2019)</w:t>
      </w:r>
      <w:bookmarkEnd w:id="57"/>
      <w:bookmarkEnd w:id="58"/>
    </w:p>
    <w:p w14:paraId="1809FE3D" w14:textId="7E93D90C" w:rsidR="0050120C" w:rsidRPr="006E0B1B" w:rsidRDefault="00CE3FFE" w:rsidP="009363F1">
      <w:pPr>
        <w:pStyle w:val="BodyText"/>
        <w:keepNext/>
        <w:keepLines/>
      </w:pPr>
      <w:r w:rsidRPr="006E0B1B">
        <w:rPr>
          <w:i/>
          <w:iCs/>
        </w:rPr>
        <w:t>Surgical treatments for women with stress urinary incontinence</w:t>
      </w:r>
      <w:r w:rsidR="00212E52" w:rsidRPr="006E0B1B">
        <w:rPr>
          <w:i/>
          <w:iCs/>
        </w:rPr>
        <w:t>: the ESTER systematic review and evaluation</w:t>
      </w:r>
      <w:r w:rsidR="00212E52" w:rsidRPr="006E0B1B">
        <w:t xml:space="preserve"> was a health technology assessment </w:t>
      </w:r>
      <w:r w:rsidR="00EC3697" w:rsidRPr="006E0B1B">
        <w:t xml:space="preserve">(HTA) </w:t>
      </w:r>
      <w:r w:rsidR="00EE3628" w:rsidRPr="006E0B1B">
        <w:t xml:space="preserve">funded by </w:t>
      </w:r>
      <w:r w:rsidR="001945D5" w:rsidRPr="006E0B1B">
        <w:t>the National Institute for Health Research</w:t>
      </w:r>
      <w:r w:rsidR="00400E83" w:rsidRPr="006E0B1B">
        <w:t xml:space="preserve"> </w:t>
      </w:r>
      <w:r w:rsidR="007B35A6" w:rsidRPr="006E0B1B">
        <w:t>(NI</w:t>
      </w:r>
      <w:r w:rsidR="00D20A88" w:rsidRPr="006E0B1B">
        <w:t xml:space="preserve">HR) </w:t>
      </w:r>
      <w:r w:rsidR="00400E83" w:rsidRPr="006E0B1B">
        <w:t>in the UK</w:t>
      </w:r>
      <w:r w:rsidR="001945D5" w:rsidRPr="006E0B1B">
        <w:t xml:space="preserve"> </w:t>
      </w:r>
      <w:r w:rsidR="00245CE2" w:rsidRPr="006E0B1B">
        <w:t>(</w:t>
      </w:r>
      <w:proofErr w:type="spellStart"/>
      <w:r w:rsidR="00245CE2" w:rsidRPr="006E0B1B">
        <w:t>Brazzelli</w:t>
      </w:r>
      <w:proofErr w:type="spellEnd"/>
      <w:r w:rsidR="00245CE2" w:rsidRPr="006E0B1B">
        <w:t xml:space="preserve"> 2019)</w:t>
      </w:r>
      <w:r w:rsidR="00212E52" w:rsidRPr="006E0B1B">
        <w:t xml:space="preserve">. </w:t>
      </w:r>
      <w:r w:rsidR="00EC3697" w:rsidRPr="006E0B1B">
        <w:t>The HTA included a network meta-analysis</w:t>
      </w:r>
      <w:r w:rsidR="000717C8" w:rsidRPr="006E0B1B">
        <w:t xml:space="preserve"> </w:t>
      </w:r>
      <w:r w:rsidR="009501F6" w:rsidRPr="006E0B1B">
        <w:t>(NMA)</w:t>
      </w:r>
      <w:r w:rsidR="000717C8" w:rsidRPr="006E0B1B">
        <w:t xml:space="preserve"> </w:t>
      </w:r>
      <w:r w:rsidR="003F1141" w:rsidRPr="006E0B1B">
        <w:t xml:space="preserve">to estimate the relative effectiveness of different types of surgery </w:t>
      </w:r>
      <w:r w:rsidR="00182C5F" w:rsidRPr="006E0B1B">
        <w:t xml:space="preserve">for </w:t>
      </w:r>
      <w:r w:rsidR="008F7C95" w:rsidRPr="006E0B1B">
        <w:t>SUI</w:t>
      </w:r>
      <w:r w:rsidR="003F1141" w:rsidRPr="006E0B1B">
        <w:t>.</w:t>
      </w:r>
    </w:p>
    <w:p w14:paraId="15C2C851" w14:textId="27D05684" w:rsidR="00924CC4" w:rsidRPr="00B0485F" w:rsidRDefault="007459B9" w:rsidP="009363F1">
      <w:pPr>
        <w:pStyle w:val="BodyText"/>
        <w:keepLines/>
      </w:pPr>
      <w:r w:rsidRPr="00B0485F">
        <w:t xml:space="preserve">Recommendations developed for the </w:t>
      </w:r>
      <w:r w:rsidR="00A06AB5" w:rsidRPr="00B0485F">
        <w:t xml:space="preserve">NICE Guideline </w:t>
      </w:r>
      <w:r w:rsidR="00DC1940" w:rsidRPr="00B0485F">
        <w:t xml:space="preserve">(NG123) </w:t>
      </w:r>
      <w:r w:rsidR="00AB030F" w:rsidRPr="00B0485F">
        <w:t xml:space="preserve">considered evidence from the </w:t>
      </w:r>
      <w:r w:rsidR="00CD1BD9" w:rsidRPr="00B0485F">
        <w:t>NMA</w:t>
      </w:r>
      <w:r w:rsidRPr="00B0485F">
        <w:t xml:space="preserve"> for the outcomes of composite cure</w:t>
      </w:r>
      <w:r w:rsidR="0050120C" w:rsidRPr="00B0485F">
        <w:t xml:space="preserve"> (i.e. a composite of subjective and objective cure measures)</w:t>
      </w:r>
      <w:r w:rsidRPr="00B0485F">
        <w:t xml:space="preserve"> </w:t>
      </w:r>
      <w:r w:rsidR="00507235" w:rsidRPr="00B0485F">
        <w:t>and patient satisfaction</w:t>
      </w:r>
      <w:r w:rsidR="001323CC" w:rsidRPr="00B0485F">
        <w:t>/patient-reported improvement.</w:t>
      </w:r>
    </w:p>
    <w:p w14:paraId="7AE85F91" w14:textId="71FEF59E" w:rsidR="00E97C49" w:rsidRPr="00B0485F" w:rsidRDefault="00E97C49" w:rsidP="00D26049">
      <w:pPr>
        <w:pStyle w:val="Heading4"/>
      </w:pPr>
      <w:r w:rsidRPr="00B0485F">
        <w:t>Methods</w:t>
      </w:r>
    </w:p>
    <w:p w14:paraId="29E215C2" w14:textId="08FA8C10" w:rsidR="005670DF" w:rsidRDefault="001804FA" w:rsidP="00F31045">
      <w:r w:rsidRPr="00B0485F">
        <w:t xml:space="preserve">The </w:t>
      </w:r>
      <w:r w:rsidR="0035050E" w:rsidRPr="00B0485F">
        <w:t>HTA included a</w:t>
      </w:r>
      <w:r w:rsidR="00A9240A" w:rsidRPr="00B0485F">
        <w:t xml:space="preserve"> </w:t>
      </w:r>
      <w:r w:rsidR="001E029C">
        <w:t>systematic review</w:t>
      </w:r>
      <w:r w:rsidR="006857E6">
        <w:t xml:space="preserve"> </w:t>
      </w:r>
      <w:r w:rsidR="00CD3BAE" w:rsidRPr="00B0485F">
        <w:t>to assess the clinical effectiveness and safety of</w:t>
      </w:r>
      <w:r w:rsidR="008F5583" w:rsidRPr="00B0485F">
        <w:t xml:space="preserve"> surgical interventions for SUI. </w:t>
      </w:r>
      <w:r w:rsidR="005F6802" w:rsidRPr="00B0485F">
        <w:t>The</w:t>
      </w:r>
      <w:r w:rsidR="00433639" w:rsidRPr="00B0485F">
        <w:t xml:space="preserve"> evidence synthesis was conducted in accordance with the principles of the </w:t>
      </w:r>
      <w:r w:rsidR="00877B46" w:rsidRPr="00B0485F">
        <w:t xml:space="preserve">Centre for Reviews and Dissemination (CRD) guidance for undertaking reviews in healthcare </w:t>
      </w:r>
      <w:r w:rsidR="00245CE2">
        <w:rPr>
          <w:noProof/>
        </w:rPr>
        <w:t>(CRD 2009)</w:t>
      </w:r>
      <w:r w:rsidR="00877B46" w:rsidRPr="00B0485F">
        <w:t xml:space="preserve">, the Cochrane Handbook for Systematic Reviews of Interventions </w:t>
      </w:r>
      <w:r w:rsidR="00245CE2">
        <w:rPr>
          <w:noProof/>
        </w:rPr>
        <w:t>(Higgins 2011)</w:t>
      </w:r>
      <w:r w:rsidR="00877B46" w:rsidRPr="00B0485F">
        <w:t xml:space="preserve"> and the NICE guide to the methods of technology appraisal </w:t>
      </w:r>
      <w:r w:rsidR="00245CE2">
        <w:rPr>
          <w:noProof/>
        </w:rPr>
        <w:t>(NICE 2013)</w:t>
      </w:r>
      <w:r w:rsidR="00BE510C" w:rsidRPr="00B0485F">
        <w:t>.</w:t>
      </w:r>
    </w:p>
    <w:p w14:paraId="685D4F48" w14:textId="71F62F6D" w:rsidR="004417D3" w:rsidRPr="00B0485F" w:rsidRDefault="0035050E" w:rsidP="00F31045">
      <w:r w:rsidRPr="00B0485F">
        <w:t xml:space="preserve">Evidence identified </w:t>
      </w:r>
      <w:r w:rsidR="00E64690">
        <w:t>via</w:t>
      </w:r>
      <w:r w:rsidR="00E64690" w:rsidRPr="00B0485F">
        <w:t xml:space="preserve"> </w:t>
      </w:r>
      <w:r w:rsidRPr="00B0485F">
        <w:t xml:space="preserve">the </w:t>
      </w:r>
      <w:r w:rsidR="00E64690">
        <w:t>systematic</w:t>
      </w:r>
      <w:r w:rsidRPr="00B0485F">
        <w:t xml:space="preserve"> </w:t>
      </w:r>
      <w:r w:rsidR="00267259">
        <w:t>review</w:t>
      </w:r>
      <w:r w:rsidR="00267259" w:rsidRPr="00B0485F">
        <w:t xml:space="preserve"> </w:t>
      </w:r>
      <w:r w:rsidRPr="00B0485F">
        <w:t xml:space="preserve">was used to conduct direct pairwise (head-to-head) meta-analyses, as well as an NMA. For the purposes of this review, only the NMA will be </w:t>
      </w:r>
      <w:r w:rsidR="0047443F" w:rsidRPr="00B0485F">
        <w:t>discussed</w:t>
      </w:r>
      <w:r w:rsidRPr="00B0485F">
        <w:t xml:space="preserve">. Head-to-head comparisons for the interventions relevant to this review have been presented based on the NICE evidence review </w:t>
      </w:r>
      <w:r w:rsidR="00D02347">
        <w:t>findings</w:t>
      </w:r>
      <w:r w:rsidRPr="00B0485F">
        <w:t xml:space="preserve"> (see </w:t>
      </w:r>
      <w:r w:rsidRPr="00F40DBE">
        <w:rPr>
          <w:b/>
        </w:rPr>
        <w:t xml:space="preserve">Section </w:t>
      </w:r>
      <w:r w:rsidRPr="00F40DBE">
        <w:rPr>
          <w:b/>
          <w:bCs/>
        </w:rPr>
        <w:fldChar w:fldCharType="begin"/>
      </w:r>
      <w:r w:rsidRPr="00F40DBE">
        <w:rPr>
          <w:b/>
          <w:bCs/>
        </w:rPr>
        <w:instrText xml:space="preserve"> REF _Ref130983396 \w \h </w:instrText>
      </w:r>
      <w:r w:rsidR="00F40DBE">
        <w:rPr>
          <w:b/>
          <w:bCs/>
        </w:rPr>
        <w:instrText xml:space="preserve"> \* MERGEFORMAT </w:instrText>
      </w:r>
      <w:r w:rsidRPr="00F40DBE">
        <w:rPr>
          <w:b/>
          <w:bCs/>
        </w:rPr>
      </w:r>
      <w:r w:rsidRPr="00F40DBE">
        <w:rPr>
          <w:b/>
          <w:bCs/>
        </w:rPr>
        <w:fldChar w:fldCharType="separate"/>
      </w:r>
      <w:r w:rsidR="007105D3">
        <w:rPr>
          <w:b/>
          <w:bCs/>
        </w:rPr>
        <w:t>2.2.1</w:t>
      </w:r>
      <w:r w:rsidRPr="00F40DBE">
        <w:rPr>
          <w:b/>
          <w:bCs/>
        </w:rPr>
        <w:fldChar w:fldCharType="end"/>
      </w:r>
      <w:r w:rsidR="004417D3" w:rsidRPr="00B0485F">
        <w:t>).</w:t>
      </w:r>
    </w:p>
    <w:p w14:paraId="7D7EFAD7" w14:textId="52FB78ED" w:rsidR="00F31045" w:rsidRPr="00B0485F" w:rsidRDefault="00BE510C" w:rsidP="00F31045">
      <w:r w:rsidRPr="00B0485F">
        <w:t xml:space="preserve">The PICO criteria for </w:t>
      </w:r>
      <w:r w:rsidR="00B76187" w:rsidRPr="00B0485F">
        <w:t xml:space="preserve">the </w:t>
      </w:r>
      <w:proofErr w:type="spellStart"/>
      <w:r w:rsidR="002B1111" w:rsidRPr="00A93B21">
        <w:t>Brazzelli</w:t>
      </w:r>
      <w:proofErr w:type="spellEnd"/>
      <w:r w:rsidR="002B1111" w:rsidRPr="00A93B21">
        <w:t xml:space="preserve"> </w:t>
      </w:r>
      <w:r w:rsidR="00B76187" w:rsidRPr="00B0485F">
        <w:t xml:space="preserve">evidence </w:t>
      </w:r>
      <w:r w:rsidR="00267259">
        <w:t>review</w:t>
      </w:r>
      <w:r w:rsidR="00267259" w:rsidRPr="00B0485F">
        <w:t xml:space="preserve"> </w:t>
      </w:r>
      <w:r w:rsidRPr="00B0485F">
        <w:t>are summarised in</w:t>
      </w:r>
      <w:r w:rsidR="00B76187" w:rsidRPr="00B0485F">
        <w:t xml:space="preserve"> </w:t>
      </w:r>
      <w:r w:rsidR="00B76187" w:rsidRPr="00B0485F">
        <w:rPr>
          <w:b/>
          <w:bCs/>
        </w:rPr>
        <w:fldChar w:fldCharType="begin"/>
      </w:r>
      <w:r w:rsidR="00B76187" w:rsidRPr="00B0485F">
        <w:rPr>
          <w:b/>
          <w:bCs/>
        </w:rPr>
        <w:instrText xml:space="preserve"> REF _Ref130971686 \h  \* MERGEFORMAT </w:instrText>
      </w:r>
      <w:r w:rsidR="00B76187" w:rsidRPr="00B0485F">
        <w:rPr>
          <w:b/>
          <w:bCs/>
        </w:rPr>
      </w:r>
      <w:r w:rsidR="00B76187" w:rsidRPr="00B0485F">
        <w:rPr>
          <w:b/>
          <w:bCs/>
        </w:rPr>
        <w:fldChar w:fldCharType="separate"/>
      </w:r>
      <w:r w:rsidR="007105D3" w:rsidRPr="007105D3">
        <w:rPr>
          <w:b/>
          <w:bCs/>
        </w:rPr>
        <w:t xml:space="preserve">Table </w:t>
      </w:r>
      <w:r w:rsidR="007105D3" w:rsidRPr="007105D3">
        <w:rPr>
          <w:b/>
        </w:rPr>
        <w:t>6</w:t>
      </w:r>
      <w:r w:rsidR="00B76187" w:rsidRPr="00B0485F">
        <w:rPr>
          <w:b/>
          <w:bCs/>
        </w:rPr>
        <w:fldChar w:fldCharType="end"/>
      </w:r>
      <w:r w:rsidR="00B76187" w:rsidRPr="00B0485F">
        <w:t>.</w:t>
      </w:r>
      <w:r w:rsidR="00F31045" w:rsidRPr="00B0485F">
        <w:t xml:space="preserve"> </w:t>
      </w:r>
      <w:r w:rsidR="00CF2648">
        <w:t>RCTs</w:t>
      </w:r>
      <w:r w:rsidR="00F31045" w:rsidRPr="00B0485F">
        <w:t xml:space="preserve"> and quasi-RCTs were eligible for inclusion, and there were no restrictions on publication status, year of publication or publication language. </w:t>
      </w:r>
      <w:r w:rsidR="00C12095">
        <w:t>The last literature search was in June 2017.</w:t>
      </w:r>
    </w:p>
    <w:p w14:paraId="4D5D7104" w14:textId="2DC1955E" w:rsidR="00546E19" w:rsidRPr="00B0485F" w:rsidRDefault="00B76187" w:rsidP="00B76187">
      <w:pPr>
        <w:pStyle w:val="Caption"/>
      </w:pPr>
      <w:bookmarkStart w:id="59" w:name="_Ref130971686"/>
      <w:bookmarkStart w:id="60" w:name="_Toc165627874"/>
      <w:r w:rsidRPr="00B0485F">
        <w:t xml:space="preserve">Table </w:t>
      </w:r>
      <w:fldSimple w:instr=" SEQ Table \* ARABIC ">
        <w:r w:rsidR="007105D3">
          <w:rPr>
            <w:noProof/>
          </w:rPr>
          <w:t>6</w:t>
        </w:r>
      </w:fldSimple>
      <w:bookmarkEnd w:id="59"/>
      <w:r w:rsidRPr="00B0485F">
        <w:tab/>
      </w:r>
      <w:r w:rsidR="000B17F7" w:rsidRPr="00B0485F">
        <w:t xml:space="preserve">PICO criteria for </w:t>
      </w:r>
      <w:proofErr w:type="spellStart"/>
      <w:r w:rsidR="000B17F7" w:rsidRPr="00B0485F">
        <w:t>Brazzelli</w:t>
      </w:r>
      <w:proofErr w:type="spellEnd"/>
      <w:r w:rsidR="000B17F7" w:rsidRPr="00B0485F">
        <w:t xml:space="preserve"> (2019) </w:t>
      </w:r>
      <w:r w:rsidR="00512533" w:rsidRPr="00B0485F">
        <w:t>clinical effectiveness evidence synthesis</w:t>
      </w:r>
      <w:bookmarkEnd w:id="6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PICO criteria for Brazzelli (2019) clinical effectiveness evidence synthesis"/>
        <w:tblDescription w:val="This table shows the patient population, interventions, treatment comparisons and outcome criteria used for the Brazelli (2019) clinical effectiveness evidence synthesis. "/>
      </w:tblPr>
      <w:tblGrid>
        <w:gridCol w:w="2332"/>
        <w:gridCol w:w="2799"/>
        <w:gridCol w:w="2435"/>
        <w:gridCol w:w="2072"/>
      </w:tblGrid>
      <w:tr w:rsidR="00D15ACC" w:rsidRPr="00B0485F" w14:paraId="36FBADF4" w14:textId="77777777" w:rsidTr="00D1420C">
        <w:trPr>
          <w:tblHeader/>
        </w:trPr>
        <w:tc>
          <w:tcPr>
            <w:tcW w:w="1210" w:type="pct"/>
            <w:shd w:val="clear" w:color="auto" w:fill="BFBFBF"/>
          </w:tcPr>
          <w:p w14:paraId="0C22724D" w14:textId="77777777" w:rsidR="00D15ACC" w:rsidRPr="005D71A4" w:rsidRDefault="00D15ACC">
            <w:pPr>
              <w:pStyle w:val="011TableHeading8pt"/>
              <w:rPr>
                <w:sz w:val="18"/>
                <w:szCs w:val="18"/>
              </w:rPr>
            </w:pPr>
            <w:r w:rsidRPr="005D71A4">
              <w:rPr>
                <w:sz w:val="18"/>
                <w:szCs w:val="18"/>
              </w:rPr>
              <w:t>Patient population</w:t>
            </w:r>
          </w:p>
        </w:tc>
        <w:tc>
          <w:tcPr>
            <w:tcW w:w="1452" w:type="pct"/>
            <w:shd w:val="clear" w:color="auto" w:fill="BFBFBF"/>
          </w:tcPr>
          <w:p w14:paraId="2087B52A" w14:textId="77777777" w:rsidR="00D15ACC" w:rsidRPr="005D71A4" w:rsidRDefault="00D15ACC">
            <w:pPr>
              <w:pStyle w:val="011TableHeading8pt"/>
              <w:rPr>
                <w:sz w:val="18"/>
                <w:szCs w:val="18"/>
              </w:rPr>
            </w:pPr>
            <w:r w:rsidRPr="005D71A4">
              <w:rPr>
                <w:sz w:val="18"/>
                <w:szCs w:val="18"/>
              </w:rPr>
              <w:t>Interventions</w:t>
            </w:r>
          </w:p>
        </w:tc>
        <w:tc>
          <w:tcPr>
            <w:tcW w:w="1263" w:type="pct"/>
            <w:shd w:val="clear" w:color="auto" w:fill="BFBFBF"/>
          </w:tcPr>
          <w:p w14:paraId="113DC0C9" w14:textId="77777777" w:rsidR="00D15ACC" w:rsidRPr="005D71A4" w:rsidRDefault="00D15ACC">
            <w:pPr>
              <w:pStyle w:val="011TableHeading8pt"/>
              <w:rPr>
                <w:sz w:val="18"/>
                <w:szCs w:val="18"/>
              </w:rPr>
            </w:pPr>
            <w:r w:rsidRPr="005D71A4">
              <w:rPr>
                <w:sz w:val="18"/>
                <w:szCs w:val="18"/>
              </w:rPr>
              <w:t>Comparisons</w:t>
            </w:r>
          </w:p>
        </w:tc>
        <w:tc>
          <w:tcPr>
            <w:tcW w:w="1075" w:type="pct"/>
            <w:shd w:val="clear" w:color="auto" w:fill="BFBFBF"/>
          </w:tcPr>
          <w:p w14:paraId="09199F29" w14:textId="4296B748" w:rsidR="00D15ACC" w:rsidRPr="005D71A4" w:rsidRDefault="00D15ACC">
            <w:pPr>
              <w:pStyle w:val="011TableHeading8pt"/>
              <w:rPr>
                <w:sz w:val="18"/>
                <w:szCs w:val="18"/>
                <w:vertAlign w:val="superscript"/>
              </w:rPr>
            </w:pPr>
            <w:r w:rsidRPr="005D71A4">
              <w:rPr>
                <w:sz w:val="18"/>
                <w:szCs w:val="18"/>
              </w:rPr>
              <w:t>Outcomes</w:t>
            </w:r>
            <w:r w:rsidRPr="005D71A4">
              <w:rPr>
                <w:sz w:val="18"/>
                <w:szCs w:val="18"/>
                <w:vertAlign w:val="superscript"/>
              </w:rPr>
              <w:t>2</w:t>
            </w:r>
          </w:p>
        </w:tc>
      </w:tr>
      <w:tr w:rsidR="00D15ACC" w:rsidRPr="00B0485F" w14:paraId="2643F4B8" w14:textId="77777777" w:rsidTr="00D1420C">
        <w:trPr>
          <w:trHeight w:val="705"/>
        </w:trPr>
        <w:tc>
          <w:tcPr>
            <w:tcW w:w="1210" w:type="pct"/>
            <w:shd w:val="clear" w:color="auto" w:fill="auto"/>
          </w:tcPr>
          <w:p w14:paraId="1BF2F617" w14:textId="77777777" w:rsidR="00D15ACC" w:rsidRPr="005D71A4" w:rsidRDefault="00D15ACC" w:rsidP="00DF47C3">
            <w:pPr>
              <w:pStyle w:val="051Tabletext228pt"/>
              <w:spacing w:before="0"/>
              <w:rPr>
                <w:sz w:val="18"/>
                <w:szCs w:val="18"/>
              </w:rPr>
            </w:pPr>
            <w:r w:rsidRPr="005D71A4">
              <w:rPr>
                <w:sz w:val="18"/>
                <w:szCs w:val="18"/>
              </w:rPr>
              <w:t>Adult women with SUI or stress-predominant MUI, including:</w:t>
            </w:r>
          </w:p>
          <w:p w14:paraId="07C6EC44" w14:textId="37177BF1" w:rsidR="00D15ACC" w:rsidRPr="005D71A4" w:rsidRDefault="00D15ACC" w:rsidP="00713A63">
            <w:pPr>
              <w:pStyle w:val="051Tabletext228pt"/>
              <w:numPr>
                <w:ilvl w:val="0"/>
                <w:numId w:val="29"/>
              </w:numPr>
              <w:spacing w:before="120"/>
              <w:rPr>
                <w:sz w:val="18"/>
                <w:szCs w:val="18"/>
              </w:rPr>
            </w:pPr>
            <w:r w:rsidRPr="005D71A4">
              <w:rPr>
                <w:sz w:val="18"/>
                <w:szCs w:val="18"/>
              </w:rPr>
              <w:t>primary or repeat continence surgery</w:t>
            </w:r>
          </w:p>
          <w:p w14:paraId="35DE3469" w14:textId="77777777" w:rsidR="00D15ACC" w:rsidRPr="005D71A4" w:rsidRDefault="00D15ACC" w:rsidP="00713A63">
            <w:pPr>
              <w:pStyle w:val="051Tabletext228pt"/>
              <w:numPr>
                <w:ilvl w:val="0"/>
                <w:numId w:val="29"/>
              </w:numPr>
              <w:spacing w:before="120"/>
              <w:rPr>
                <w:sz w:val="18"/>
                <w:szCs w:val="18"/>
              </w:rPr>
            </w:pPr>
            <w:r w:rsidRPr="005D71A4">
              <w:rPr>
                <w:sz w:val="18"/>
                <w:szCs w:val="18"/>
              </w:rPr>
              <w:t>SUI and concomitant prolapse</w:t>
            </w:r>
          </w:p>
          <w:p w14:paraId="554DCAA4" w14:textId="1B302EA0" w:rsidR="00D15ACC" w:rsidRPr="005D71A4" w:rsidRDefault="00D15ACC" w:rsidP="00713A63">
            <w:pPr>
              <w:pStyle w:val="051Tabletext228pt"/>
              <w:numPr>
                <w:ilvl w:val="0"/>
                <w:numId w:val="29"/>
              </w:numPr>
              <w:spacing w:before="120"/>
              <w:rPr>
                <w:sz w:val="18"/>
                <w:szCs w:val="18"/>
              </w:rPr>
            </w:pPr>
            <w:proofErr w:type="gramStart"/>
            <w:r w:rsidRPr="005D71A4">
              <w:rPr>
                <w:sz w:val="18"/>
                <w:szCs w:val="18"/>
              </w:rPr>
              <w:t>concomitant</w:t>
            </w:r>
            <w:proofErr w:type="gramEnd"/>
            <w:r w:rsidRPr="005D71A4">
              <w:rPr>
                <w:sz w:val="18"/>
                <w:szCs w:val="18"/>
              </w:rPr>
              <w:t xml:space="preserve"> prolapse surgery</w:t>
            </w:r>
          </w:p>
        </w:tc>
        <w:tc>
          <w:tcPr>
            <w:tcW w:w="1452" w:type="pct"/>
            <w:shd w:val="clear" w:color="auto" w:fill="auto"/>
          </w:tcPr>
          <w:p w14:paraId="4CC453C6" w14:textId="2FEE8D75" w:rsidR="00D15ACC" w:rsidRPr="005D71A4" w:rsidRDefault="00D15ACC" w:rsidP="00DF47C3">
            <w:pPr>
              <w:pStyle w:val="051Tabletext228pt"/>
              <w:spacing w:before="0"/>
              <w:rPr>
                <w:sz w:val="18"/>
                <w:szCs w:val="18"/>
              </w:rPr>
            </w:pPr>
            <w:r w:rsidRPr="005D71A4">
              <w:rPr>
                <w:sz w:val="18"/>
                <w:szCs w:val="18"/>
              </w:rPr>
              <w:t xml:space="preserve">1. Retropubic MUS operations </w:t>
            </w:r>
          </w:p>
          <w:p w14:paraId="11303328" w14:textId="4B358E82" w:rsidR="00D15ACC" w:rsidRPr="005D71A4" w:rsidRDefault="00D15ACC" w:rsidP="000D208E">
            <w:pPr>
              <w:pStyle w:val="051Tabletext228pt"/>
              <w:spacing w:before="120"/>
              <w:rPr>
                <w:sz w:val="18"/>
                <w:szCs w:val="18"/>
              </w:rPr>
            </w:pPr>
            <w:r w:rsidRPr="005D71A4">
              <w:rPr>
                <w:sz w:val="18"/>
                <w:szCs w:val="18"/>
              </w:rPr>
              <w:t xml:space="preserve">2. </w:t>
            </w:r>
            <w:proofErr w:type="spellStart"/>
            <w:r w:rsidRPr="005D71A4">
              <w:rPr>
                <w:sz w:val="18"/>
                <w:szCs w:val="18"/>
              </w:rPr>
              <w:t>Transobturator</w:t>
            </w:r>
            <w:proofErr w:type="spellEnd"/>
            <w:r w:rsidRPr="005D71A4">
              <w:rPr>
                <w:sz w:val="18"/>
                <w:szCs w:val="18"/>
              </w:rPr>
              <w:t xml:space="preserve"> MUS operations </w:t>
            </w:r>
          </w:p>
          <w:p w14:paraId="38CF6853" w14:textId="6F400C57" w:rsidR="00D15ACC" w:rsidRPr="005D71A4" w:rsidRDefault="00D15ACC" w:rsidP="000D208E">
            <w:pPr>
              <w:pStyle w:val="051Tabletext228pt"/>
              <w:spacing w:before="120"/>
              <w:rPr>
                <w:sz w:val="18"/>
                <w:szCs w:val="18"/>
              </w:rPr>
            </w:pPr>
            <w:r w:rsidRPr="005D71A4">
              <w:rPr>
                <w:sz w:val="18"/>
                <w:szCs w:val="18"/>
              </w:rPr>
              <w:t xml:space="preserve">3. Open retropubic </w:t>
            </w:r>
            <w:proofErr w:type="spellStart"/>
            <w:r w:rsidRPr="005D71A4">
              <w:rPr>
                <w:sz w:val="18"/>
                <w:szCs w:val="18"/>
              </w:rPr>
              <w:t>colposuspension</w:t>
            </w:r>
            <w:proofErr w:type="spellEnd"/>
            <w:r w:rsidRPr="005D71A4">
              <w:rPr>
                <w:sz w:val="18"/>
                <w:szCs w:val="18"/>
              </w:rPr>
              <w:t xml:space="preserve"> </w:t>
            </w:r>
          </w:p>
          <w:p w14:paraId="70AD181F" w14:textId="0B8A3029" w:rsidR="00D15ACC" w:rsidRPr="005D71A4" w:rsidRDefault="00D15ACC" w:rsidP="000D208E">
            <w:pPr>
              <w:pStyle w:val="051Tabletext228pt"/>
              <w:spacing w:before="120"/>
              <w:rPr>
                <w:sz w:val="18"/>
                <w:szCs w:val="18"/>
              </w:rPr>
            </w:pPr>
            <w:r w:rsidRPr="005D71A4">
              <w:rPr>
                <w:sz w:val="18"/>
                <w:szCs w:val="18"/>
              </w:rPr>
              <w:t xml:space="preserve">4. Laparoscopic </w:t>
            </w:r>
            <w:proofErr w:type="spellStart"/>
            <w:r w:rsidRPr="005D71A4">
              <w:rPr>
                <w:sz w:val="18"/>
                <w:szCs w:val="18"/>
              </w:rPr>
              <w:t>colposuspension</w:t>
            </w:r>
            <w:proofErr w:type="spellEnd"/>
            <w:r w:rsidRPr="005D71A4">
              <w:rPr>
                <w:sz w:val="18"/>
                <w:szCs w:val="18"/>
              </w:rPr>
              <w:t xml:space="preserve"> </w:t>
            </w:r>
          </w:p>
          <w:p w14:paraId="0A7A6D29" w14:textId="39737C76" w:rsidR="00D15ACC" w:rsidRPr="005D71A4" w:rsidRDefault="00D15ACC" w:rsidP="000D208E">
            <w:pPr>
              <w:pStyle w:val="051Tabletext228pt"/>
              <w:spacing w:before="120"/>
              <w:rPr>
                <w:i/>
                <w:iCs/>
                <w:color w:val="808080" w:themeColor="background1" w:themeShade="80"/>
                <w:sz w:val="18"/>
                <w:szCs w:val="18"/>
              </w:rPr>
            </w:pPr>
            <w:r w:rsidRPr="005D71A4">
              <w:rPr>
                <w:i/>
                <w:iCs/>
                <w:color w:val="808080" w:themeColor="background1" w:themeShade="80"/>
                <w:sz w:val="18"/>
                <w:szCs w:val="18"/>
              </w:rPr>
              <w:t xml:space="preserve">5. Traditional </w:t>
            </w:r>
            <w:proofErr w:type="spellStart"/>
            <w:r w:rsidRPr="005D71A4">
              <w:rPr>
                <w:i/>
                <w:iCs/>
                <w:color w:val="808080" w:themeColor="background1" w:themeShade="80"/>
                <w:sz w:val="18"/>
                <w:szCs w:val="18"/>
              </w:rPr>
              <w:t>suburethral</w:t>
            </w:r>
            <w:proofErr w:type="spellEnd"/>
            <w:r w:rsidRPr="005D71A4">
              <w:rPr>
                <w:i/>
                <w:iCs/>
                <w:color w:val="808080" w:themeColor="background1" w:themeShade="80"/>
                <w:sz w:val="18"/>
                <w:szCs w:val="18"/>
              </w:rPr>
              <w:t xml:space="preserve"> sling procedures </w:t>
            </w:r>
          </w:p>
          <w:p w14:paraId="4D49B710" w14:textId="46302C3A" w:rsidR="00D15ACC" w:rsidRPr="005D71A4" w:rsidRDefault="00D15ACC" w:rsidP="000D208E">
            <w:pPr>
              <w:pStyle w:val="051Tabletext228pt"/>
              <w:spacing w:before="120"/>
              <w:rPr>
                <w:i/>
                <w:iCs/>
                <w:color w:val="808080" w:themeColor="background1" w:themeShade="80"/>
                <w:sz w:val="18"/>
                <w:szCs w:val="18"/>
              </w:rPr>
            </w:pPr>
            <w:r w:rsidRPr="005D71A4">
              <w:rPr>
                <w:i/>
                <w:iCs/>
                <w:color w:val="808080" w:themeColor="background1" w:themeShade="80"/>
                <w:sz w:val="18"/>
                <w:szCs w:val="18"/>
              </w:rPr>
              <w:t>6. Single-incision sling operations</w:t>
            </w:r>
          </w:p>
          <w:p w14:paraId="088BA61B" w14:textId="3A24FA64" w:rsidR="00D15ACC" w:rsidRPr="005D71A4" w:rsidRDefault="00D15ACC" w:rsidP="000D208E">
            <w:pPr>
              <w:pStyle w:val="051Tabletext228pt"/>
              <w:spacing w:before="120"/>
              <w:rPr>
                <w:i/>
                <w:iCs/>
                <w:color w:val="808080" w:themeColor="background1" w:themeShade="80"/>
                <w:sz w:val="18"/>
                <w:szCs w:val="18"/>
              </w:rPr>
            </w:pPr>
            <w:r w:rsidRPr="005D71A4">
              <w:rPr>
                <w:i/>
                <w:iCs/>
                <w:color w:val="808080" w:themeColor="background1" w:themeShade="80"/>
                <w:sz w:val="18"/>
                <w:szCs w:val="18"/>
              </w:rPr>
              <w:t>7. Anterior vaginal repair</w:t>
            </w:r>
          </w:p>
          <w:p w14:paraId="23EF8733" w14:textId="1726EE6A" w:rsidR="00D15ACC" w:rsidRPr="005D71A4" w:rsidRDefault="00D15ACC" w:rsidP="000D208E">
            <w:pPr>
              <w:pStyle w:val="051Tabletext228pt"/>
              <w:spacing w:before="120"/>
              <w:rPr>
                <w:i/>
                <w:iCs/>
                <w:color w:val="808080" w:themeColor="background1" w:themeShade="80"/>
                <w:sz w:val="18"/>
                <w:szCs w:val="18"/>
              </w:rPr>
            </w:pPr>
            <w:r w:rsidRPr="005D71A4">
              <w:rPr>
                <w:i/>
                <w:iCs/>
                <w:color w:val="808080" w:themeColor="background1" w:themeShade="80"/>
                <w:sz w:val="18"/>
                <w:szCs w:val="18"/>
              </w:rPr>
              <w:t>8. Bladder neck needle suspension</w:t>
            </w:r>
          </w:p>
          <w:p w14:paraId="010F2258" w14:textId="63B851AA" w:rsidR="00D15ACC" w:rsidRPr="005D71A4" w:rsidRDefault="00D15ACC" w:rsidP="000D208E">
            <w:pPr>
              <w:pStyle w:val="051Tabletext228pt"/>
              <w:spacing w:before="120"/>
              <w:rPr>
                <w:sz w:val="18"/>
                <w:szCs w:val="18"/>
              </w:rPr>
            </w:pPr>
            <w:r w:rsidRPr="005D71A4">
              <w:rPr>
                <w:sz w:val="18"/>
                <w:szCs w:val="18"/>
              </w:rPr>
              <w:t>9. Urethral injection therapy (periurethral injections/ injectable bulking agents)</w:t>
            </w:r>
          </w:p>
        </w:tc>
        <w:tc>
          <w:tcPr>
            <w:tcW w:w="1263" w:type="pct"/>
            <w:shd w:val="clear" w:color="auto" w:fill="auto"/>
          </w:tcPr>
          <w:p w14:paraId="12E7619E" w14:textId="77777777" w:rsidR="00D15ACC" w:rsidRPr="005D71A4" w:rsidRDefault="00D15ACC" w:rsidP="00DF47C3">
            <w:pPr>
              <w:pStyle w:val="051Tabletext228pt"/>
              <w:spacing w:before="0"/>
              <w:rPr>
                <w:sz w:val="18"/>
                <w:szCs w:val="18"/>
              </w:rPr>
            </w:pPr>
            <w:r w:rsidRPr="005D71A4">
              <w:rPr>
                <w:sz w:val="18"/>
                <w:szCs w:val="18"/>
              </w:rPr>
              <w:t>Comparison of two or more of the surgical interventions listed</w:t>
            </w:r>
          </w:p>
          <w:p w14:paraId="298FD76E" w14:textId="77777777" w:rsidR="00D15ACC" w:rsidRPr="005D71A4" w:rsidRDefault="00D15ACC" w:rsidP="00DF77EA">
            <w:pPr>
              <w:pStyle w:val="051Tabletext228pt"/>
              <w:spacing w:before="120"/>
              <w:rPr>
                <w:sz w:val="18"/>
                <w:szCs w:val="18"/>
              </w:rPr>
            </w:pPr>
            <w:r w:rsidRPr="005D71A4">
              <w:rPr>
                <w:sz w:val="18"/>
                <w:szCs w:val="18"/>
              </w:rPr>
              <w:t>OR</w:t>
            </w:r>
          </w:p>
          <w:p w14:paraId="44178AE0" w14:textId="5D8B21F3" w:rsidR="00D15ACC" w:rsidRPr="005D71A4" w:rsidRDefault="00D15ACC" w:rsidP="00DF77EA">
            <w:pPr>
              <w:pStyle w:val="051Tabletext228pt"/>
              <w:spacing w:before="120"/>
              <w:rPr>
                <w:i/>
                <w:iCs/>
                <w:sz w:val="18"/>
                <w:szCs w:val="18"/>
                <w:vertAlign w:val="superscript"/>
              </w:rPr>
            </w:pPr>
            <w:r w:rsidRPr="005D71A4">
              <w:rPr>
                <w:i/>
                <w:iCs/>
                <w:color w:val="808080" w:themeColor="background1" w:themeShade="80"/>
                <w:sz w:val="18"/>
                <w:szCs w:val="18"/>
              </w:rPr>
              <w:t>Comparison of a listed surgical intervention with pelvic floor muscle training (PFMT)</w:t>
            </w:r>
            <w:r w:rsidRPr="005D71A4">
              <w:rPr>
                <w:i/>
                <w:iCs/>
                <w:color w:val="808080" w:themeColor="background1" w:themeShade="80"/>
                <w:sz w:val="18"/>
                <w:szCs w:val="18"/>
                <w:vertAlign w:val="superscript"/>
              </w:rPr>
              <w:t>1</w:t>
            </w:r>
          </w:p>
        </w:tc>
        <w:tc>
          <w:tcPr>
            <w:tcW w:w="1075" w:type="pct"/>
            <w:shd w:val="clear" w:color="auto" w:fill="auto"/>
          </w:tcPr>
          <w:p w14:paraId="45B8FA34" w14:textId="047549B1" w:rsidR="00D15ACC" w:rsidRPr="005D71A4" w:rsidRDefault="00D15ACC" w:rsidP="00DF47C3">
            <w:pPr>
              <w:pStyle w:val="051Tabletext228pt"/>
              <w:spacing w:before="0"/>
              <w:rPr>
                <w:b/>
                <w:bCs/>
                <w:sz w:val="18"/>
                <w:szCs w:val="18"/>
              </w:rPr>
            </w:pPr>
            <w:r w:rsidRPr="005D71A4">
              <w:rPr>
                <w:b/>
                <w:bCs/>
                <w:sz w:val="18"/>
                <w:szCs w:val="18"/>
              </w:rPr>
              <w:t>Primary</w:t>
            </w:r>
          </w:p>
          <w:p w14:paraId="42E0198E" w14:textId="197C042D" w:rsidR="00D15ACC" w:rsidRPr="005D71A4" w:rsidRDefault="00D15ACC" w:rsidP="007F6BF9">
            <w:pPr>
              <w:pStyle w:val="051Tabletext228pt"/>
              <w:spacing w:before="0"/>
              <w:rPr>
                <w:sz w:val="18"/>
                <w:szCs w:val="18"/>
              </w:rPr>
            </w:pPr>
            <w:r w:rsidRPr="005D71A4">
              <w:rPr>
                <w:sz w:val="18"/>
                <w:szCs w:val="18"/>
              </w:rPr>
              <w:t>Number of women cured (defined as resolution of clinical symptoms)</w:t>
            </w:r>
          </w:p>
          <w:p w14:paraId="0135D214" w14:textId="77777777" w:rsidR="00D15ACC" w:rsidRPr="005D71A4" w:rsidRDefault="00D15ACC" w:rsidP="00AB064F">
            <w:pPr>
              <w:pStyle w:val="051Tabletext228pt"/>
              <w:spacing w:before="120"/>
              <w:rPr>
                <w:sz w:val="18"/>
                <w:szCs w:val="18"/>
              </w:rPr>
            </w:pPr>
            <w:r w:rsidRPr="005D71A4">
              <w:rPr>
                <w:sz w:val="18"/>
                <w:szCs w:val="18"/>
              </w:rPr>
              <w:t>Number of women cured or improved (referred to as ‘ improvement’)</w:t>
            </w:r>
          </w:p>
          <w:p w14:paraId="5B56ED62" w14:textId="2DD57123" w:rsidR="00D15ACC" w:rsidRPr="005D71A4" w:rsidRDefault="00D15ACC" w:rsidP="00AB064F">
            <w:pPr>
              <w:pStyle w:val="051Tabletext228pt"/>
              <w:spacing w:before="120"/>
              <w:rPr>
                <w:sz w:val="18"/>
                <w:szCs w:val="18"/>
                <w:vertAlign w:val="superscript"/>
              </w:rPr>
            </w:pPr>
            <w:r w:rsidRPr="005D71A4">
              <w:rPr>
                <w:b/>
                <w:bCs/>
                <w:sz w:val="18"/>
                <w:szCs w:val="18"/>
              </w:rPr>
              <w:t>Secondary</w:t>
            </w:r>
            <w:r w:rsidRPr="005D71A4">
              <w:rPr>
                <w:sz w:val="18"/>
                <w:szCs w:val="18"/>
                <w:vertAlign w:val="superscript"/>
              </w:rPr>
              <w:t>3</w:t>
            </w:r>
          </w:p>
          <w:p w14:paraId="4F8DB787" w14:textId="70621644" w:rsidR="00D15ACC" w:rsidRPr="005D71A4" w:rsidRDefault="00D15ACC" w:rsidP="007F6BF9">
            <w:pPr>
              <w:pStyle w:val="051Tabletext228pt"/>
              <w:spacing w:before="0"/>
              <w:rPr>
                <w:sz w:val="18"/>
                <w:szCs w:val="18"/>
                <w:vertAlign w:val="superscript"/>
              </w:rPr>
            </w:pPr>
            <w:r w:rsidRPr="005D71A4">
              <w:rPr>
                <w:sz w:val="18"/>
                <w:szCs w:val="18"/>
              </w:rPr>
              <w:t>Repeat continence surgery (long-term)</w:t>
            </w:r>
          </w:p>
          <w:p w14:paraId="0A8FD156" w14:textId="7DFD24A3" w:rsidR="00D15ACC" w:rsidRPr="005D71A4" w:rsidRDefault="00D15ACC" w:rsidP="00AB064F">
            <w:pPr>
              <w:pStyle w:val="051Tabletext228pt"/>
              <w:spacing w:before="120"/>
              <w:rPr>
                <w:sz w:val="18"/>
                <w:szCs w:val="18"/>
                <w:vertAlign w:val="superscript"/>
              </w:rPr>
            </w:pPr>
            <w:r w:rsidRPr="005D71A4">
              <w:rPr>
                <w:sz w:val="18"/>
                <w:szCs w:val="18"/>
              </w:rPr>
              <w:t>Adverse events</w:t>
            </w:r>
          </w:p>
          <w:p w14:paraId="78EC8F57" w14:textId="73737DD1" w:rsidR="00D15ACC" w:rsidRPr="005D71A4" w:rsidRDefault="00D15ACC" w:rsidP="00AB064F">
            <w:pPr>
              <w:pStyle w:val="051Tabletext228pt"/>
              <w:spacing w:before="120"/>
              <w:rPr>
                <w:sz w:val="18"/>
                <w:szCs w:val="18"/>
                <w:vertAlign w:val="superscript"/>
              </w:rPr>
            </w:pPr>
            <w:r w:rsidRPr="005D71A4">
              <w:rPr>
                <w:sz w:val="18"/>
                <w:szCs w:val="18"/>
              </w:rPr>
              <w:t>Resource use</w:t>
            </w:r>
          </w:p>
        </w:tc>
      </w:tr>
    </w:tbl>
    <w:p w14:paraId="43F1E3CE" w14:textId="6119E3A8" w:rsidR="00FB6CEC" w:rsidRDefault="00FB6CEC" w:rsidP="00C44C03">
      <w:pPr>
        <w:pStyle w:val="101Tablefootnotes8pt"/>
      </w:pPr>
      <w:r>
        <w:t xml:space="preserve">Source: </w:t>
      </w:r>
      <w:r w:rsidR="00245CE2">
        <w:rPr>
          <w:noProof/>
        </w:rPr>
        <w:t>(Brazzelli 2019)</w:t>
      </w:r>
    </w:p>
    <w:p w14:paraId="24C4E3BE" w14:textId="653F2EC3" w:rsidR="00512533" w:rsidRPr="00B0485F" w:rsidRDefault="00512533" w:rsidP="00C44C03">
      <w:pPr>
        <w:pStyle w:val="101Tablefootnotes8pt"/>
      </w:pPr>
      <w:r w:rsidRPr="00B0485F">
        <w:t xml:space="preserve">Abbreviations: </w:t>
      </w:r>
      <w:r w:rsidR="003B5522" w:rsidRPr="00B0485F">
        <w:t xml:space="preserve">MUI, mixed urinary incontinence; </w:t>
      </w:r>
      <w:r w:rsidR="00384D02" w:rsidRPr="00B0485F">
        <w:t xml:space="preserve">MUS, mid-urethral sling; </w:t>
      </w:r>
      <w:r w:rsidR="008257AA" w:rsidRPr="00B0485F">
        <w:t xml:space="preserve">PFMT, pelvic floor muscle training; </w:t>
      </w:r>
      <w:r w:rsidRPr="00B0485F">
        <w:t>SUI, stress urinary incontinence</w:t>
      </w:r>
      <w:r w:rsidR="008257AA" w:rsidRPr="00B0485F">
        <w:t>.</w:t>
      </w:r>
    </w:p>
    <w:p w14:paraId="196BB6BD" w14:textId="222CF6D8" w:rsidR="00D05209" w:rsidRPr="00B0485F" w:rsidRDefault="00D05209" w:rsidP="009851D3">
      <w:pPr>
        <w:pStyle w:val="101Tablefootnotes8pt"/>
      </w:pPr>
      <w:r w:rsidRPr="00DC0D2F">
        <w:rPr>
          <w:vertAlign w:val="superscript"/>
        </w:rPr>
        <w:t>1</w:t>
      </w:r>
      <w:r w:rsidRPr="00B0485F">
        <w:rPr>
          <w:color w:val="808080" w:themeColor="background1" w:themeShade="80"/>
        </w:rPr>
        <w:t xml:space="preserve"> </w:t>
      </w:r>
      <w:r w:rsidR="00EF6E38" w:rsidRPr="00B0485F">
        <w:t>Studies comparing a surgical intervention with PFMT were used to develop the NMA treatment diagram for assessing direct and indirect treatment comparisons</w:t>
      </w:r>
    </w:p>
    <w:p w14:paraId="3A5F82F1" w14:textId="722386FA" w:rsidR="009851D3" w:rsidRPr="00B0485F" w:rsidRDefault="009851D3" w:rsidP="009851D3">
      <w:pPr>
        <w:pStyle w:val="101Tablefootnotes8pt"/>
        <w:rPr>
          <w:rStyle w:val="101Tablefootnotes8ptChar"/>
        </w:rPr>
      </w:pPr>
      <w:r w:rsidRPr="00B0485F">
        <w:rPr>
          <w:rStyle w:val="101Tablefootnotes8ptChar"/>
          <w:vertAlign w:val="superscript"/>
        </w:rPr>
        <w:t xml:space="preserve">2 </w:t>
      </w:r>
      <w:r w:rsidRPr="00B0485F">
        <w:rPr>
          <w:rStyle w:val="101Tablefootnotes8ptChar"/>
        </w:rPr>
        <w:t xml:space="preserve">Inclusion of these outcomes was not an </w:t>
      </w:r>
      <w:proofErr w:type="gramStart"/>
      <w:r w:rsidRPr="00B0485F">
        <w:rPr>
          <w:rStyle w:val="101Tablefootnotes8ptChar"/>
        </w:rPr>
        <w:t>eligibility criteria</w:t>
      </w:r>
      <w:proofErr w:type="gramEnd"/>
      <w:r w:rsidRPr="00B0485F">
        <w:rPr>
          <w:rStyle w:val="101Tablefootnotes8ptChar"/>
        </w:rPr>
        <w:t xml:space="preserve"> for selecting studies for inclusion</w:t>
      </w:r>
    </w:p>
    <w:p w14:paraId="7D2F18F6" w14:textId="126EF4DE" w:rsidR="009851D3" w:rsidRPr="00B0485F" w:rsidRDefault="009851D3" w:rsidP="009851D3">
      <w:pPr>
        <w:pStyle w:val="101Tablefootnotes8pt"/>
        <w:rPr>
          <w:rStyle w:val="101Tablefootnotes8ptChar"/>
        </w:rPr>
      </w:pPr>
      <w:r w:rsidRPr="00B0485F">
        <w:rPr>
          <w:rStyle w:val="101Tablefootnotes8ptChar"/>
          <w:vertAlign w:val="superscript"/>
        </w:rPr>
        <w:t>3</w:t>
      </w:r>
      <w:r w:rsidRPr="00B0485F">
        <w:rPr>
          <w:rStyle w:val="101Tablefootnotes8ptChar"/>
        </w:rPr>
        <w:t xml:space="preserve"> Not included as an outcome in the </w:t>
      </w:r>
      <w:r w:rsidR="0071536D">
        <w:rPr>
          <w:rStyle w:val="101Tablefootnotes8ptChar"/>
        </w:rPr>
        <w:t>NMA</w:t>
      </w:r>
    </w:p>
    <w:p w14:paraId="12DD852A" w14:textId="2058979D" w:rsidR="009851D3" w:rsidRPr="003D6C3C" w:rsidRDefault="00502689" w:rsidP="009851D3">
      <w:pPr>
        <w:pStyle w:val="111Tablefootnoteslast-nostick8pt"/>
        <w:rPr>
          <w:i/>
          <w:iCs/>
          <w:color w:val="808080" w:themeColor="background1" w:themeShade="80"/>
          <w:lang w:val="en-AU"/>
        </w:rPr>
      </w:pPr>
      <w:r>
        <w:rPr>
          <w:i/>
          <w:iCs/>
          <w:color w:val="808080" w:themeColor="background1" w:themeShade="80"/>
          <w:lang w:val="en-AU"/>
        </w:rPr>
        <w:t xml:space="preserve">Note: </w:t>
      </w:r>
      <w:r w:rsidR="009851D3" w:rsidRPr="003D6C3C">
        <w:rPr>
          <w:i/>
          <w:iCs/>
          <w:color w:val="808080" w:themeColor="background1" w:themeShade="80"/>
          <w:lang w:val="en-AU"/>
        </w:rPr>
        <w:t xml:space="preserve">Interventions and comparisons listed in grey </w:t>
      </w:r>
      <w:r w:rsidR="003D6C3C" w:rsidRPr="003D6C3C">
        <w:rPr>
          <w:i/>
          <w:iCs/>
          <w:color w:val="808080" w:themeColor="background1" w:themeShade="80"/>
          <w:lang w:val="en-AU"/>
        </w:rPr>
        <w:t xml:space="preserve">italic </w:t>
      </w:r>
      <w:r w:rsidR="009851D3" w:rsidRPr="003D6C3C">
        <w:rPr>
          <w:i/>
          <w:iCs/>
          <w:color w:val="808080" w:themeColor="background1" w:themeShade="80"/>
          <w:lang w:val="en-AU"/>
        </w:rPr>
        <w:t>text are out of scope for this post-listing review</w:t>
      </w:r>
    </w:p>
    <w:p w14:paraId="0B6D9F66" w14:textId="086CF939" w:rsidR="00A20E5F" w:rsidRPr="00B0485F" w:rsidRDefault="008F528D" w:rsidP="00163E42">
      <w:pPr>
        <w:pStyle w:val="BodyText"/>
      </w:pPr>
      <w:r w:rsidRPr="00B0485F">
        <w:t>For the primary outcome of ‘cure’</w:t>
      </w:r>
      <w:r w:rsidR="005C6FC8">
        <w:t>,</w:t>
      </w:r>
      <w:r w:rsidRPr="00B0485F">
        <w:t xml:space="preserve"> </w:t>
      </w:r>
      <w:r w:rsidR="0035522B" w:rsidRPr="00B0485F">
        <w:t xml:space="preserve">women’s self-report of cure was used where available. </w:t>
      </w:r>
      <w:r w:rsidR="00B15B3C" w:rsidRPr="00B0485F">
        <w:t xml:space="preserve">In the absence of subjective cure, a composite measure of subjective and objective cure was used. </w:t>
      </w:r>
      <w:r w:rsidR="00F30579" w:rsidRPr="00B0485F">
        <w:t>P</w:t>
      </w:r>
      <w:r w:rsidR="00E57FBC" w:rsidRPr="00B0485F">
        <w:t>ad tests and urodynamic tests</w:t>
      </w:r>
      <w:r w:rsidR="00F61EB3" w:rsidRPr="00B0485F">
        <w:t xml:space="preserve"> were only used if self-reported or composite cure data w</w:t>
      </w:r>
      <w:r w:rsidR="006632D0">
        <w:t>ere</w:t>
      </w:r>
      <w:r w:rsidR="00F61EB3" w:rsidRPr="00B0485F">
        <w:t xml:space="preserve"> not available.</w:t>
      </w:r>
      <w:r w:rsidR="004F7C41" w:rsidRPr="00B0485F">
        <w:t xml:space="preserve"> Similarly</w:t>
      </w:r>
      <w:r w:rsidR="006632D0">
        <w:t>,</w:t>
      </w:r>
      <w:r w:rsidR="004F7C41" w:rsidRPr="00B0485F">
        <w:t xml:space="preserve"> for the primary </w:t>
      </w:r>
      <w:r w:rsidR="004F7C41" w:rsidRPr="00B0485F">
        <w:lastRenderedPageBreak/>
        <w:t xml:space="preserve">outcome of ‘improvement’, women’s </w:t>
      </w:r>
      <w:r w:rsidR="000A6A46" w:rsidRPr="00B0485F">
        <w:t xml:space="preserve">self-report of improvement was given priority. </w:t>
      </w:r>
      <w:r w:rsidR="00F31CC2" w:rsidRPr="00B0485F">
        <w:t xml:space="preserve">Self-reported satisfaction rate was used if self-reported improvement was not available. </w:t>
      </w:r>
      <w:r w:rsidR="00F70AA8" w:rsidRPr="00B0485F">
        <w:t>Improvement based on pad tests and urodynamic tests were considered in the absence of</w:t>
      </w:r>
      <w:r w:rsidR="0056568F" w:rsidRPr="00B0485F">
        <w:t xml:space="preserve"> self-reported improvement or satisfaction.</w:t>
      </w:r>
    </w:p>
    <w:p w14:paraId="0C1ACF29" w14:textId="28C610B1" w:rsidR="00BB44C9" w:rsidRDefault="00D25873" w:rsidP="00BB4A4C">
      <w:pPr>
        <w:pStyle w:val="BodyText"/>
      </w:pPr>
      <w:r w:rsidRPr="00B0485F">
        <w:t xml:space="preserve">The </w:t>
      </w:r>
      <w:r w:rsidR="003333DF" w:rsidRPr="00B0485F">
        <w:t>NMA</w:t>
      </w:r>
      <w:r w:rsidRPr="00B0485F">
        <w:t xml:space="preserve"> was performed for the primary outcomes only</w:t>
      </w:r>
      <w:r w:rsidR="00C01B92" w:rsidRPr="00B0485F">
        <w:t xml:space="preserve"> (see </w:t>
      </w:r>
      <w:r w:rsidR="00C01B92" w:rsidRPr="00B0485F">
        <w:rPr>
          <w:b/>
          <w:bCs/>
        </w:rPr>
        <w:fldChar w:fldCharType="begin"/>
      </w:r>
      <w:r w:rsidR="00C01B92" w:rsidRPr="00B0485F">
        <w:rPr>
          <w:b/>
          <w:bCs/>
        </w:rPr>
        <w:instrText xml:space="preserve"> REF _Ref130971686 \h  \* MERGEFORMAT </w:instrText>
      </w:r>
      <w:r w:rsidR="00C01B92" w:rsidRPr="00B0485F">
        <w:rPr>
          <w:b/>
          <w:bCs/>
        </w:rPr>
      </w:r>
      <w:r w:rsidR="00C01B92" w:rsidRPr="00B0485F">
        <w:rPr>
          <w:b/>
          <w:bCs/>
        </w:rPr>
        <w:fldChar w:fldCharType="separate"/>
      </w:r>
      <w:r w:rsidR="007105D3" w:rsidRPr="007105D3">
        <w:rPr>
          <w:b/>
          <w:bCs/>
        </w:rPr>
        <w:t xml:space="preserve">Table </w:t>
      </w:r>
      <w:r w:rsidR="007105D3" w:rsidRPr="007105D3">
        <w:rPr>
          <w:b/>
        </w:rPr>
        <w:t>6</w:t>
      </w:r>
      <w:r w:rsidR="00C01B92" w:rsidRPr="00B0485F">
        <w:rPr>
          <w:b/>
          <w:bCs/>
        </w:rPr>
        <w:fldChar w:fldCharType="end"/>
      </w:r>
      <w:r w:rsidR="00C01B92" w:rsidRPr="00B0485F">
        <w:t>)</w:t>
      </w:r>
      <w:r w:rsidR="00BB4A4C" w:rsidRPr="00B0485F">
        <w:t xml:space="preserve"> and included all surgical interventions </w:t>
      </w:r>
      <w:r w:rsidR="00937B02" w:rsidRPr="00B0485F">
        <w:t xml:space="preserve">listed </w:t>
      </w:r>
      <w:r w:rsidR="00BB4A4C" w:rsidRPr="00B0485F">
        <w:t xml:space="preserve">in </w:t>
      </w:r>
      <w:r w:rsidR="00BB4A4C" w:rsidRPr="00B0485F">
        <w:rPr>
          <w:b/>
          <w:bCs/>
        </w:rPr>
        <w:fldChar w:fldCharType="begin"/>
      </w:r>
      <w:r w:rsidR="00BB4A4C" w:rsidRPr="00B0485F">
        <w:rPr>
          <w:b/>
          <w:bCs/>
        </w:rPr>
        <w:instrText xml:space="preserve"> REF _Ref130971686 \h  \* MERGEFORMAT </w:instrText>
      </w:r>
      <w:r w:rsidR="00BB4A4C" w:rsidRPr="00B0485F">
        <w:rPr>
          <w:b/>
          <w:bCs/>
        </w:rPr>
      </w:r>
      <w:r w:rsidR="00BB4A4C" w:rsidRPr="00B0485F">
        <w:rPr>
          <w:b/>
          <w:bCs/>
        </w:rPr>
        <w:fldChar w:fldCharType="separate"/>
      </w:r>
      <w:r w:rsidR="007105D3" w:rsidRPr="007105D3">
        <w:rPr>
          <w:b/>
          <w:bCs/>
        </w:rPr>
        <w:t xml:space="preserve">Table </w:t>
      </w:r>
      <w:r w:rsidR="007105D3" w:rsidRPr="007105D3">
        <w:rPr>
          <w:b/>
        </w:rPr>
        <w:t>6</w:t>
      </w:r>
      <w:r w:rsidR="00BB4A4C" w:rsidRPr="00B0485F">
        <w:rPr>
          <w:b/>
          <w:bCs/>
        </w:rPr>
        <w:fldChar w:fldCharType="end"/>
      </w:r>
      <w:r w:rsidR="004501D0" w:rsidRPr="004501D0">
        <w:t>,</w:t>
      </w:r>
      <w:r w:rsidR="00BB4A4C" w:rsidRPr="004501D0">
        <w:t xml:space="preserve"> </w:t>
      </w:r>
      <w:r w:rsidR="00BB4A4C" w:rsidRPr="00B0485F">
        <w:t>with the exception of urethral injection therapy (bulking agents)</w:t>
      </w:r>
      <w:r w:rsidR="002E2167" w:rsidRPr="00B0485F">
        <w:t>,</w:t>
      </w:r>
      <w:r w:rsidR="00BB4A4C" w:rsidRPr="00B0485F">
        <w:t xml:space="preserve"> which was judged not to add any information to the network.</w:t>
      </w:r>
    </w:p>
    <w:p w14:paraId="740BE795" w14:textId="60F229D7" w:rsidR="00BB4A4C" w:rsidRPr="00B0485F" w:rsidRDefault="00091236" w:rsidP="00BB4A4C">
      <w:pPr>
        <w:pStyle w:val="BodyText"/>
      </w:pPr>
      <w:r>
        <w:t xml:space="preserve">Traditional </w:t>
      </w:r>
      <w:proofErr w:type="spellStart"/>
      <w:r>
        <w:t>sub</w:t>
      </w:r>
      <w:r w:rsidR="00B444E1">
        <w:t>urethral</w:t>
      </w:r>
      <w:proofErr w:type="spellEnd"/>
      <w:r w:rsidR="00B444E1">
        <w:t xml:space="preserve"> sling procedures </w:t>
      </w:r>
      <w:r w:rsidR="00BB44C9">
        <w:t>were defined as</w:t>
      </w:r>
      <w:r w:rsidR="00114061">
        <w:t xml:space="preserve"> “</w:t>
      </w:r>
      <w:r w:rsidR="00114061" w:rsidRPr="00114061">
        <w:t>A</w:t>
      </w:r>
      <w:r w:rsidR="00114061">
        <w:t xml:space="preserve"> </w:t>
      </w:r>
      <w:r w:rsidR="00114061" w:rsidRPr="00114061">
        <w:t>procedure</w:t>
      </w:r>
      <w:r w:rsidR="00114061">
        <w:t xml:space="preserve"> </w:t>
      </w:r>
      <w:r w:rsidR="00114061" w:rsidRPr="00114061">
        <w:t>that</w:t>
      </w:r>
      <w:r w:rsidR="00114061">
        <w:t xml:space="preserve"> </w:t>
      </w:r>
      <w:r w:rsidR="00114061" w:rsidRPr="00114061">
        <w:t>improves</w:t>
      </w:r>
      <w:r w:rsidR="00114061">
        <w:t xml:space="preserve"> </w:t>
      </w:r>
      <w:r w:rsidR="00114061" w:rsidRPr="00114061">
        <w:t>urethral</w:t>
      </w:r>
      <w:r w:rsidR="00114061">
        <w:t xml:space="preserve"> </w:t>
      </w:r>
      <w:r w:rsidR="00114061" w:rsidRPr="00114061">
        <w:t>support</w:t>
      </w:r>
      <w:r w:rsidR="00114061">
        <w:t xml:space="preserve"> </w:t>
      </w:r>
      <w:r w:rsidR="00114061" w:rsidRPr="00114061">
        <w:t>by</w:t>
      </w:r>
      <w:r w:rsidR="00114061">
        <w:t xml:space="preserve"> </w:t>
      </w:r>
      <w:r w:rsidR="00114061" w:rsidRPr="00114061">
        <w:t>lifting</w:t>
      </w:r>
      <w:r w:rsidR="00114061">
        <w:t xml:space="preserve"> </w:t>
      </w:r>
      <w:r w:rsidR="00114061" w:rsidRPr="00114061">
        <w:t>the urethra–vesical</w:t>
      </w:r>
      <w:r w:rsidR="00114061">
        <w:t xml:space="preserve"> </w:t>
      </w:r>
      <w:r w:rsidR="00114061" w:rsidRPr="00114061">
        <w:t>junction</w:t>
      </w:r>
      <w:r w:rsidR="00114061">
        <w:t xml:space="preserve"> </w:t>
      </w:r>
      <w:r w:rsidR="00114061" w:rsidRPr="00114061">
        <w:t>and</w:t>
      </w:r>
      <w:r w:rsidR="00114061">
        <w:t xml:space="preserve"> </w:t>
      </w:r>
      <w:r w:rsidR="00114061" w:rsidRPr="00114061">
        <w:t>supporting</w:t>
      </w:r>
      <w:r w:rsidR="00114061">
        <w:t xml:space="preserve"> </w:t>
      </w:r>
      <w:r w:rsidR="00114061" w:rsidRPr="00114061">
        <w:t>it</w:t>
      </w:r>
      <w:r w:rsidR="00114061">
        <w:t xml:space="preserve"> </w:t>
      </w:r>
      <w:r w:rsidR="00114061" w:rsidRPr="00114061">
        <w:t>with</w:t>
      </w:r>
      <w:r w:rsidR="00114061">
        <w:t xml:space="preserve"> </w:t>
      </w:r>
      <w:r w:rsidR="00114061" w:rsidRPr="00114061">
        <w:t>autologous</w:t>
      </w:r>
      <w:r w:rsidR="00114061">
        <w:t xml:space="preserve"> </w:t>
      </w:r>
      <w:r w:rsidR="00114061" w:rsidRPr="00114061">
        <w:t>or</w:t>
      </w:r>
      <w:r w:rsidR="00114061">
        <w:t xml:space="preserve"> synthetic </w:t>
      </w:r>
      <w:r w:rsidR="00114061" w:rsidRPr="00114061">
        <w:t>material</w:t>
      </w:r>
      <w:r w:rsidR="00114061">
        <w:t>”</w:t>
      </w:r>
      <w:r w:rsidR="00E30E75">
        <w:t xml:space="preserve"> </w:t>
      </w:r>
      <w:r w:rsidR="00245CE2">
        <w:rPr>
          <w:noProof/>
        </w:rPr>
        <w:t>(Brazzelli 2019)</w:t>
      </w:r>
      <w:r w:rsidR="008A6888">
        <w:t>.</w:t>
      </w:r>
      <w:r w:rsidR="00616015">
        <w:t xml:space="preserve"> </w:t>
      </w:r>
      <w:r w:rsidR="008155A9">
        <w:t>Whil</w:t>
      </w:r>
      <w:r w:rsidR="00B91087">
        <w:t>e</w:t>
      </w:r>
      <w:r w:rsidR="008155A9">
        <w:t xml:space="preserve"> </w:t>
      </w:r>
      <w:r w:rsidR="008A7AED">
        <w:t xml:space="preserve">data on </w:t>
      </w:r>
      <w:r w:rsidR="008155A9">
        <w:t>pubovaginal sling</w:t>
      </w:r>
      <w:r w:rsidR="00810FFC">
        <w:t>s</w:t>
      </w:r>
      <w:r w:rsidR="008155A9">
        <w:t xml:space="preserve"> </w:t>
      </w:r>
      <w:r w:rsidR="00810FFC">
        <w:t xml:space="preserve">using </w:t>
      </w:r>
      <w:r w:rsidR="008155A9">
        <w:t xml:space="preserve">native tissue </w:t>
      </w:r>
      <w:r w:rsidR="00302CD6">
        <w:t>may</w:t>
      </w:r>
      <w:r w:rsidR="00F4001B">
        <w:t xml:space="preserve"> have</w:t>
      </w:r>
      <w:r w:rsidR="00302CD6">
        <w:t xml:space="preserve"> be</w:t>
      </w:r>
      <w:r w:rsidR="00F4001B">
        <w:t>en</w:t>
      </w:r>
      <w:r w:rsidR="00302CD6">
        <w:t xml:space="preserve"> included in this category, the data could not be used for the purposes of this review as it was </w:t>
      </w:r>
      <w:r w:rsidR="00C12A10">
        <w:t xml:space="preserve">combined with </w:t>
      </w:r>
      <w:r w:rsidR="00F61E00">
        <w:t xml:space="preserve">traditional </w:t>
      </w:r>
      <w:proofErr w:type="spellStart"/>
      <w:r w:rsidR="00F61E00">
        <w:t>suburethral</w:t>
      </w:r>
      <w:proofErr w:type="spellEnd"/>
      <w:r w:rsidR="00F61E00">
        <w:t xml:space="preserve"> sling procedures using </w:t>
      </w:r>
      <w:r w:rsidR="00F4001B">
        <w:t>synthetic materials</w:t>
      </w:r>
      <w:r w:rsidR="00270F4F">
        <w:t xml:space="preserve"> </w:t>
      </w:r>
      <w:r w:rsidR="006A274E">
        <w:t>(</w:t>
      </w:r>
      <w:r w:rsidR="00270F4F">
        <w:t>not in scope</w:t>
      </w:r>
      <w:r w:rsidR="008A7AED">
        <w:t xml:space="preserve"> for this review</w:t>
      </w:r>
      <w:r w:rsidR="006A274E">
        <w:t>)</w:t>
      </w:r>
      <w:r w:rsidR="00270F4F">
        <w:t>.</w:t>
      </w:r>
    </w:p>
    <w:p w14:paraId="090F82E1" w14:textId="050B0EBC" w:rsidR="00B57334" w:rsidRPr="00B0485F" w:rsidRDefault="00B57334" w:rsidP="00163E42">
      <w:pPr>
        <w:pStyle w:val="BodyText"/>
      </w:pPr>
      <w:r w:rsidRPr="00B0485F">
        <w:t xml:space="preserve">The quality of the evidence included in the </w:t>
      </w:r>
      <w:r w:rsidR="0077346C">
        <w:t>NMA</w:t>
      </w:r>
      <w:r w:rsidRPr="00B0485F">
        <w:t xml:space="preserve"> was </w:t>
      </w:r>
      <w:r w:rsidR="00CA5363" w:rsidRPr="00B0485F">
        <w:t xml:space="preserve">rated using the GRADE approach. </w:t>
      </w:r>
      <w:r w:rsidR="007364F0" w:rsidRPr="00B0485F">
        <w:t>Outcomes measure</w:t>
      </w:r>
      <w:r w:rsidR="001C3BD4" w:rsidRPr="00B0485F">
        <w:t>d</w:t>
      </w:r>
      <w:r w:rsidR="007364F0" w:rsidRPr="00B0485F">
        <w:t xml:space="preserve"> </w:t>
      </w:r>
      <w:r w:rsidR="00604E63" w:rsidRPr="00B0485F">
        <w:t xml:space="preserve">at </w:t>
      </w:r>
      <w:r w:rsidR="005A09B6" w:rsidRPr="00B0485F">
        <w:t>12 months</w:t>
      </w:r>
      <w:r w:rsidR="00831640" w:rsidRPr="00B0485F">
        <w:t xml:space="preserve"> (or a timepoint closest to 12 months)</w:t>
      </w:r>
      <w:r w:rsidR="001C3BD4" w:rsidRPr="00B0485F">
        <w:t xml:space="preserve"> were included</w:t>
      </w:r>
      <w:r w:rsidR="0083251E" w:rsidRPr="00B0485F">
        <w:t>. Studies with a time point of &lt;2 weeks or &gt;36 months were excluded.</w:t>
      </w:r>
    </w:p>
    <w:p w14:paraId="6BD02E2E" w14:textId="60E17CDB" w:rsidR="00E97C49" w:rsidRPr="00B0485F" w:rsidRDefault="00E97C49" w:rsidP="00D26049">
      <w:pPr>
        <w:pStyle w:val="Heading4"/>
      </w:pPr>
      <w:r w:rsidRPr="00B0485F">
        <w:t>Included studies</w:t>
      </w:r>
    </w:p>
    <w:p w14:paraId="1F87447C" w14:textId="0E9F4329" w:rsidR="00B772AC" w:rsidRPr="00B0485F" w:rsidRDefault="00D24AD0" w:rsidP="00E97C49">
      <w:pPr>
        <w:pStyle w:val="BodyText"/>
      </w:pPr>
      <w:r>
        <w:t>A total of 105</w:t>
      </w:r>
      <w:r w:rsidR="006D3B7F" w:rsidRPr="00B0485F">
        <w:t xml:space="preserve"> trials </w:t>
      </w:r>
      <w:r w:rsidR="0051713A" w:rsidRPr="00B0485F">
        <w:t xml:space="preserve">contributed to the NMA </w:t>
      </w:r>
      <w:r w:rsidR="00CE4025" w:rsidRPr="00B0485F">
        <w:t xml:space="preserve">for </w:t>
      </w:r>
      <w:r w:rsidR="00C82E98" w:rsidRPr="00B0485F">
        <w:t xml:space="preserve">assessing </w:t>
      </w:r>
      <w:r w:rsidR="00FA0118" w:rsidRPr="00B0485F">
        <w:t>the outcome of number of women cured</w:t>
      </w:r>
      <w:r w:rsidR="007716EF" w:rsidRPr="00B0485F">
        <w:t>, and 120 trials</w:t>
      </w:r>
      <w:r w:rsidR="004C1020" w:rsidRPr="00B0485F">
        <w:t xml:space="preserve"> were included for</w:t>
      </w:r>
      <w:r w:rsidR="00C82E98" w:rsidRPr="00B0485F">
        <w:t xml:space="preserve"> assessing </w:t>
      </w:r>
      <w:r w:rsidR="006040CB" w:rsidRPr="00B0485F">
        <w:t xml:space="preserve">the </w:t>
      </w:r>
      <w:r w:rsidR="00D11908" w:rsidRPr="00B0485F">
        <w:t>number of women improved.</w:t>
      </w:r>
      <w:r w:rsidR="006040CB" w:rsidRPr="00B0485F">
        <w:t xml:space="preserve"> </w:t>
      </w:r>
      <w:r w:rsidR="00B16442" w:rsidRPr="00B0485F">
        <w:t xml:space="preserve">The interventions included in the NMA were not all relevant to the scope of this post-listing review. </w:t>
      </w:r>
      <w:r w:rsidR="007F2254" w:rsidRPr="00B0485F">
        <w:t>The</w:t>
      </w:r>
      <w:r w:rsidR="003E6205" w:rsidRPr="00B0485F">
        <w:t xml:space="preserve"> comparisons and</w:t>
      </w:r>
      <w:r w:rsidR="007F2254" w:rsidRPr="00B0485F">
        <w:t xml:space="preserve"> number of trials </w:t>
      </w:r>
      <w:r w:rsidR="00F6495F">
        <w:t>providing direct evidence</w:t>
      </w:r>
      <w:r w:rsidR="007F2254" w:rsidRPr="00B0485F">
        <w:t xml:space="preserve"> </w:t>
      </w:r>
      <w:r w:rsidR="003E6205" w:rsidRPr="00B0485F">
        <w:t>for</w:t>
      </w:r>
      <w:r w:rsidR="007F2254" w:rsidRPr="00B0485F">
        <w:t xml:space="preserve"> each</w:t>
      </w:r>
      <w:r w:rsidR="00E9777C" w:rsidRPr="00B0485F">
        <w:t xml:space="preserve"> comparison</w:t>
      </w:r>
      <w:r w:rsidR="00D11908" w:rsidRPr="00B0485F">
        <w:t xml:space="preserve"> </w:t>
      </w:r>
      <w:r w:rsidR="008F6226" w:rsidRPr="00B0485F">
        <w:t>relevant to</w:t>
      </w:r>
      <w:r w:rsidR="00B772AC" w:rsidRPr="00B0485F">
        <w:t xml:space="preserve"> th</w:t>
      </w:r>
      <w:r w:rsidR="006049AC">
        <w:t>is</w:t>
      </w:r>
      <w:r w:rsidR="008F6226" w:rsidRPr="00B0485F">
        <w:t xml:space="preserve"> review</w:t>
      </w:r>
      <w:r w:rsidR="00B772AC" w:rsidRPr="00B0485F">
        <w:t xml:space="preserve"> is summari</w:t>
      </w:r>
      <w:r w:rsidR="002E674A" w:rsidRPr="00B0485F">
        <w:t>s</w:t>
      </w:r>
      <w:r w:rsidR="00B772AC" w:rsidRPr="00B0485F">
        <w:t xml:space="preserve">ed in </w:t>
      </w:r>
      <w:r w:rsidR="00B772AC" w:rsidRPr="00B0485F">
        <w:rPr>
          <w:b/>
          <w:bCs/>
        </w:rPr>
        <w:fldChar w:fldCharType="begin"/>
      </w:r>
      <w:r w:rsidR="00B772AC" w:rsidRPr="00B0485F">
        <w:rPr>
          <w:b/>
          <w:bCs/>
        </w:rPr>
        <w:instrText xml:space="preserve"> REF _Ref130996452 \h  \* MERGEFORMAT </w:instrText>
      </w:r>
      <w:r w:rsidR="00B772AC" w:rsidRPr="00B0485F">
        <w:rPr>
          <w:b/>
          <w:bCs/>
        </w:rPr>
      </w:r>
      <w:r w:rsidR="00B772AC" w:rsidRPr="00B0485F">
        <w:rPr>
          <w:b/>
          <w:bCs/>
        </w:rPr>
        <w:fldChar w:fldCharType="separate"/>
      </w:r>
      <w:r w:rsidR="007105D3" w:rsidRPr="007105D3">
        <w:rPr>
          <w:b/>
          <w:bCs/>
        </w:rPr>
        <w:t xml:space="preserve">Table </w:t>
      </w:r>
      <w:r w:rsidR="007105D3" w:rsidRPr="007105D3">
        <w:rPr>
          <w:b/>
        </w:rPr>
        <w:t>7</w:t>
      </w:r>
      <w:r w:rsidR="00B772AC" w:rsidRPr="00B0485F">
        <w:rPr>
          <w:b/>
          <w:bCs/>
        </w:rPr>
        <w:fldChar w:fldCharType="end"/>
      </w:r>
      <w:r w:rsidR="00B772AC" w:rsidRPr="00B0485F">
        <w:t>.</w:t>
      </w:r>
      <w:r w:rsidR="00500F53">
        <w:t xml:space="preserve"> </w:t>
      </w:r>
      <w:r w:rsidR="0008526D">
        <w:t xml:space="preserve">The study characteristics </w:t>
      </w:r>
      <w:r w:rsidR="00F97484">
        <w:t xml:space="preserve">and references </w:t>
      </w:r>
      <w:r w:rsidR="00DF14E0">
        <w:t>for</w:t>
      </w:r>
      <w:r w:rsidR="00BC2C8C">
        <w:t xml:space="preserve"> these studies</w:t>
      </w:r>
      <w:r w:rsidR="00F97484">
        <w:t xml:space="preserve"> are summarised in</w:t>
      </w:r>
      <w:r w:rsidR="00727CB0">
        <w:rPr>
          <w:b/>
          <w:bCs/>
        </w:rPr>
        <w:t xml:space="preserve"> </w:t>
      </w:r>
      <w:r w:rsidR="00727CB0">
        <w:rPr>
          <w:b/>
          <w:bCs/>
        </w:rPr>
        <w:fldChar w:fldCharType="begin"/>
      </w:r>
      <w:r w:rsidR="00727CB0">
        <w:rPr>
          <w:b/>
          <w:bCs/>
        </w:rPr>
        <w:instrText xml:space="preserve"> REF _Ref132280523 \n \h </w:instrText>
      </w:r>
      <w:r w:rsidR="00727CB0">
        <w:rPr>
          <w:b/>
          <w:bCs/>
        </w:rPr>
      </w:r>
      <w:r w:rsidR="00727CB0">
        <w:rPr>
          <w:b/>
          <w:bCs/>
        </w:rPr>
        <w:fldChar w:fldCharType="separate"/>
      </w:r>
      <w:r w:rsidR="007105D3">
        <w:rPr>
          <w:b/>
          <w:bCs/>
        </w:rPr>
        <w:t>Appendix C</w:t>
      </w:r>
      <w:r w:rsidR="00727CB0">
        <w:rPr>
          <w:b/>
          <w:bCs/>
        </w:rPr>
        <w:fldChar w:fldCharType="end"/>
      </w:r>
      <w:r w:rsidR="000419EF">
        <w:t>.</w:t>
      </w:r>
    </w:p>
    <w:p w14:paraId="672CE3F9" w14:textId="1CFD9EED" w:rsidR="00BB4892" w:rsidRPr="00B0485F" w:rsidRDefault="00B772AC" w:rsidP="00365567">
      <w:pPr>
        <w:pStyle w:val="Caption"/>
      </w:pPr>
      <w:bookmarkStart w:id="61" w:name="_Ref130996452"/>
      <w:bookmarkStart w:id="62" w:name="_Toc165627875"/>
      <w:r w:rsidRPr="00B0485F">
        <w:t xml:space="preserve">Table </w:t>
      </w:r>
      <w:fldSimple w:instr=" SEQ Table \* ARABIC ">
        <w:r w:rsidR="007105D3">
          <w:rPr>
            <w:noProof/>
          </w:rPr>
          <w:t>7</w:t>
        </w:r>
      </w:fldSimple>
      <w:bookmarkEnd w:id="61"/>
      <w:r w:rsidR="002E674A" w:rsidRPr="00B0485F">
        <w:tab/>
        <w:t xml:space="preserve">Number of trials </w:t>
      </w:r>
      <w:r w:rsidR="00263006">
        <w:t>providing direct evidence</w:t>
      </w:r>
      <w:r w:rsidR="00BB4892" w:rsidRPr="00B0485F">
        <w:t xml:space="preserve"> </w:t>
      </w:r>
      <w:r w:rsidR="004D3387">
        <w:t>to</w:t>
      </w:r>
      <w:r w:rsidR="00BB4892" w:rsidRPr="00B0485F">
        <w:t xml:space="preserve"> NMA </w:t>
      </w:r>
      <w:r w:rsidR="00F449CD">
        <w:t xml:space="preserve">by </w:t>
      </w:r>
      <w:r w:rsidR="00BB4892" w:rsidRPr="00B0485F">
        <w:t>treatment comparison</w:t>
      </w:r>
      <w:r w:rsidR="00F449CD">
        <w:t xml:space="preserve"> and outcome</w:t>
      </w:r>
      <w:bookmarkEnd w:id="62"/>
      <w:r w:rsidR="00BB4892" w:rsidRPr="00B0485F">
        <w:t xml:space="preserve"> </w:t>
      </w:r>
    </w:p>
    <w:tbl>
      <w:tblPr>
        <w:tblStyle w:val="TableGrid"/>
        <w:tblW w:w="4633" w:type="pct"/>
        <w:tblLook w:val="04A0" w:firstRow="1" w:lastRow="0" w:firstColumn="1" w:lastColumn="0" w:noHBand="0" w:noVBand="1"/>
        <w:tblCaption w:val="Number of trials providing direct evidence to NMA by treatment comparison and outcome "/>
        <w:tblDescription w:val="This table shows the number of trials providing direct evidence to the Brazzelli (2019) NMA by treatment comparison and outcome."/>
      </w:tblPr>
      <w:tblGrid>
        <w:gridCol w:w="4820"/>
        <w:gridCol w:w="1701"/>
        <w:gridCol w:w="2410"/>
      </w:tblGrid>
      <w:tr w:rsidR="006E0827" w:rsidRPr="00B0485F" w14:paraId="4AABFCCE" w14:textId="50B26948" w:rsidTr="000571B8">
        <w:trPr>
          <w:cnfStyle w:val="100000000000" w:firstRow="1" w:lastRow="0" w:firstColumn="0" w:lastColumn="0" w:oddVBand="0" w:evenVBand="0" w:oddHBand="0" w:evenHBand="0" w:firstRowFirstColumn="0" w:firstRowLastColumn="0" w:lastRowFirstColumn="0" w:lastRowLastColumn="0"/>
        </w:trPr>
        <w:tc>
          <w:tcPr>
            <w:tcW w:w="4820" w:type="dxa"/>
          </w:tcPr>
          <w:p w14:paraId="48AEDB28" w14:textId="6D1DD69A" w:rsidR="006E0827" w:rsidRPr="005D71A4" w:rsidRDefault="006E0827" w:rsidP="00365567">
            <w:pPr>
              <w:pStyle w:val="031Tablesubheading10pt"/>
              <w:rPr>
                <w:sz w:val="18"/>
                <w:szCs w:val="18"/>
              </w:rPr>
            </w:pPr>
            <w:r w:rsidRPr="005D71A4">
              <w:rPr>
                <w:sz w:val="18"/>
                <w:szCs w:val="18"/>
              </w:rPr>
              <w:t>Comparison</w:t>
            </w:r>
          </w:p>
        </w:tc>
        <w:tc>
          <w:tcPr>
            <w:tcW w:w="1701" w:type="dxa"/>
          </w:tcPr>
          <w:p w14:paraId="771A6545" w14:textId="0802AD6C" w:rsidR="006E0827" w:rsidRPr="005D71A4" w:rsidRDefault="009723A6" w:rsidP="00365567">
            <w:pPr>
              <w:pStyle w:val="031Tablesubheading10pt"/>
              <w:rPr>
                <w:sz w:val="18"/>
                <w:szCs w:val="18"/>
              </w:rPr>
            </w:pPr>
            <w:r w:rsidRPr="005D71A4">
              <w:rPr>
                <w:sz w:val="18"/>
                <w:szCs w:val="18"/>
              </w:rPr>
              <w:t>No. trials (</w:t>
            </w:r>
            <w:r w:rsidR="00737522" w:rsidRPr="005D71A4">
              <w:rPr>
                <w:sz w:val="18"/>
                <w:szCs w:val="18"/>
              </w:rPr>
              <w:t>Cure</w:t>
            </w:r>
            <w:r w:rsidRPr="005D71A4">
              <w:rPr>
                <w:sz w:val="18"/>
                <w:szCs w:val="18"/>
              </w:rPr>
              <w:t>)</w:t>
            </w:r>
          </w:p>
        </w:tc>
        <w:tc>
          <w:tcPr>
            <w:tcW w:w="2410" w:type="dxa"/>
          </w:tcPr>
          <w:p w14:paraId="7BAF7930" w14:textId="602D3E80" w:rsidR="00C44228" w:rsidRPr="005D71A4" w:rsidRDefault="00190B82" w:rsidP="00365567">
            <w:pPr>
              <w:pStyle w:val="031Tablesubheading10pt"/>
              <w:rPr>
                <w:sz w:val="18"/>
                <w:szCs w:val="18"/>
              </w:rPr>
            </w:pPr>
            <w:r w:rsidRPr="005D71A4">
              <w:rPr>
                <w:sz w:val="18"/>
                <w:szCs w:val="18"/>
              </w:rPr>
              <w:t>No. trials (</w:t>
            </w:r>
            <w:r w:rsidR="00C44228" w:rsidRPr="005D71A4">
              <w:rPr>
                <w:sz w:val="18"/>
                <w:szCs w:val="18"/>
              </w:rPr>
              <w:t>Improvement</w:t>
            </w:r>
            <w:r w:rsidRPr="005D71A4">
              <w:rPr>
                <w:sz w:val="18"/>
                <w:szCs w:val="18"/>
              </w:rPr>
              <w:t>)</w:t>
            </w:r>
          </w:p>
        </w:tc>
      </w:tr>
      <w:tr w:rsidR="006E0827" w:rsidRPr="00B0485F" w14:paraId="0696952C" w14:textId="03B2F0F4" w:rsidTr="000571B8">
        <w:tc>
          <w:tcPr>
            <w:tcW w:w="4820" w:type="dxa"/>
          </w:tcPr>
          <w:p w14:paraId="01B2BAFC" w14:textId="5573CBC9" w:rsidR="006E0827" w:rsidRPr="005D71A4" w:rsidRDefault="007D4803" w:rsidP="00365567">
            <w:pPr>
              <w:pStyle w:val="051Tabletext2210pt"/>
              <w:keepNext/>
              <w:rPr>
                <w:sz w:val="18"/>
                <w:szCs w:val="18"/>
              </w:rPr>
            </w:pPr>
            <w:r w:rsidRPr="005D71A4">
              <w:rPr>
                <w:sz w:val="18"/>
                <w:szCs w:val="18"/>
              </w:rPr>
              <w:t xml:space="preserve">Open </w:t>
            </w:r>
            <w:proofErr w:type="spellStart"/>
            <w:r w:rsidRPr="005D71A4">
              <w:rPr>
                <w:sz w:val="18"/>
                <w:szCs w:val="18"/>
              </w:rPr>
              <w:t>colposuspension</w:t>
            </w:r>
            <w:proofErr w:type="spellEnd"/>
            <w:r w:rsidRPr="005D71A4">
              <w:rPr>
                <w:sz w:val="18"/>
                <w:szCs w:val="18"/>
              </w:rPr>
              <w:t xml:space="preserve"> vs</w:t>
            </w:r>
            <w:r w:rsidR="00D07C5D" w:rsidRPr="005D71A4">
              <w:rPr>
                <w:sz w:val="18"/>
                <w:szCs w:val="18"/>
              </w:rPr>
              <w:t>.</w:t>
            </w:r>
            <w:r w:rsidRPr="005D71A4">
              <w:rPr>
                <w:sz w:val="18"/>
                <w:szCs w:val="18"/>
              </w:rPr>
              <w:t xml:space="preserve"> </w:t>
            </w:r>
            <w:r w:rsidR="00765B84" w:rsidRPr="005D71A4">
              <w:rPr>
                <w:sz w:val="18"/>
                <w:szCs w:val="18"/>
              </w:rPr>
              <w:t>RP-</w:t>
            </w:r>
            <w:r w:rsidRPr="005D71A4">
              <w:rPr>
                <w:sz w:val="18"/>
                <w:szCs w:val="18"/>
              </w:rPr>
              <w:t>MUS</w:t>
            </w:r>
          </w:p>
        </w:tc>
        <w:tc>
          <w:tcPr>
            <w:tcW w:w="1701" w:type="dxa"/>
          </w:tcPr>
          <w:p w14:paraId="40BBFAF0" w14:textId="18AC2D24" w:rsidR="006E0827" w:rsidRPr="005D71A4" w:rsidRDefault="00124A9A" w:rsidP="00365567">
            <w:pPr>
              <w:pStyle w:val="051Tabletext2210pt"/>
              <w:keepNext/>
              <w:rPr>
                <w:sz w:val="18"/>
                <w:szCs w:val="18"/>
                <w:vertAlign w:val="superscript"/>
              </w:rPr>
            </w:pPr>
            <w:r w:rsidRPr="005D71A4">
              <w:rPr>
                <w:sz w:val="18"/>
                <w:szCs w:val="18"/>
              </w:rPr>
              <w:t>6</w:t>
            </w:r>
            <w:r w:rsidR="00D84C11" w:rsidRPr="005D71A4">
              <w:rPr>
                <w:sz w:val="18"/>
                <w:szCs w:val="18"/>
                <w:vertAlign w:val="superscript"/>
              </w:rPr>
              <w:t>1</w:t>
            </w:r>
          </w:p>
        </w:tc>
        <w:tc>
          <w:tcPr>
            <w:tcW w:w="2410" w:type="dxa"/>
          </w:tcPr>
          <w:p w14:paraId="110EC6DC" w14:textId="20A1822C" w:rsidR="00C44228" w:rsidRPr="005D71A4" w:rsidRDefault="00124A9A" w:rsidP="00365567">
            <w:pPr>
              <w:pStyle w:val="051Tabletext2210pt"/>
              <w:keepNext/>
              <w:rPr>
                <w:sz w:val="18"/>
                <w:szCs w:val="18"/>
                <w:vertAlign w:val="superscript"/>
              </w:rPr>
            </w:pPr>
            <w:r w:rsidRPr="005D71A4">
              <w:rPr>
                <w:sz w:val="18"/>
                <w:szCs w:val="18"/>
              </w:rPr>
              <w:t>6</w:t>
            </w:r>
            <w:r w:rsidR="009E2629" w:rsidRPr="005D71A4">
              <w:rPr>
                <w:sz w:val="18"/>
                <w:szCs w:val="18"/>
                <w:vertAlign w:val="superscript"/>
              </w:rPr>
              <w:t>1</w:t>
            </w:r>
          </w:p>
        </w:tc>
      </w:tr>
      <w:tr w:rsidR="006E0827" w:rsidRPr="00B0485F" w14:paraId="358BE9A9" w14:textId="19726AC9" w:rsidTr="000571B8">
        <w:tc>
          <w:tcPr>
            <w:tcW w:w="4820" w:type="dxa"/>
          </w:tcPr>
          <w:p w14:paraId="59E56424" w14:textId="3C240E2F" w:rsidR="006E0827" w:rsidRPr="005D71A4" w:rsidRDefault="008C7615" w:rsidP="00F630B6">
            <w:pPr>
              <w:pStyle w:val="051Tabletext2210pt"/>
              <w:rPr>
                <w:sz w:val="18"/>
                <w:szCs w:val="18"/>
              </w:rPr>
            </w:pPr>
            <w:r w:rsidRPr="005D71A4">
              <w:rPr>
                <w:sz w:val="18"/>
                <w:szCs w:val="18"/>
              </w:rPr>
              <w:t>Laparoscopic</w:t>
            </w:r>
            <w:r w:rsidR="00DF6173" w:rsidRPr="005D71A4">
              <w:rPr>
                <w:sz w:val="18"/>
                <w:szCs w:val="18"/>
              </w:rPr>
              <w:t xml:space="preserve"> </w:t>
            </w:r>
            <w:proofErr w:type="spellStart"/>
            <w:r w:rsidR="00DF6173" w:rsidRPr="005D71A4">
              <w:rPr>
                <w:sz w:val="18"/>
                <w:szCs w:val="18"/>
              </w:rPr>
              <w:t>colposuspension</w:t>
            </w:r>
            <w:proofErr w:type="spellEnd"/>
            <w:r w:rsidR="00DF6173" w:rsidRPr="005D71A4">
              <w:rPr>
                <w:sz w:val="18"/>
                <w:szCs w:val="18"/>
              </w:rPr>
              <w:t xml:space="preserve"> vs</w:t>
            </w:r>
            <w:r w:rsidR="00D07C5D" w:rsidRPr="005D71A4">
              <w:rPr>
                <w:sz w:val="18"/>
                <w:szCs w:val="18"/>
              </w:rPr>
              <w:t>.</w:t>
            </w:r>
            <w:r w:rsidR="00DF6173" w:rsidRPr="005D71A4">
              <w:rPr>
                <w:sz w:val="18"/>
                <w:szCs w:val="18"/>
              </w:rPr>
              <w:t xml:space="preserve"> </w:t>
            </w:r>
            <w:r w:rsidR="00765B84" w:rsidRPr="005D71A4">
              <w:rPr>
                <w:sz w:val="18"/>
                <w:szCs w:val="18"/>
              </w:rPr>
              <w:t>RP-</w:t>
            </w:r>
            <w:r w:rsidR="00DF6173" w:rsidRPr="005D71A4">
              <w:rPr>
                <w:sz w:val="18"/>
                <w:szCs w:val="18"/>
              </w:rPr>
              <w:t>MUS</w:t>
            </w:r>
          </w:p>
        </w:tc>
        <w:tc>
          <w:tcPr>
            <w:tcW w:w="1701" w:type="dxa"/>
          </w:tcPr>
          <w:p w14:paraId="503FAAE5" w14:textId="42E47B1E" w:rsidR="006E0827" w:rsidRPr="005D71A4" w:rsidRDefault="00BA76BF" w:rsidP="00200C4B">
            <w:pPr>
              <w:pStyle w:val="051Tabletext2210pt"/>
              <w:rPr>
                <w:sz w:val="18"/>
                <w:szCs w:val="18"/>
              </w:rPr>
            </w:pPr>
            <w:r w:rsidRPr="005D71A4">
              <w:rPr>
                <w:sz w:val="18"/>
                <w:szCs w:val="18"/>
              </w:rPr>
              <w:t>2</w:t>
            </w:r>
          </w:p>
        </w:tc>
        <w:tc>
          <w:tcPr>
            <w:tcW w:w="2410" w:type="dxa"/>
          </w:tcPr>
          <w:p w14:paraId="00CBAE2C" w14:textId="52540A6F" w:rsidR="00C44228" w:rsidRPr="005D71A4" w:rsidRDefault="00BA76BF" w:rsidP="00200C4B">
            <w:pPr>
              <w:pStyle w:val="051Tabletext2210pt"/>
              <w:rPr>
                <w:sz w:val="18"/>
                <w:szCs w:val="18"/>
              </w:rPr>
            </w:pPr>
            <w:r w:rsidRPr="005D71A4">
              <w:rPr>
                <w:sz w:val="18"/>
                <w:szCs w:val="18"/>
              </w:rPr>
              <w:t>4</w:t>
            </w:r>
          </w:p>
        </w:tc>
      </w:tr>
      <w:tr w:rsidR="006E0827" w:rsidRPr="00B0485F" w14:paraId="5C4503A1" w14:textId="20824DFE" w:rsidTr="000571B8">
        <w:tc>
          <w:tcPr>
            <w:tcW w:w="4820" w:type="dxa"/>
          </w:tcPr>
          <w:p w14:paraId="538FC366" w14:textId="277261D6" w:rsidR="006E0827" w:rsidRPr="005D71A4" w:rsidRDefault="006C2957" w:rsidP="00F630B6">
            <w:pPr>
              <w:pStyle w:val="051Tabletext2210pt"/>
              <w:rPr>
                <w:sz w:val="18"/>
                <w:szCs w:val="18"/>
              </w:rPr>
            </w:pPr>
            <w:r w:rsidRPr="005D71A4">
              <w:rPr>
                <w:sz w:val="18"/>
                <w:szCs w:val="18"/>
              </w:rPr>
              <w:t xml:space="preserve">Open </w:t>
            </w:r>
            <w:proofErr w:type="spellStart"/>
            <w:r w:rsidRPr="005D71A4">
              <w:rPr>
                <w:sz w:val="18"/>
                <w:szCs w:val="18"/>
              </w:rPr>
              <w:t>colposuspension</w:t>
            </w:r>
            <w:proofErr w:type="spellEnd"/>
            <w:r w:rsidRPr="005D71A4">
              <w:rPr>
                <w:sz w:val="18"/>
                <w:szCs w:val="18"/>
              </w:rPr>
              <w:t xml:space="preserve"> vs</w:t>
            </w:r>
            <w:r w:rsidR="00D07C5D" w:rsidRPr="005D71A4">
              <w:rPr>
                <w:sz w:val="18"/>
                <w:szCs w:val="18"/>
              </w:rPr>
              <w:t>.</w:t>
            </w:r>
            <w:r w:rsidR="00866F03" w:rsidRPr="005D71A4">
              <w:rPr>
                <w:sz w:val="18"/>
                <w:szCs w:val="18"/>
              </w:rPr>
              <w:t xml:space="preserve"> </w:t>
            </w:r>
            <w:r w:rsidR="00765B84" w:rsidRPr="005D71A4">
              <w:rPr>
                <w:sz w:val="18"/>
                <w:szCs w:val="18"/>
              </w:rPr>
              <w:t>TO-</w:t>
            </w:r>
            <w:r w:rsidR="00866F03" w:rsidRPr="005D71A4">
              <w:rPr>
                <w:sz w:val="18"/>
                <w:szCs w:val="18"/>
              </w:rPr>
              <w:t>MUS</w:t>
            </w:r>
          </w:p>
        </w:tc>
        <w:tc>
          <w:tcPr>
            <w:tcW w:w="1701" w:type="dxa"/>
          </w:tcPr>
          <w:p w14:paraId="4D47F313" w14:textId="74B787C2" w:rsidR="006E0827" w:rsidRPr="005D71A4" w:rsidRDefault="00574973" w:rsidP="00200C4B">
            <w:pPr>
              <w:pStyle w:val="051Tabletext2210pt"/>
              <w:rPr>
                <w:sz w:val="18"/>
                <w:szCs w:val="18"/>
              </w:rPr>
            </w:pPr>
            <w:r w:rsidRPr="005D71A4">
              <w:rPr>
                <w:sz w:val="18"/>
                <w:szCs w:val="18"/>
              </w:rPr>
              <w:t>1</w:t>
            </w:r>
          </w:p>
        </w:tc>
        <w:tc>
          <w:tcPr>
            <w:tcW w:w="2410" w:type="dxa"/>
          </w:tcPr>
          <w:p w14:paraId="4BAAFB38" w14:textId="3FE021A7" w:rsidR="00C44228" w:rsidRPr="005D71A4" w:rsidRDefault="00574973" w:rsidP="00200C4B">
            <w:pPr>
              <w:pStyle w:val="051Tabletext2210pt"/>
              <w:rPr>
                <w:sz w:val="18"/>
                <w:szCs w:val="18"/>
              </w:rPr>
            </w:pPr>
            <w:r w:rsidRPr="005D71A4">
              <w:rPr>
                <w:sz w:val="18"/>
                <w:szCs w:val="18"/>
              </w:rPr>
              <w:t>1</w:t>
            </w:r>
          </w:p>
        </w:tc>
      </w:tr>
      <w:tr w:rsidR="001E77E6" w:rsidRPr="00B0485F" w14:paraId="57F155E2" w14:textId="77777777" w:rsidTr="000571B8">
        <w:tc>
          <w:tcPr>
            <w:tcW w:w="4820" w:type="dxa"/>
          </w:tcPr>
          <w:p w14:paraId="62FB54CE" w14:textId="4445EE5F" w:rsidR="001E77E6" w:rsidRPr="005D71A4" w:rsidRDefault="00765B84" w:rsidP="00F630B6">
            <w:pPr>
              <w:pStyle w:val="051Tabletext2210pt"/>
              <w:rPr>
                <w:sz w:val="18"/>
                <w:szCs w:val="18"/>
              </w:rPr>
            </w:pPr>
            <w:r w:rsidRPr="005D71A4">
              <w:rPr>
                <w:sz w:val="18"/>
                <w:szCs w:val="18"/>
              </w:rPr>
              <w:t xml:space="preserve">Laparoscopic </w:t>
            </w:r>
            <w:proofErr w:type="spellStart"/>
            <w:r w:rsidRPr="005D71A4">
              <w:rPr>
                <w:sz w:val="18"/>
                <w:szCs w:val="18"/>
              </w:rPr>
              <w:t>colposuspension</w:t>
            </w:r>
            <w:proofErr w:type="spellEnd"/>
            <w:r w:rsidRPr="005D71A4">
              <w:rPr>
                <w:sz w:val="18"/>
                <w:szCs w:val="18"/>
              </w:rPr>
              <w:t xml:space="preserve"> vs</w:t>
            </w:r>
            <w:r w:rsidR="00D07C5D" w:rsidRPr="005D71A4">
              <w:rPr>
                <w:sz w:val="18"/>
                <w:szCs w:val="18"/>
              </w:rPr>
              <w:t>.</w:t>
            </w:r>
            <w:r w:rsidRPr="005D71A4">
              <w:rPr>
                <w:sz w:val="18"/>
                <w:szCs w:val="18"/>
              </w:rPr>
              <w:t xml:space="preserve"> TO-MUS</w:t>
            </w:r>
          </w:p>
        </w:tc>
        <w:tc>
          <w:tcPr>
            <w:tcW w:w="1701" w:type="dxa"/>
          </w:tcPr>
          <w:p w14:paraId="5EF148E3" w14:textId="01E98684" w:rsidR="001E77E6" w:rsidRPr="005D71A4" w:rsidRDefault="00DA7C52" w:rsidP="00200C4B">
            <w:pPr>
              <w:pStyle w:val="051Tabletext2210pt"/>
              <w:rPr>
                <w:sz w:val="18"/>
                <w:szCs w:val="18"/>
                <w:vertAlign w:val="superscript"/>
              </w:rPr>
            </w:pPr>
            <w:r w:rsidRPr="005D71A4">
              <w:rPr>
                <w:sz w:val="18"/>
                <w:szCs w:val="18"/>
              </w:rPr>
              <w:t>0</w:t>
            </w:r>
            <w:r w:rsidR="00CD4D6F" w:rsidRPr="005D71A4">
              <w:rPr>
                <w:sz w:val="18"/>
                <w:szCs w:val="18"/>
                <w:vertAlign w:val="superscript"/>
              </w:rPr>
              <w:t>2</w:t>
            </w:r>
          </w:p>
        </w:tc>
        <w:tc>
          <w:tcPr>
            <w:tcW w:w="2410" w:type="dxa"/>
          </w:tcPr>
          <w:p w14:paraId="69861570" w14:textId="2812CE0E" w:rsidR="001E77E6" w:rsidRPr="005D71A4" w:rsidRDefault="00993F70" w:rsidP="00200C4B">
            <w:pPr>
              <w:pStyle w:val="051Tabletext2210pt"/>
              <w:rPr>
                <w:sz w:val="18"/>
                <w:szCs w:val="18"/>
                <w:vertAlign w:val="superscript"/>
              </w:rPr>
            </w:pPr>
            <w:r w:rsidRPr="005D71A4">
              <w:rPr>
                <w:sz w:val="18"/>
                <w:szCs w:val="18"/>
              </w:rPr>
              <w:t>0</w:t>
            </w:r>
            <w:r w:rsidR="00CD4D6F" w:rsidRPr="005D71A4">
              <w:rPr>
                <w:sz w:val="18"/>
                <w:szCs w:val="18"/>
                <w:vertAlign w:val="superscript"/>
              </w:rPr>
              <w:t>2</w:t>
            </w:r>
          </w:p>
        </w:tc>
      </w:tr>
      <w:tr w:rsidR="00FD7213" w:rsidRPr="00B0485F" w14:paraId="426B7F09" w14:textId="77777777" w:rsidTr="000571B8">
        <w:tc>
          <w:tcPr>
            <w:tcW w:w="4820" w:type="dxa"/>
          </w:tcPr>
          <w:p w14:paraId="29AEEC70" w14:textId="78D00246" w:rsidR="00FD7213" w:rsidRPr="005D71A4" w:rsidRDefault="00FD7213" w:rsidP="00F630B6">
            <w:pPr>
              <w:pStyle w:val="051Tabletext2210pt"/>
              <w:rPr>
                <w:sz w:val="18"/>
                <w:szCs w:val="18"/>
              </w:rPr>
            </w:pPr>
            <w:r w:rsidRPr="005D71A4">
              <w:rPr>
                <w:sz w:val="18"/>
                <w:szCs w:val="18"/>
              </w:rPr>
              <w:t>TO-MUS vs</w:t>
            </w:r>
            <w:r w:rsidR="00436E37" w:rsidRPr="005D71A4">
              <w:rPr>
                <w:sz w:val="18"/>
                <w:szCs w:val="18"/>
              </w:rPr>
              <w:t>.</w:t>
            </w:r>
            <w:r w:rsidRPr="005D71A4">
              <w:rPr>
                <w:sz w:val="18"/>
                <w:szCs w:val="18"/>
              </w:rPr>
              <w:t xml:space="preserve"> RP-MUS</w:t>
            </w:r>
          </w:p>
        </w:tc>
        <w:tc>
          <w:tcPr>
            <w:tcW w:w="1701" w:type="dxa"/>
          </w:tcPr>
          <w:p w14:paraId="36B152C4" w14:textId="77777777" w:rsidR="00FD7213" w:rsidRPr="005D71A4" w:rsidRDefault="00FD7213" w:rsidP="00200C4B">
            <w:pPr>
              <w:pStyle w:val="051Tabletext2210pt"/>
              <w:rPr>
                <w:sz w:val="18"/>
                <w:szCs w:val="18"/>
                <w:vertAlign w:val="superscript"/>
              </w:rPr>
            </w:pPr>
            <w:r w:rsidRPr="005D71A4">
              <w:rPr>
                <w:sz w:val="18"/>
                <w:szCs w:val="18"/>
              </w:rPr>
              <w:t>36</w:t>
            </w:r>
            <w:r w:rsidRPr="005D71A4">
              <w:rPr>
                <w:sz w:val="18"/>
                <w:szCs w:val="18"/>
                <w:vertAlign w:val="superscript"/>
              </w:rPr>
              <w:t>1</w:t>
            </w:r>
          </w:p>
        </w:tc>
        <w:tc>
          <w:tcPr>
            <w:tcW w:w="2410" w:type="dxa"/>
          </w:tcPr>
          <w:p w14:paraId="4BC0E705" w14:textId="77777777" w:rsidR="00FD7213" w:rsidRPr="005D71A4" w:rsidRDefault="00FD7213" w:rsidP="00200C4B">
            <w:pPr>
              <w:pStyle w:val="051Tabletext2210pt"/>
              <w:rPr>
                <w:sz w:val="18"/>
                <w:szCs w:val="18"/>
                <w:vertAlign w:val="superscript"/>
              </w:rPr>
            </w:pPr>
            <w:r w:rsidRPr="005D71A4">
              <w:rPr>
                <w:sz w:val="18"/>
                <w:szCs w:val="18"/>
              </w:rPr>
              <w:t>40</w:t>
            </w:r>
            <w:r w:rsidRPr="005D71A4">
              <w:rPr>
                <w:sz w:val="18"/>
                <w:szCs w:val="18"/>
                <w:vertAlign w:val="superscript"/>
              </w:rPr>
              <w:t>1</w:t>
            </w:r>
          </w:p>
        </w:tc>
      </w:tr>
    </w:tbl>
    <w:p w14:paraId="6D803F63" w14:textId="15423482" w:rsidR="00CF165A" w:rsidRDefault="00CF165A" w:rsidP="005D71A4">
      <w:pPr>
        <w:pStyle w:val="101Tablefootnotes8pt"/>
      </w:pPr>
      <w:r>
        <w:t xml:space="preserve">Source: based on data from </w:t>
      </w:r>
      <w:proofErr w:type="spellStart"/>
      <w:r>
        <w:t>Brazzelli</w:t>
      </w:r>
      <w:proofErr w:type="spellEnd"/>
      <w:r>
        <w:t xml:space="preserve"> (2019)</w:t>
      </w:r>
    </w:p>
    <w:p w14:paraId="3989B451" w14:textId="26A044E8" w:rsidR="005D71A4" w:rsidRPr="005D71A4" w:rsidRDefault="005D71A4" w:rsidP="005D71A4">
      <w:pPr>
        <w:pStyle w:val="101Tablefootnotes8pt"/>
      </w:pPr>
      <w:r w:rsidRPr="00B0485F">
        <w:t>Abbreviations: MUS, mid-urethral sling</w:t>
      </w:r>
      <w:r>
        <w:t xml:space="preserve">; NMA, network meta-analysis; RP, retropubic; TO, </w:t>
      </w:r>
      <w:proofErr w:type="spellStart"/>
      <w:r>
        <w:t>transobturator</w:t>
      </w:r>
      <w:proofErr w:type="spellEnd"/>
      <w:r>
        <w:t>.</w:t>
      </w:r>
    </w:p>
    <w:p w14:paraId="3C31BF1B" w14:textId="7B099442" w:rsidR="00F74B3B" w:rsidRPr="00F74B3B" w:rsidRDefault="00F74B3B" w:rsidP="00FA41C1">
      <w:pPr>
        <w:pStyle w:val="101Tablefootnotes8pt"/>
      </w:pPr>
      <w:r>
        <w:rPr>
          <w:vertAlign w:val="superscript"/>
        </w:rPr>
        <w:t>1</w:t>
      </w:r>
      <w:r>
        <w:t xml:space="preserve"> Analys</w:t>
      </w:r>
      <w:r w:rsidR="00D84C11">
        <w:t>e</w:t>
      </w:r>
      <w:r w:rsidR="001734F8">
        <w:t xml:space="preserve">s also informed by </w:t>
      </w:r>
      <w:r w:rsidR="00D84C11">
        <w:t>three-arm trials</w:t>
      </w:r>
    </w:p>
    <w:p w14:paraId="29589ACA" w14:textId="587C861C" w:rsidR="00FA41C1" w:rsidRDefault="00CD4D6F" w:rsidP="005D71A4">
      <w:pPr>
        <w:pStyle w:val="111Tablefootnoteslast-nostick8pt"/>
      </w:pPr>
      <w:r>
        <w:rPr>
          <w:vertAlign w:val="superscript"/>
        </w:rPr>
        <w:t>2</w:t>
      </w:r>
      <w:r w:rsidR="00FA41C1">
        <w:rPr>
          <w:vertAlign w:val="superscript"/>
        </w:rPr>
        <w:t xml:space="preserve"> </w:t>
      </w:r>
      <w:r w:rsidR="00FA41C1">
        <w:t xml:space="preserve">No trials provided direct evidence of this </w:t>
      </w:r>
      <w:r w:rsidR="00263006">
        <w:t xml:space="preserve">comparison </w:t>
      </w:r>
      <w:r w:rsidR="00061377">
        <w:t>to</w:t>
      </w:r>
      <w:r w:rsidR="00263006">
        <w:t xml:space="preserve"> the NMA</w:t>
      </w:r>
      <w:r w:rsidR="00D11908" w:rsidRPr="00B0485F">
        <w:t xml:space="preserve"> </w:t>
      </w:r>
    </w:p>
    <w:p w14:paraId="41CE8CF6" w14:textId="661FBB2C" w:rsidR="00E602D9" w:rsidRPr="00B0485F" w:rsidRDefault="004427FE" w:rsidP="00E602D9">
      <w:pPr>
        <w:pStyle w:val="BodyText"/>
      </w:pPr>
      <w:r>
        <w:t xml:space="preserve">The number of women randomised to each relevant intervention </w:t>
      </w:r>
      <w:r w:rsidR="00C14B82">
        <w:t>in</w:t>
      </w:r>
      <w:r>
        <w:t xml:space="preserve"> the NMA is </w:t>
      </w:r>
      <w:r w:rsidR="00C14B82">
        <w:t xml:space="preserve">summarised in </w:t>
      </w:r>
      <w:r w:rsidR="00C14B82" w:rsidRPr="00C14B82">
        <w:rPr>
          <w:b/>
          <w:bCs/>
        </w:rPr>
        <w:fldChar w:fldCharType="begin"/>
      </w:r>
      <w:r w:rsidR="00C14B82" w:rsidRPr="00C14B82">
        <w:rPr>
          <w:b/>
          <w:bCs/>
        </w:rPr>
        <w:instrText xml:space="preserve"> REF _Ref132192748 \h </w:instrText>
      </w:r>
      <w:r w:rsidR="00C14B82">
        <w:rPr>
          <w:b/>
          <w:bCs/>
        </w:rPr>
        <w:instrText xml:space="preserve"> \* MERGEFORMAT </w:instrText>
      </w:r>
      <w:r w:rsidR="00C14B82" w:rsidRPr="00C14B82">
        <w:rPr>
          <w:b/>
          <w:bCs/>
        </w:rPr>
      </w:r>
      <w:r w:rsidR="00C14B82" w:rsidRPr="00C14B82">
        <w:rPr>
          <w:b/>
          <w:bCs/>
        </w:rPr>
        <w:fldChar w:fldCharType="separate"/>
      </w:r>
      <w:r w:rsidR="007105D3" w:rsidRPr="007105D3">
        <w:rPr>
          <w:b/>
          <w:bCs/>
        </w:rPr>
        <w:t xml:space="preserve">Table </w:t>
      </w:r>
      <w:r w:rsidR="007105D3" w:rsidRPr="007105D3">
        <w:rPr>
          <w:b/>
          <w:bCs/>
          <w:noProof/>
        </w:rPr>
        <w:t>8</w:t>
      </w:r>
      <w:r w:rsidR="00C14B82" w:rsidRPr="00C14B82">
        <w:rPr>
          <w:b/>
          <w:bCs/>
        </w:rPr>
        <w:fldChar w:fldCharType="end"/>
      </w:r>
      <w:r w:rsidR="00C14B82">
        <w:t>.</w:t>
      </w:r>
    </w:p>
    <w:p w14:paraId="6707A9BB" w14:textId="5972B23E" w:rsidR="00F026C8" w:rsidRPr="00B0485F" w:rsidRDefault="00F026C8" w:rsidP="00F026C8">
      <w:pPr>
        <w:pStyle w:val="Caption"/>
      </w:pPr>
      <w:bookmarkStart w:id="63" w:name="_Ref132192748"/>
      <w:bookmarkStart w:id="64" w:name="_Toc165627876"/>
      <w:r>
        <w:t xml:space="preserve">Table </w:t>
      </w:r>
      <w:fldSimple w:instr=" SEQ Table \* ARABIC ">
        <w:r w:rsidR="007105D3">
          <w:rPr>
            <w:noProof/>
          </w:rPr>
          <w:t>8</w:t>
        </w:r>
      </w:fldSimple>
      <w:bookmarkEnd w:id="63"/>
      <w:r>
        <w:tab/>
        <w:t xml:space="preserve">Number of participants randomised </w:t>
      </w:r>
      <w:r w:rsidR="008E6319">
        <w:t>by</w:t>
      </w:r>
      <w:r w:rsidR="00621F42">
        <w:t xml:space="preserve"> intervention </w:t>
      </w:r>
      <w:r w:rsidR="008E6319">
        <w:t xml:space="preserve">and outcome </w:t>
      </w:r>
      <w:r w:rsidR="00621F42">
        <w:t>in the NMA</w:t>
      </w:r>
      <w:bookmarkEnd w:id="64"/>
    </w:p>
    <w:tbl>
      <w:tblPr>
        <w:tblStyle w:val="TableGrid"/>
        <w:tblW w:w="0" w:type="auto"/>
        <w:tblLook w:val="04A0" w:firstRow="1" w:lastRow="0" w:firstColumn="1" w:lastColumn="0" w:noHBand="0" w:noVBand="1"/>
        <w:tblCaption w:val="Number of participants randomised by intervention and outcome in the NMA"/>
        <w:tblDescription w:val="This table shows the number of participants randomised by intervention and outcome in the Brazzelli (2019) NMA."/>
      </w:tblPr>
      <w:tblGrid>
        <w:gridCol w:w="3969"/>
        <w:gridCol w:w="2127"/>
        <w:gridCol w:w="2976"/>
      </w:tblGrid>
      <w:tr w:rsidR="00995812" w14:paraId="318A7C4C" w14:textId="77777777" w:rsidTr="00151D6C">
        <w:trPr>
          <w:cnfStyle w:val="100000000000" w:firstRow="1" w:lastRow="0" w:firstColumn="0" w:lastColumn="0" w:oddVBand="0" w:evenVBand="0" w:oddHBand="0" w:evenHBand="0" w:firstRowFirstColumn="0" w:firstRowLastColumn="0" w:lastRowFirstColumn="0" w:lastRowLastColumn="0"/>
        </w:trPr>
        <w:tc>
          <w:tcPr>
            <w:tcW w:w="3969" w:type="dxa"/>
          </w:tcPr>
          <w:p w14:paraId="78428BA9" w14:textId="63CA696A" w:rsidR="00995812" w:rsidRPr="005D71A4" w:rsidRDefault="00835824" w:rsidP="00835824">
            <w:pPr>
              <w:pStyle w:val="031Tablesubheading10pt"/>
              <w:rPr>
                <w:sz w:val="18"/>
                <w:szCs w:val="18"/>
              </w:rPr>
            </w:pPr>
            <w:r w:rsidRPr="005D71A4">
              <w:rPr>
                <w:sz w:val="18"/>
                <w:szCs w:val="18"/>
              </w:rPr>
              <w:t>Intervention</w:t>
            </w:r>
          </w:p>
        </w:tc>
        <w:tc>
          <w:tcPr>
            <w:tcW w:w="2127" w:type="dxa"/>
          </w:tcPr>
          <w:p w14:paraId="2BF4DBD1" w14:textId="3DB4DC4B" w:rsidR="00995812" w:rsidRPr="005D71A4" w:rsidRDefault="000571B8" w:rsidP="00832E82">
            <w:pPr>
              <w:pStyle w:val="031Tablesubheading10pt"/>
              <w:rPr>
                <w:sz w:val="18"/>
                <w:szCs w:val="18"/>
              </w:rPr>
            </w:pPr>
            <w:r w:rsidRPr="005D71A4">
              <w:rPr>
                <w:sz w:val="18"/>
                <w:szCs w:val="18"/>
              </w:rPr>
              <w:t>No. participants (C</w:t>
            </w:r>
            <w:r w:rsidR="00832E82" w:rsidRPr="005D71A4">
              <w:rPr>
                <w:sz w:val="18"/>
                <w:szCs w:val="18"/>
              </w:rPr>
              <w:t>ure</w:t>
            </w:r>
            <w:r w:rsidRPr="005D71A4">
              <w:rPr>
                <w:sz w:val="18"/>
                <w:szCs w:val="18"/>
              </w:rPr>
              <w:t>)</w:t>
            </w:r>
          </w:p>
        </w:tc>
        <w:tc>
          <w:tcPr>
            <w:tcW w:w="2976" w:type="dxa"/>
          </w:tcPr>
          <w:p w14:paraId="6BA1997F" w14:textId="0F2699F9" w:rsidR="00995812" w:rsidRPr="005D71A4" w:rsidRDefault="000571B8" w:rsidP="00832E82">
            <w:pPr>
              <w:pStyle w:val="031Tablesubheading10pt"/>
              <w:rPr>
                <w:sz w:val="18"/>
                <w:szCs w:val="18"/>
              </w:rPr>
            </w:pPr>
            <w:r w:rsidRPr="005D71A4">
              <w:rPr>
                <w:sz w:val="18"/>
                <w:szCs w:val="18"/>
              </w:rPr>
              <w:t>No. participants (</w:t>
            </w:r>
            <w:r w:rsidR="00832E82" w:rsidRPr="005D71A4">
              <w:rPr>
                <w:sz w:val="18"/>
                <w:szCs w:val="18"/>
              </w:rPr>
              <w:t>Improvement</w:t>
            </w:r>
            <w:r w:rsidRPr="005D71A4">
              <w:rPr>
                <w:sz w:val="18"/>
                <w:szCs w:val="18"/>
              </w:rPr>
              <w:t>)</w:t>
            </w:r>
          </w:p>
        </w:tc>
      </w:tr>
      <w:tr w:rsidR="00995812" w14:paraId="71B26267" w14:textId="77777777" w:rsidTr="00151D6C">
        <w:tc>
          <w:tcPr>
            <w:tcW w:w="3969" w:type="dxa"/>
          </w:tcPr>
          <w:p w14:paraId="28CF3D76" w14:textId="3DE35DDB" w:rsidR="00995812" w:rsidRPr="005D71A4" w:rsidRDefault="00832E82" w:rsidP="00832E82">
            <w:pPr>
              <w:pStyle w:val="051Tabletext2210pt"/>
              <w:rPr>
                <w:sz w:val="18"/>
                <w:szCs w:val="18"/>
              </w:rPr>
            </w:pPr>
            <w:r w:rsidRPr="005D71A4">
              <w:rPr>
                <w:sz w:val="18"/>
                <w:szCs w:val="18"/>
              </w:rPr>
              <w:t>RP-MUS</w:t>
            </w:r>
          </w:p>
        </w:tc>
        <w:tc>
          <w:tcPr>
            <w:tcW w:w="2127" w:type="dxa"/>
          </w:tcPr>
          <w:p w14:paraId="3175A724" w14:textId="4037EFF1" w:rsidR="00995812" w:rsidRPr="005D71A4" w:rsidRDefault="000075E2" w:rsidP="00832E82">
            <w:pPr>
              <w:pStyle w:val="051Tabletext2210pt"/>
              <w:rPr>
                <w:sz w:val="18"/>
                <w:szCs w:val="18"/>
              </w:rPr>
            </w:pPr>
            <w:r w:rsidRPr="005D71A4">
              <w:rPr>
                <w:sz w:val="18"/>
                <w:szCs w:val="18"/>
              </w:rPr>
              <w:t>3,907</w:t>
            </w:r>
          </w:p>
        </w:tc>
        <w:tc>
          <w:tcPr>
            <w:tcW w:w="2976" w:type="dxa"/>
          </w:tcPr>
          <w:p w14:paraId="0999F0AA" w14:textId="79A2EC71" w:rsidR="00995812" w:rsidRPr="005D71A4" w:rsidRDefault="00A21849" w:rsidP="00832E82">
            <w:pPr>
              <w:pStyle w:val="051Tabletext2210pt"/>
              <w:rPr>
                <w:sz w:val="18"/>
                <w:szCs w:val="18"/>
              </w:rPr>
            </w:pPr>
            <w:r w:rsidRPr="005D71A4">
              <w:rPr>
                <w:sz w:val="18"/>
                <w:szCs w:val="18"/>
              </w:rPr>
              <w:t>4,282</w:t>
            </w:r>
          </w:p>
        </w:tc>
      </w:tr>
      <w:tr w:rsidR="00995812" w14:paraId="53960708" w14:textId="77777777" w:rsidTr="00151D6C">
        <w:tc>
          <w:tcPr>
            <w:tcW w:w="3969" w:type="dxa"/>
          </w:tcPr>
          <w:p w14:paraId="6375EF8B" w14:textId="1DEE6018" w:rsidR="00995812" w:rsidRPr="005D71A4" w:rsidRDefault="00832E82" w:rsidP="00832E82">
            <w:pPr>
              <w:pStyle w:val="051Tabletext2210pt"/>
              <w:rPr>
                <w:sz w:val="18"/>
                <w:szCs w:val="18"/>
              </w:rPr>
            </w:pPr>
            <w:r w:rsidRPr="005D71A4">
              <w:rPr>
                <w:sz w:val="18"/>
                <w:szCs w:val="18"/>
              </w:rPr>
              <w:t>TO-MUS</w:t>
            </w:r>
          </w:p>
        </w:tc>
        <w:tc>
          <w:tcPr>
            <w:tcW w:w="2127" w:type="dxa"/>
          </w:tcPr>
          <w:p w14:paraId="3E739784" w14:textId="4E727B85" w:rsidR="00995812" w:rsidRPr="005D71A4" w:rsidRDefault="002D46E2" w:rsidP="00832E82">
            <w:pPr>
              <w:pStyle w:val="051Tabletext2210pt"/>
              <w:rPr>
                <w:sz w:val="18"/>
                <w:szCs w:val="18"/>
              </w:rPr>
            </w:pPr>
            <w:r w:rsidRPr="005D71A4">
              <w:rPr>
                <w:sz w:val="18"/>
                <w:szCs w:val="18"/>
              </w:rPr>
              <w:t>4,218</w:t>
            </w:r>
          </w:p>
        </w:tc>
        <w:tc>
          <w:tcPr>
            <w:tcW w:w="2976" w:type="dxa"/>
          </w:tcPr>
          <w:p w14:paraId="73886BA1" w14:textId="61F15ACF" w:rsidR="00995812" w:rsidRPr="005D71A4" w:rsidRDefault="00444F97" w:rsidP="00832E82">
            <w:pPr>
              <w:pStyle w:val="051Tabletext2210pt"/>
              <w:rPr>
                <w:sz w:val="18"/>
                <w:szCs w:val="18"/>
              </w:rPr>
            </w:pPr>
            <w:r w:rsidRPr="005D71A4">
              <w:rPr>
                <w:sz w:val="18"/>
                <w:szCs w:val="18"/>
              </w:rPr>
              <w:t>4,809</w:t>
            </w:r>
          </w:p>
        </w:tc>
      </w:tr>
      <w:tr w:rsidR="00995812" w14:paraId="2B290791" w14:textId="77777777" w:rsidTr="00151D6C">
        <w:tc>
          <w:tcPr>
            <w:tcW w:w="3969" w:type="dxa"/>
          </w:tcPr>
          <w:p w14:paraId="3D98AE60" w14:textId="359335A3" w:rsidR="00995812" w:rsidRPr="005D71A4" w:rsidRDefault="00850743" w:rsidP="00832E82">
            <w:pPr>
              <w:pStyle w:val="051Tabletext2210pt"/>
              <w:rPr>
                <w:sz w:val="18"/>
                <w:szCs w:val="18"/>
              </w:rPr>
            </w:pPr>
            <w:r w:rsidRPr="005D71A4">
              <w:rPr>
                <w:sz w:val="18"/>
                <w:szCs w:val="18"/>
              </w:rPr>
              <w:t xml:space="preserve">Open </w:t>
            </w:r>
            <w:proofErr w:type="spellStart"/>
            <w:r w:rsidRPr="005D71A4">
              <w:rPr>
                <w:sz w:val="18"/>
                <w:szCs w:val="18"/>
              </w:rPr>
              <w:t>colposuspension</w:t>
            </w:r>
            <w:proofErr w:type="spellEnd"/>
          </w:p>
        </w:tc>
        <w:tc>
          <w:tcPr>
            <w:tcW w:w="2127" w:type="dxa"/>
          </w:tcPr>
          <w:p w14:paraId="25666501" w14:textId="3A32E4D4" w:rsidR="00995812" w:rsidRPr="005D71A4" w:rsidRDefault="00FC192C" w:rsidP="00832E82">
            <w:pPr>
              <w:pStyle w:val="051Tabletext2210pt"/>
              <w:rPr>
                <w:sz w:val="18"/>
                <w:szCs w:val="18"/>
              </w:rPr>
            </w:pPr>
            <w:r w:rsidRPr="005D71A4">
              <w:rPr>
                <w:sz w:val="18"/>
                <w:szCs w:val="18"/>
              </w:rPr>
              <w:t>1,351</w:t>
            </w:r>
          </w:p>
        </w:tc>
        <w:tc>
          <w:tcPr>
            <w:tcW w:w="2976" w:type="dxa"/>
          </w:tcPr>
          <w:p w14:paraId="643D9FD1" w14:textId="4E98B67F" w:rsidR="00995812" w:rsidRPr="005D71A4" w:rsidRDefault="00E77D8C" w:rsidP="00832E82">
            <w:pPr>
              <w:pStyle w:val="051Tabletext2210pt"/>
              <w:rPr>
                <w:sz w:val="18"/>
                <w:szCs w:val="18"/>
              </w:rPr>
            </w:pPr>
            <w:r w:rsidRPr="005D71A4">
              <w:rPr>
                <w:sz w:val="18"/>
                <w:szCs w:val="18"/>
              </w:rPr>
              <w:t>1,342</w:t>
            </w:r>
          </w:p>
        </w:tc>
      </w:tr>
      <w:tr w:rsidR="00995812" w14:paraId="01468FEE" w14:textId="77777777" w:rsidTr="00151D6C">
        <w:tc>
          <w:tcPr>
            <w:tcW w:w="3969" w:type="dxa"/>
          </w:tcPr>
          <w:p w14:paraId="60141C11" w14:textId="08C310F5" w:rsidR="00995812" w:rsidRPr="005D71A4" w:rsidRDefault="00850743" w:rsidP="00832E82">
            <w:pPr>
              <w:pStyle w:val="051Tabletext2210pt"/>
              <w:rPr>
                <w:sz w:val="18"/>
                <w:szCs w:val="18"/>
              </w:rPr>
            </w:pPr>
            <w:r w:rsidRPr="005D71A4">
              <w:rPr>
                <w:sz w:val="18"/>
                <w:szCs w:val="18"/>
              </w:rPr>
              <w:t xml:space="preserve">Laparoscopic </w:t>
            </w:r>
            <w:proofErr w:type="spellStart"/>
            <w:r w:rsidRPr="005D71A4">
              <w:rPr>
                <w:sz w:val="18"/>
                <w:szCs w:val="18"/>
              </w:rPr>
              <w:t>co</w:t>
            </w:r>
            <w:r w:rsidR="006F02B1" w:rsidRPr="005D71A4">
              <w:rPr>
                <w:sz w:val="18"/>
                <w:szCs w:val="18"/>
              </w:rPr>
              <w:t>lposuspension</w:t>
            </w:r>
            <w:proofErr w:type="spellEnd"/>
          </w:p>
        </w:tc>
        <w:tc>
          <w:tcPr>
            <w:tcW w:w="2127" w:type="dxa"/>
          </w:tcPr>
          <w:p w14:paraId="7E85A292" w14:textId="3FC9DC0E" w:rsidR="00995812" w:rsidRPr="005D71A4" w:rsidRDefault="0036374E" w:rsidP="00832E82">
            <w:pPr>
              <w:pStyle w:val="051Tabletext2210pt"/>
              <w:rPr>
                <w:sz w:val="18"/>
                <w:szCs w:val="18"/>
              </w:rPr>
            </w:pPr>
            <w:r w:rsidRPr="005D71A4">
              <w:rPr>
                <w:sz w:val="18"/>
                <w:szCs w:val="18"/>
              </w:rPr>
              <w:t>596</w:t>
            </w:r>
          </w:p>
        </w:tc>
        <w:tc>
          <w:tcPr>
            <w:tcW w:w="2976" w:type="dxa"/>
          </w:tcPr>
          <w:p w14:paraId="67BAB88B" w14:textId="577E91E0" w:rsidR="00995812" w:rsidRPr="005D71A4" w:rsidRDefault="000075F3" w:rsidP="00832E82">
            <w:pPr>
              <w:pStyle w:val="051Tabletext2210pt"/>
              <w:rPr>
                <w:sz w:val="18"/>
                <w:szCs w:val="18"/>
              </w:rPr>
            </w:pPr>
            <w:r w:rsidRPr="005D71A4">
              <w:rPr>
                <w:sz w:val="18"/>
                <w:szCs w:val="18"/>
              </w:rPr>
              <w:t>671</w:t>
            </w:r>
          </w:p>
        </w:tc>
      </w:tr>
    </w:tbl>
    <w:p w14:paraId="30F9CB8D" w14:textId="77777777" w:rsidR="00CF165A" w:rsidRDefault="00CF165A" w:rsidP="00CF165A">
      <w:pPr>
        <w:pStyle w:val="101Tablefootnotes8pt"/>
      </w:pPr>
      <w:r>
        <w:t xml:space="preserve">Source: based on data from </w:t>
      </w:r>
      <w:proofErr w:type="spellStart"/>
      <w:r>
        <w:t>Brazzelli</w:t>
      </w:r>
      <w:proofErr w:type="spellEnd"/>
      <w:r>
        <w:t xml:space="preserve"> (</w:t>
      </w:r>
      <w:r w:rsidRPr="00CF165A">
        <w:t>2019</w:t>
      </w:r>
      <w:r>
        <w:t>)</w:t>
      </w:r>
    </w:p>
    <w:p w14:paraId="2449E478" w14:textId="02673C17" w:rsidR="00E602D9" w:rsidRPr="00E602D9" w:rsidRDefault="00FF25C3" w:rsidP="00FF25C3">
      <w:pPr>
        <w:pStyle w:val="111Tablefootnoteslast-nostick8pt"/>
      </w:pPr>
      <w:r>
        <w:t xml:space="preserve">Abbreviations: </w:t>
      </w:r>
      <w:r w:rsidR="00164FF1" w:rsidRPr="00B0485F">
        <w:rPr>
          <w:lang w:val="en-AU"/>
        </w:rPr>
        <w:t>MUS, mid-urethral sling</w:t>
      </w:r>
      <w:r w:rsidR="00164FF1">
        <w:rPr>
          <w:lang w:val="en-AU"/>
        </w:rPr>
        <w:t xml:space="preserve">; NMA, network meta-analysis; RP, retropubic; TO, </w:t>
      </w:r>
      <w:proofErr w:type="spellStart"/>
      <w:r w:rsidR="00164FF1">
        <w:rPr>
          <w:lang w:val="en-AU"/>
        </w:rPr>
        <w:t>transobturator</w:t>
      </w:r>
      <w:proofErr w:type="spellEnd"/>
      <w:r w:rsidR="00164FF1">
        <w:rPr>
          <w:lang w:val="en-AU"/>
        </w:rPr>
        <w:t>.</w:t>
      </w:r>
    </w:p>
    <w:p w14:paraId="654D87E9" w14:textId="1B334D8D" w:rsidR="00E97C49" w:rsidRPr="00B0485F" w:rsidRDefault="00E97C49" w:rsidP="00D26049">
      <w:pPr>
        <w:pStyle w:val="Heading4"/>
      </w:pPr>
      <w:r w:rsidRPr="00B0485F">
        <w:t>Findings</w:t>
      </w:r>
    </w:p>
    <w:p w14:paraId="57DDB6F8" w14:textId="0CD5CF5D" w:rsidR="007C5978" w:rsidRPr="00B0485F" w:rsidRDefault="00317311" w:rsidP="007C5978">
      <w:pPr>
        <w:pStyle w:val="BodyText"/>
      </w:pPr>
      <w:r w:rsidRPr="00B0485F">
        <w:t xml:space="preserve">Effect sizes are reported as posterior odds ratios </w:t>
      </w:r>
      <w:r w:rsidR="009D56E1" w:rsidRPr="00B0485F">
        <w:t>(OR</w:t>
      </w:r>
      <w:r w:rsidR="00957527" w:rsidRPr="00B0485F">
        <w:t>s</w:t>
      </w:r>
      <w:r w:rsidR="009D56E1" w:rsidRPr="00B0485F">
        <w:t xml:space="preserve">) </w:t>
      </w:r>
      <w:r w:rsidRPr="00B0485F">
        <w:t xml:space="preserve">and </w:t>
      </w:r>
      <w:r w:rsidR="009D56E1" w:rsidRPr="00B0485F">
        <w:t>95% credible intervals (</w:t>
      </w:r>
      <w:proofErr w:type="spellStart"/>
      <w:r w:rsidR="009D56E1" w:rsidRPr="00B0485F">
        <w:t>CrI</w:t>
      </w:r>
      <w:r w:rsidR="00957527" w:rsidRPr="00B0485F">
        <w:t>s</w:t>
      </w:r>
      <w:proofErr w:type="spellEnd"/>
      <w:r w:rsidR="00957527" w:rsidRPr="00B0485F">
        <w:t xml:space="preserve">) (see </w:t>
      </w:r>
      <w:r w:rsidR="00957527" w:rsidRPr="00B0485F">
        <w:rPr>
          <w:b/>
          <w:bCs/>
        </w:rPr>
        <w:fldChar w:fldCharType="begin"/>
      </w:r>
      <w:r w:rsidR="00957527" w:rsidRPr="00B0485F">
        <w:rPr>
          <w:b/>
          <w:bCs/>
        </w:rPr>
        <w:instrText xml:space="preserve"> REF _Ref131074682 \h  \* MERGEFORMAT </w:instrText>
      </w:r>
      <w:r w:rsidR="00957527" w:rsidRPr="00B0485F">
        <w:rPr>
          <w:b/>
          <w:bCs/>
        </w:rPr>
      </w:r>
      <w:r w:rsidR="00957527" w:rsidRPr="00B0485F">
        <w:rPr>
          <w:b/>
          <w:bCs/>
        </w:rPr>
        <w:fldChar w:fldCharType="separate"/>
      </w:r>
      <w:r w:rsidR="007105D3" w:rsidRPr="007105D3">
        <w:rPr>
          <w:b/>
          <w:bCs/>
        </w:rPr>
        <w:t xml:space="preserve">Table </w:t>
      </w:r>
      <w:r w:rsidR="007105D3" w:rsidRPr="007105D3">
        <w:rPr>
          <w:b/>
          <w:bCs/>
          <w:noProof/>
        </w:rPr>
        <w:t>9</w:t>
      </w:r>
      <w:r w:rsidR="00957527" w:rsidRPr="00B0485F">
        <w:rPr>
          <w:b/>
          <w:bCs/>
        </w:rPr>
        <w:fldChar w:fldCharType="end"/>
      </w:r>
      <w:r w:rsidR="00957527" w:rsidRPr="00B0485F">
        <w:t xml:space="preserve"> and </w:t>
      </w:r>
      <w:r w:rsidR="00957527" w:rsidRPr="00B0485F">
        <w:rPr>
          <w:b/>
          <w:bCs/>
        </w:rPr>
        <w:fldChar w:fldCharType="begin"/>
      </w:r>
      <w:r w:rsidR="00957527" w:rsidRPr="00B0485F">
        <w:rPr>
          <w:b/>
          <w:bCs/>
        </w:rPr>
        <w:instrText xml:space="preserve"> REF _Ref131074689 \h  \* MERGEFORMAT </w:instrText>
      </w:r>
      <w:r w:rsidR="00957527" w:rsidRPr="00B0485F">
        <w:rPr>
          <w:b/>
          <w:bCs/>
        </w:rPr>
      </w:r>
      <w:r w:rsidR="00957527" w:rsidRPr="00B0485F">
        <w:rPr>
          <w:b/>
          <w:bCs/>
        </w:rPr>
        <w:fldChar w:fldCharType="separate"/>
      </w:r>
      <w:r w:rsidR="007105D3" w:rsidRPr="007105D3">
        <w:rPr>
          <w:b/>
          <w:bCs/>
        </w:rPr>
        <w:t xml:space="preserve">Table </w:t>
      </w:r>
      <w:r w:rsidR="007105D3" w:rsidRPr="007105D3">
        <w:rPr>
          <w:b/>
          <w:bCs/>
          <w:noProof/>
        </w:rPr>
        <w:t>10</w:t>
      </w:r>
      <w:r w:rsidR="00957527" w:rsidRPr="00B0485F">
        <w:rPr>
          <w:b/>
          <w:bCs/>
        </w:rPr>
        <w:fldChar w:fldCharType="end"/>
      </w:r>
      <w:r w:rsidR="00957527" w:rsidRPr="00B0485F">
        <w:t>)</w:t>
      </w:r>
      <w:r w:rsidR="008E77AC" w:rsidRPr="00B0485F">
        <w:t xml:space="preserve">. </w:t>
      </w:r>
      <w:proofErr w:type="spellStart"/>
      <w:r w:rsidR="0024493B" w:rsidRPr="004067F8">
        <w:t>Brazzelli</w:t>
      </w:r>
      <w:proofErr w:type="spellEnd"/>
      <w:r w:rsidR="005367C5">
        <w:t xml:space="preserve"> 2019</w:t>
      </w:r>
      <w:r w:rsidR="0024493B" w:rsidRPr="004067F8">
        <w:t xml:space="preserve"> </w:t>
      </w:r>
      <w:r w:rsidR="00903875" w:rsidRPr="00B0485F">
        <w:t xml:space="preserve">also </w:t>
      </w:r>
      <w:r w:rsidR="00952F21" w:rsidRPr="00B0485F">
        <w:t xml:space="preserve">assessed </w:t>
      </w:r>
      <w:r w:rsidR="0024493B" w:rsidRPr="00B0485F">
        <w:t>t</w:t>
      </w:r>
      <w:r w:rsidR="00FF70CF" w:rsidRPr="00B0485F">
        <w:t>he probability of an intervention</w:t>
      </w:r>
      <w:r w:rsidR="00B80928" w:rsidRPr="00B0485F">
        <w:t xml:space="preserve"> in the NMA</w:t>
      </w:r>
      <w:r w:rsidR="00FF70CF" w:rsidRPr="00B0485F">
        <w:t xml:space="preserve"> being ranked 1 (the highest) to 9 (the lowest) </w:t>
      </w:r>
      <w:r w:rsidR="00065736" w:rsidRPr="00B0485F">
        <w:t>using</w:t>
      </w:r>
      <w:r w:rsidR="00FF70CF" w:rsidRPr="00B0485F">
        <w:t xml:space="preserve"> </w:t>
      </w:r>
      <w:proofErr w:type="spellStart"/>
      <w:r w:rsidR="00FF70CF" w:rsidRPr="00B0485F">
        <w:t>rankograms</w:t>
      </w:r>
      <w:proofErr w:type="spellEnd"/>
      <w:r w:rsidR="002828E9" w:rsidRPr="00B0485F">
        <w:t xml:space="preserve">. </w:t>
      </w:r>
      <w:r w:rsidR="00D6698C">
        <w:t>T</w:t>
      </w:r>
      <w:r w:rsidR="00AD146C" w:rsidRPr="00B0485F">
        <w:t>he</w:t>
      </w:r>
      <w:r w:rsidR="002828E9" w:rsidRPr="00B0485F">
        <w:t xml:space="preserve"> </w:t>
      </w:r>
      <w:r w:rsidR="009C25DB" w:rsidRPr="00B0485F">
        <w:t xml:space="preserve">surface under the </w:t>
      </w:r>
      <w:r w:rsidR="00324CE7" w:rsidRPr="00B0485F">
        <w:t>cumulative ranking curve (SUCRA)</w:t>
      </w:r>
      <w:r w:rsidR="00282484" w:rsidRPr="00B0485F">
        <w:t xml:space="preserve"> </w:t>
      </w:r>
      <w:r w:rsidR="00D6698C">
        <w:t xml:space="preserve">was </w:t>
      </w:r>
      <w:r w:rsidR="00D6698C">
        <w:lastRenderedPageBreak/>
        <w:t xml:space="preserve">reported </w:t>
      </w:r>
      <w:r w:rsidR="00AD146C" w:rsidRPr="00B0485F">
        <w:t>a</w:t>
      </w:r>
      <w:r w:rsidR="00282484" w:rsidRPr="00B0485F">
        <w:t>s</w:t>
      </w:r>
      <w:r w:rsidR="00CE530E" w:rsidRPr="00B0485F">
        <w:t xml:space="preserve"> a numerical </w:t>
      </w:r>
      <w:r w:rsidR="00BC3E57" w:rsidRPr="00B0485F">
        <w:t xml:space="preserve">presentation of the overall ranking </w:t>
      </w:r>
      <w:r w:rsidR="004E79F4" w:rsidRPr="00B0485F">
        <w:t>(</w:t>
      </w:r>
      <w:r w:rsidR="003C3F55" w:rsidRPr="00B0485F">
        <w:t xml:space="preserve">reported as a </w:t>
      </w:r>
      <w:r w:rsidR="008B7F70" w:rsidRPr="00B0485F">
        <w:t>value from 0% to 100%</w:t>
      </w:r>
      <w:r w:rsidR="004E79F4" w:rsidRPr="00B0485F">
        <w:t>)</w:t>
      </w:r>
      <w:r w:rsidR="00BC3E57" w:rsidRPr="00B0485F">
        <w:t xml:space="preserve">. </w:t>
      </w:r>
      <w:r w:rsidR="005A04E1" w:rsidRPr="00B0485F">
        <w:t xml:space="preserve">The closer the </w:t>
      </w:r>
      <w:r w:rsidR="004E79F4" w:rsidRPr="00B0485F">
        <w:t xml:space="preserve">SUCRA </w:t>
      </w:r>
      <w:r w:rsidR="005A04E1" w:rsidRPr="00B0485F">
        <w:t>value is to 100% the more likely the intervention is</w:t>
      </w:r>
      <w:r w:rsidR="00B16A6B" w:rsidRPr="00B0485F">
        <w:t xml:space="preserve"> to be in the top (or one of the </w:t>
      </w:r>
      <w:proofErr w:type="gramStart"/>
      <w:r w:rsidR="00B16A6B" w:rsidRPr="00B0485F">
        <w:t>top</w:t>
      </w:r>
      <w:proofErr w:type="gramEnd"/>
      <w:r w:rsidR="00B16A6B" w:rsidRPr="00B0485F">
        <w:t xml:space="preserve">) ranks. </w:t>
      </w:r>
      <w:r w:rsidR="00121350" w:rsidRPr="00B0485F">
        <w:t>O</w:t>
      </w:r>
      <w:r w:rsidR="003002F9" w:rsidRPr="00B0485F">
        <w:t>dds ratio</w:t>
      </w:r>
      <w:r w:rsidR="00121350" w:rsidRPr="00B0485F">
        <w:t xml:space="preserve">s, </w:t>
      </w:r>
      <w:proofErr w:type="spellStart"/>
      <w:r w:rsidR="00121350" w:rsidRPr="00B0485F">
        <w:t>CrIs</w:t>
      </w:r>
      <w:proofErr w:type="spellEnd"/>
      <w:r w:rsidR="00121350" w:rsidRPr="00B0485F">
        <w:t xml:space="preserve"> and </w:t>
      </w:r>
      <w:r w:rsidR="00216524" w:rsidRPr="00B0485F">
        <w:t xml:space="preserve">SUCRA values are reported here for the </w:t>
      </w:r>
      <w:r w:rsidR="004F68DB">
        <w:t>comparisons</w:t>
      </w:r>
      <w:r w:rsidR="00FA57A3" w:rsidRPr="00B0485F">
        <w:t xml:space="preserve"> </w:t>
      </w:r>
      <w:r w:rsidR="0013302C">
        <w:t>relevant to</w:t>
      </w:r>
      <w:r w:rsidR="00FA57A3" w:rsidRPr="00B0485F">
        <w:t xml:space="preserve"> this post-listing review</w:t>
      </w:r>
      <w:r w:rsidR="0010490D">
        <w:t xml:space="preserve"> (see </w:t>
      </w:r>
      <w:r w:rsidR="0010490D" w:rsidRPr="0010490D">
        <w:rPr>
          <w:b/>
          <w:bCs/>
        </w:rPr>
        <w:fldChar w:fldCharType="begin"/>
      </w:r>
      <w:r w:rsidR="0010490D" w:rsidRPr="0010490D">
        <w:rPr>
          <w:b/>
          <w:bCs/>
        </w:rPr>
        <w:instrText xml:space="preserve"> REF _Ref131074682 \h </w:instrText>
      </w:r>
      <w:r w:rsidR="0010490D">
        <w:rPr>
          <w:b/>
          <w:bCs/>
        </w:rPr>
        <w:instrText xml:space="preserve"> \* MERGEFORMAT </w:instrText>
      </w:r>
      <w:r w:rsidR="0010490D" w:rsidRPr="0010490D">
        <w:rPr>
          <w:b/>
          <w:bCs/>
        </w:rPr>
      </w:r>
      <w:r w:rsidR="0010490D" w:rsidRPr="0010490D">
        <w:rPr>
          <w:b/>
          <w:bCs/>
        </w:rPr>
        <w:fldChar w:fldCharType="separate"/>
      </w:r>
      <w:r w:rsidR="007105D3" w:rsidRPr="007105D3">
        <w:rPr>
          <w:b/>
          <w:bCs/>
        </w:rPr>
        <w:t xml:space="preserve">Table </w:t>
      </w:r>
      <w:r w:rsidR="007105D3" w:rsidRPr="007105D3">
        <w:rPr>
          <w:b/>
          <w:bCs/>
          <w:noProof/>
        </w:rPr>
        <w:t>9</w:t>
      </w:r>
      <w:r w:rsidR="0010490D" w:rsidRPr="0010490D">
        <w:rPr>
          <w:b/>
          <w:bCs/>
        </w:rPr>
        <w:fldChar w:fldCharType="end"/>
      </w:r>
      <w:r w:rsidR="0010490D">
        <w:t xml:space="preserve"> and </w:t>
      </w:r>
      <w:r w:rsidR="0010490D" w:rsidRPr="0010490D">
        <w:rPr>
          <w:b/>
          <w:bCs/>
        </w:rPr>
        <w:fldChar w:fldCharType="begin"/>
      </w:r>
      <w:r w:rsidR="0010490D" w:rsidRPr="0010490D">
        <w:rPr>
          <w:b/>
          <w:bCs/>
        </w:rPr>
        <w:instrText xml:space="preserve"> REF _Ref131074689 \h </w:instrText>
      </w:r>
      <w:r w:rsidR="0010490D">
        <w:rPr>
          <w:b/>
          <w:bCs/>
        </w:rPr>
        <w:instrText xml:space="preserve"> \* MERGEFORMAT </w:instrText>
      </w:r>
      <w:r w:rsidR="0010490D" w:rsidRPr="0010490D">
        <w:rPr>
          <w:b/>
          <w:bCs/>
        </w:rPr>
      </w:r>
      <w:r w:rsidR="0010490D" w:rsidRPr="0010490D">
        <w:rPr>
          <w:b/>
          <w:bCs/>
        </w:rPr>
        <w:fldChar w:fldCharType="separate"/>
      </w:r>
      <w:r w:rsidR="007105D3" w:rsidRPr="007105D3">
        <w:rPr>
          <w:b/>
          <w:bCs/>
        </w:rPr>
        <w:t xml:space="preserve">Table </w:t>
      </w:r>
      <w:r w:rsidR="007105D3" w:rsidRPr="007105D3">
        <w:rPr>
          <w:b/>
          <w:bCs/>
          <w:noProof/>
        </w:rPr>
        <w:t>10</w:t>
      </w:r>
      <w:r w:rsidR="0010490D" w:rsidRPr="0010490D">
        <w:rPr>
          <w:b/>
          <w:bCs/>
        </w:rPr>
        <w:fldChar w:fldCharType="end"/>
      </w:r>
      <w:r w:rsidR="0010490D">
        <w:t>)</w:t>
      </w:r>
      <w:r w:rsidR="00FA57A3" w:rsidRPr="00B0485F">
        <w:t>.</w:t>
      </w:r>
    </w:p>
    <w:p w14:paraId="477D967C" w14:textId="4732DD40" w:rsidR="00122145" w:rsidRPr="00B0485F" w:rsidRDefault="004E5CEB" w:rsidP="004E5CEB">
      <w:pPr>
        <w:pStyle w:val="Heading5"/>
      </w:pPr>
      <w:r w:rsidRPr="00B0485F">
        <w:t>Cure</w:t>
      </w:r>
    </w:p>
    <w:p w14:paraId="6DCBF9EC" w14:textId="7D1F3852" w:rsidR="00371FB0" w:rsidRDefault="00180C24" w:rsidP="00520096">
      <w:pPr>
        <w:pStyle w:val="BodyText"/>
      </w:pPr>
      <w:r w:rsidRPr="00B0485F">
        <w:t xml:space="preserve">The NMA demonstrated a statistically significant difference </w:t>
      </w:r>
      <w:r w:rsidR="009117EF" w:rsidRPr="00B0485F">
        <w:t xml:space="preserve">favouring </w:t>
      </w:r>
      <w:r w:rsidR="007A2B2F">
        <w:t>RP-</w:t>
      </w:r>
      <w:r w:rsidR="0001058A" w:rsidRPr="00B0485F">
        <w:t>MUS</w:t>
      </w:r>
      <w:r w:rsidR="009117EF" w:rsidRPr="00B0485F">
        <w:t xml:space="preserve"> over </w:t>
      </w:r>
      <w:r w:rsidR="007A2B2F">
        <w:t>TO-</w:t>
      </w:r>
      <w:r w:rsidR="009117EF" w:rsidRPr="00B0485F">
        <w:t>MUS</w:t>
      </w:r>
      <w:r w:rsidR="005F3053" w:rsidRPr="00B0485F">
        <w:t xml:space="preserve"> in the number of women cured (OR 0.74</w:t>
      </w:r>
      <w:r w:rsidR="00E56727">
        <w:t>,</w:t>
      </w:r>
      <w:r w:rsidR="005F3053" w:rsidRPr="00B0485F">
        <w:t xml:space="preserve"> 95% </w:t>
      </w:r>
      <w:proofErr w:type="spellStart"/>
      <w:r w:rsidR="005F3053" w:rsidRPr="00B0485F">
        <w:t>CrI</w:t>
      </w:r>
      <w:proofErr w:type="spellEnd"/>
      <w:r w:rsidR="005F3053" w:rsidRPr="00B0485F">
        <w:t xml:space="preserve"> 0.59 to 0.92)</w:t>
      </w:r>
      <w:r w:rsidR="00415A28" w:rsidRPr="00B0485F">
        <w:t xml:space="preserve"> based on moderate quality evidence</w:t>
      </w:r>
      <w:r w:rsidR="005F3053" w:rsidRPr="00B0485F">
        <w:t>.</w:t>
      </w:r>
    </w:p>
    <w:p w14:paraId="03BA38A1" w14:textId="658CC761" w:rsidR="0001058A" w:rsidRPr="00B0485F" w:rsidRDefault="00626056" w:rsidP="00520096">
      <w:pPr>
        <w:pStyle w:val="BodyText"/>
      </w:pPr>
      <w:r w:rsidRPr="00B0485F">
        <w:t>There wa</w:t>
      </w:r>
      <w:r w:rsidR="005A225F" w:rsidRPr="00B0485F">
        <w:t xml:space="preserve">s no </w:t>
      </w:r>
      <w:r w:rsidR="005126C3" w:rsidRPr="00B0485F">
        <w:t>statistically significant</w:t>
      </w:r>
      <w:r w:rsidR="005A225F" w:rsidRPr="00B0485F">
        <w:t xml:space="preserve"> difference</w:t>
      </w:r>
      <w:r w:rsidR="00085C84" w:rsidRPr="00B0485F">
        <w:t xml:space="preserve"> in the number of women cured</w:t>
      </w:r>
      <w:r w:rsidR="005A225F" w:rsidRPr="00B0485F">
        <w:t xml:space="preserve"> between </w:t>
      </w:r>
      <w:r w:rsidR="00292639" w:rsidRPr="00B0485F">
        <w:t xml:space="preserve">open </w:t>
      </w:r>
      <w:r w:rsidR="006B1319" w:rsidRPr="00B0485F">
        <w:t>or</w:t>
      </w:r>
      <w:r w:rsidR="00292639" w:rsidRPr="00B0485F">
        <w:t xml:space="preserve"> </w:t>
      </w:r>
      <w:r w:rsidR="004016B7" w:rsidRPr="00B0485F">
        <w:t>laparoscopic</w:t>
      </w:r>
      <w:r w:rsidR="00292639" w:rsidRPr="00B0485F">
        <w:t xml:space="preserve"> </w:t>
      </w:r>
      <w:proofErr w:type="spellStart"/>
      <w:r w:rsidR="00292639" w:rsidRPr="00B0485F">
        <w:t>colposuspension</w:t>
      </w:r>
      <w:proofErr w:type="spellEnd"/>
      <w:r w:rsidR="00284667" w:rsidRPr="00B0485F">
        <w:t xml:space="preserve"> </w:t>
      </w:r>
      <w:r w:rsidR="002E5D0E">
        <w:t>and RP-</w:t>
      </w:r>
      <w:r w:rsidR="00292639" w:rsidRPr="00B0485F">
        <w:t xml:space="preserve">MUS </w:t>
      </w:r>
      <w:r w:rsidR="00284667" w:rsidRPr="00B0485F">
        <w:t>(low quality evidence)</w:t>
      </w:r>
      <w:r w:rsidR="009C2912" w:rsidRPr="00B0485F">
        <w:t xml:space="preserve"> or between </w:t>
      </w:r>
      <w:r w:rsidR="00770421" w:rsidRPr="00B0485F">
        <w:t xml:space="preserve">open </w:t>
      </w:r>
      <w:r w:rsidR="00CC1197" w:rsidRPr="00B0485F">
        <w:t xml:space="preserve">or </w:t>
      </w:r>
      <w:r w:rsidR="004016B7" w:rsidRPr="00B0485F">
        <w:t>laparoscopic</w:t>
      </w:r>
      <w:r w:rsidR="004B0082" w:rsidRPr="00B0485F">
        <w:t xml:space="preserve"> </w:t>
      </w:r>
      <w:proofErr w:type="spellStart"/>
      <w:r w:rsidR="004B0082" w:rsidRPr="00B0485F">
        <w:t>colposuspension</w:t>
      </w:r>
      <w:proofErr w:type="spellEnd"/>
      <w:r w:rsidR="004B0082" w:rsidRPr="00B0485F">
        <w:t xml:space="preserve"> </w:t>
      </w:r>
      <w:r w:rsidR="002E5D0E">
        <w:t>and TO-M</w:t>
      </w:r>
      <w:r w:rsidR="00B82305" w:rsidRPr="00B0485F">
        <w:t xml:space="preserve">US </w:t>
      </w:r>
      <w:r w:rsidR="004B0082" w:rsidRPr="00B0485F">
        <w:t>(low quality evidence)</w:t>
      </w:r>
      <w:r w:rsidR="00B6526C" w:rsidRPr="00B0485F">
        <w:t>.</w:t>
      </w:r>
    </w:p>
    <w:p w14:paraId="3802E47F" w14:textId="6BD069F3" w:rsidR="00122145" w:rsidRPr="00B0485F" w:rsidRDefault="00122145" w:rsidP="00122145">
      <w:pPr>
        <w:pStyle w:val="Caption"/>
      </w:pPr>
      <w:bookmarkStart w:id="65" w:name="_Ref131074682"/>
      <w:bookmarkStart w:id="66" w:name="_Toc165627877"/>
      <w:r w:rsidRPr="00B0485F">
        <w:t xml:space="preserve">Table </w:t>
      </w:r>
      <w:fldSimple w:instr=" SEQ Table \* ARABIC ">
        <w:r w:rsidR="007105D3">
          <w:rPr>
            <w:noProof/>
          </w:rPr>
          <w:t>9</w:t>
        </w:r>
      </w:fldSimple>
      <w:bookmarkEnd w:id="65"/>
      <w:r w:rsidRPr="00B0485F">
        <w:tab/>
        <w:t>NMA results for number of women cured for relevant treatment comparisons</w:t>
      </w:r>
      <w:bookmarkEnd w:id="66"/>
    </w:p>
    <w:tbl>
      <w:tblPr>
        <w:tblStyle w:val="TableGrid"/>
        <w:tblW w:w="0" w:type="auto"/>
        <w:tblLook w:val="04A0" w:firstRow="1" w:lastRow="0" w:firstColumn="1" w:lastColumn="0" w:noHBand="0" w:noVBand="1"/>
        <w:tblCaption w:val="NMA results for number of women cured for relevant treatment comparisons"/>
        <w:tblDescription w:val="This table shows the results of the NMA for the outcome of number of women cured, by treatment comparison."/>
      </w:tblPr>
      <w:tblGrid>
        <w:gridCol w:w="2835"/>
        <w:gridCol w:w="1701"/>
        <w:gridCol w:w="993"/>
        <w:gridCol w:w="1275"/>
        <w:gridCol w:w="1843"/>
      </w:tblGrid>
      <w:tr w:rsidR="00122145" w:rsidRPr="00B0485F" w14:paraId="216F8944" w14:textId="77777777" w:rsidTr="004559BE">
        <w:trPr>
          <w:cnfStyle w:val="100000000000" w:firstRow="1" w:lastRow="0" w:firstColumn="0" w:lastColumn="0" w:oddVBand="0" w:evenVBand="0" w:oddHBand="0" w:evenHBand="0" w:firstRowFirstColumn="0" w:firstRowLastColumn="0" w:lastRowFirstColumn="0" w:lastRowLastColumn="0"/>
        </w:trPr>
        <w:tc>
          <w:tcPr>
            <w:tcW w:w="2835" w:type="dxa"/>
          </w:tcPr>
          <w:p w14:paraId="6204A09F" w14:textId="77777777" w:rsidR="00122145" w:rsidRPr="005D71A4" w:rsidRDefault="00122145" w:rsidP="001C3C68">
            <w:pPr>
              <w:pStyle w:val="031Tablesubheading10pt"/>
              <w:rPr>
                <w:sz w:val="18"/>
                <w:szCs w:val="18"/>
              </w:rPr>
            </w:pPr>
            <w:r w:rsidRPr="005D71A4">
              <w:rPr>
                <w:sz w:val="18"/>
                <w:szCs w:val="18"/>
              </w:rPr>
              <w:t>Treatment 1</w:t>
            </w:r>
          </w:p>
        </w:tc>
        <w:tc>
          <w:tcPr>
            <w:tcW w:w="1701" w:type="dxa"/>
          </w:tcPr>
          <w:p w14:paraId="6692CE59" w14:textId="77777777" w:rsidR="00122145" w:rsidRPr="005D71A4" w:rsidRDefault="00122145" w:rsidP="001C3C68">
            <w:pPr>
              <w:pStyle w:val="031Tablesubheading10pt"/>
              <w:rPr>
                <w:sz w:val="18"/>
                <w:szCs w:val="18"/>
              </w:rPr>
            </w:pPr>
            <w:r w:rsidRPr="005D71A4">
              <w:rPr>
                <w:sz w:val="18"/>
                <w:szCs w:val="18"/>
              </w:rPr>
              <w:t>Treatment 2</w:t>
            </w:r>
          </w:p>
        </w:tc>
        <w:tc>
          <w:tcPr>
            <w:tcW w:w="993" w:type="dxa"/>
          </w:tcPr>
          <w:p w14:paraId="29031D53" w14:textId="77777777" w:rsidR="00122145" w:rsidRPr="005D71A4" w:rsidRDefault="00122145" w:rsidP="001C3C68">
            <w:pPr>
              <w:pStyle w:val="031Tablesubheading10pt"/>
              <w:rPr>
                <w:sz w:val="18"/>
                <w:szCs w:val="18"/>
              </w:rPr>
            </w:pPr>
            <w:r w:rsidRPr="005D71A4">
              <w:rPr>
                <w:sz w:val="18"/>
                <w:szCs w:val="18"/>
              </w:rPr>
              <w:t>OR</w:t>
            </w:r>
          </w:p>
        </w:tc>
        <w:tc>
          <w:tcPr>
            <w:tcW w:w="1275" w:type="dxa"/>
          </w:tcPr>
          <w:p w14:paraId="7788CFB1" w14:textId="77777777" w:rsidR="00122145" w:rsidRPr="005D71A4" w:rsidRDefault="00122145" w:rsidP="001C3C68">
            <w:pPr>
              <w:pStyle w:val="031Tablesubheading10pt"/>
              <w:rPr>
                <w:sz w:val="18"/>
                <w:szCs w:val="18"/>
              </w:rPr>
            </w:pPr>
            <w:r w:rsidRPr="005D71A4">
              <w:rPr>
                <w:sz w:val="18"/>
                <w:szCs w:val="18"/>
              </w:rPr>
              <w:t xml:space="preserve">95% </w:t>
            </w:r>
            <w:proofErr w:type="spellStart"/>
            <w:r w:rsidRPr="005D71A4">
              <w:rPr>
                <w:sz w:val="18"/>
                <w:szCs w:val="18"/>
              </w:rPr>
              <w:t>CrI</w:t>
            </w:r>
            <w:proofErr w:type="spellEnd"/>
          </w:p>
        </w:tc>
        <w:tc>
          <w:tcPr>
            <w:tcW w:w="1843" w:type="dxa"/>
          </w:tcPr>
          <w:p w14:paraId="5694B1A2" w14:textId="4C2681F0" w:rsidR="00122145" w:rsidRPr="005D71A4" w:rsidRDefault="004559BE" w:rsidP="001C3C68">
            <w:pPr>
              <w:pStyle w:val="031Tablesubheading10pt"/>
              <w:rPr>
                <w:sz w:val="18"/>
                <w:szCs w:val="18"/>
              </w:rPr>
            </w:pPr>
            <w:r w:rsidRPr="005D71A4">
              <w:rPr>
                <w:sz w:val="18"/>
                <w:szCs w:val="18"/>
              </w:rPr>
              <w:t>Quality of evidence</w:t>
            </w:r>
          </w:p>
        </w:tc>
      </w:tr>
      <w:tr w:rsidR="00122145" w:rsidRPr="00B0485F" w14:paraId="4E1A4C36" w14:textId="77777777" w:rsidTr="004559BE">
        <w:tc>
          <w:tcPr>
            <w:tcW w:w="2835" w:type="dxa"/>
          </w:tcPr>
          <w:p w14:paraId="013FA965" w14:textId="77777777" w:rsidR="00122145" w:rsidRPr="005D71A4" w:rsidRDefault="00122145" w:rsidP="001C3C68">
            <w:pPr>
              <w:pStyle w:val="051Tabletext2210pt"/>
              <w:rPr>
                <w:sz w:val="18"/>
                <w:szCs w:val="18"/>
              </w:rPr>
            </w:pPr>
            <w:r w:rsidRPr="005D71A4">
              <w:rPr>
                <w:sz w:val="18"/>
                <w:szCs w:val="18"/>
              </w:rPr>
              <w:t xml:space="preserve">Open </w:t>
            </w:r>
            <w:proofErr w:type="spellStart"/>
            <w:r w:rsidRPr="005D71A4">
              <w:rPr>
                <w:sz w:val="18"/>
                <w:szCs w:val="18"/>
              </w:rPr>
              <w:t>colposuspension</w:t>
            </w:r>
            <w:proofErr w:type="spellEnd"/>
          </w:p>
        </w:tc>
        <w:tc>
          <w:tcPr>
            <w:tcW w:w="1701" w:type="dxa"/>
          </w:tcPr>
          <w:p w14:paraId="02522897" w14:textId="40EC592B" w:rsidR="00122145" w:rsidRPr="005D71A4" w:rsidRDefault="00635495" w:rsidP="001C3C68">
            <w:pPr>
              <w:pStyle w:val="051Tabletext2210pt"/>
              <w:rPr>
                <w:sz w:val="18"/>
                <w:szCs w:val="18"/>
              </w:rPr>
            </w:pPr>
            <w:r w:rsidRPr="005D71A4">
              <w:rPr>
                <w:sz w:val="18"/>
                <w:szCs w:val="18"/>
              </w:rPr>
              <w:t>RP-</w:t>
            </w:r>
            <w:r w:rsidR="00122145" w:rsidRPr="005D71A4">
              <w:rPr>
                <w:sz w:val="18"/>
                <w:szCs w:val="18"/>
              </w:rPr>
              <w:t>MUS</w:t>
            </w:r>
          </w:p>
        </w:tc>
        <w:tc>
          <w:tcPr>
            <w:tcW w:w="993" w:type="dxa"/>
          </w:tcPr>
          <w:p w14:paraId="24EBD25E" w14:textId="77777777" w:rsidR="00122145" w:rsidRPr="005D71A4" w:rsidRDefault="00122145" w:rsidP="001C3C68">
            <w:pPr>
              <w:pStyle w:val="051Tabletext2210pt"/>
              <w:rPr>
                <w:sz w:val="18"/>
                <w:szCs w:val="18"/>
              </w:rPr>
            </w:pPr>
            <w:r w:rsidRPr="005D71A4">
              <w:rPr>
                <w:sz w:val="18"/>
                <w:szCs w:val="18"/>
              </w:rPr>
              <w:t>0.85</w:t>
            </w:r>
          </w:p>
        </w:tc>
        <w:tc>
          <w:tcPr>
            <w:tcW w:w="1275" w:type="dxa"/>
          </w:tcPr>
          <w:p w14:paraId="05F23741" w14:textId="77777777" w:rsidR="00122145" w:rsidRPr="005D71A4" w:rsidRDefault="00122145" w:rsidP="001C3C68">
            <w:pPr>
              <w:pStyle w:val="051Tabletext2210pt"/>
              <w:rPr>
                <w:sz w:val="18"/>
                <w:szCs w:val="18"/>
              </w:rPr>
            </w:pPr>
            <w:r w:rsidRPr="005D71A4">
              <w:rPr>
                <w:sz w:val="18"/>
                <w:szCs w:val="18"/>
              </w:rPr>
              <w:t>0.54 to 1.33</w:t>
            </w:r>
          </w:p>
        </w:tc>
        <w:tc>
          <w:tcPr>
            <w:tcW w:w="1843" w:type="dxa"/>
          </w:tcPr>
          <w:p w14:paraId="383E6E4D" w14:textId="77777777" w:rsidR="00122145" w:rsidRPr="005D71A4" w:rsidRDefault="00122145" w:rsidP="001C3C68">
            <w:pPr>
              <w:pStyle w:val="051Tabletext2210pt"/>
              <w:rPr>
                <w:sz w:val="18"/>
                <w:szCs w:val="18"/>
              </w:rPr>
            </w:pPr>
            <w:r w:rsidRPr="005D71A4">
              <w:rPr>
                <w:sz w:val="18"/>
                <w:szCs w:val="18"/>
              </w:rPr>
              <w:t>Low</w:t>
            </w:r>
          </w:p>
        </w:tc>
      </w:tr>
      <w:tr w:rsidR="00122145" w:rsidRPr="00B0485F" w14:paraId="39137868" w14:textId="77777777" w:rsidTr="004559BE">
        <w:tc>
          <w:tcPr>
            <w:tcW w:w="2835" w:type="dxa"/>
          </w:tcPr>
          <w:p w14:paraId="61EA99AB" w14:textId="6C1F8963" w:rsidR="00122145" w:rsidRPr="005D71A4" w:rsidRDefault="00AC783F" w:rsidP="001C3C68">
            <w:pPr>
              <w:pStyle w:val="051Tabletext2210pt"/>
              <w:rPr>
                <w:sz w:val="18"/>
                <w:szCs w:val="18"/>
              </w:rPr>
            </w:pPr>
            <w:r w:rsidRPr="005D71A4">
              <w:rPr>
                <w:sz w:val="18"/>
                <w:szCs w:val="18"/>
              </w:rPr>
              <w:t>Laparoscopic</w:t>
            </w:r>
            <w:r w:rsidR="00122145" w:rsidRPr="005D71A4">
              <w:rPr>
                <w:sz w:val="18"/>
                <w:szCs w:val="18"/>
              </w:rPr>
              <w:t xml:space="preserve"> </w:t>
            </w:r>
            <w:proofErr w:type="spellStart"/>
            <w:r w:rsidR="00122145" w:rsidRPr="005D71A4">
              <w:rPr>
                <w:sz w:val="18"/>
                <w:szCs w:val="18"/>
              </w:rPr>
              <w:t>colposuspension</w:t>
            </w:r>
            <w:proofErr w:type="spellEnd"/>
          </w:p>
        </w:tc>
        <w:tc>
          <w:tcPr>
            <w:tcW w:w="1701" w:type="dxa"/>
          </w:tcPr>
          <w:p w14:paraId="00161E1A" w14:textId="4F1D74C8" w:rsidR="00122145" w:rsidRPr="005D71A4" w:rsidRDefault="00635495" w:rsidP="001C3C68">
            <w:pPr>
              <w:pStyle w:val="051Tabletext2210pt"/>
              <w:rPr>
                <w:sz w:val="18"/>
                <w:szCs w:val="18"/>
              </w:rPr>
            </w:pPr>
            <w:r w:rsidRPr="005D71A4">
              <w:rPr>
                <w:sz w:val="18"/>
                <w:szCs w:val="18"/>
              </w:rPr>
              <w:t>RP-</w:t>
            </w:r>
            <w:r w:rsidR="00122145" w:rsidRPr="005D71A4">
              <w:rPr>
                <w:sz w:val="18"/>
                <w:szCs w:val="18"/>
              </w:rPr>
              <w:t>MUS</w:t>
            </w:r>
          </w:p>
        </w:tc>
        <w:tc>
          <w:tcPr>
            <w:tcW w:w="993" w:type="dxa"/>
          </w:tcPr>
          <w:p w14:paraId="6B8D6AEA" w14:textId="77777777" w:rsidR="00122145" w:rsidRPr="005D71A4" w:rsidRDefault="00122145" w:rsidP="001C3C68">
            <w:pPr>
              <w:pStyle w:val="051Tabletext2210pt"/>
              <w:rPr>
                <w:sz w:val="18"/>
                <w:szCs w:val="18"/>
              </w:rPr>
            </w:pPr>
            <w:r w:rsidRPr="005D71A4">
              <w:rPr>
                <w:sz w:val="18"/>
                <w:szCs w:val="18"/>
              </w:rPr>
              <w:t>0.58</w:t>
            </w:r>
          </w:p>
        </w:tc>
        <w:tc>
          <w:tcPr>
            <w:tcW w:w="1275" w:type="dxa"/>
          </w:tcPr>
          <w:p w14:paraId="2B4B77F0" w14:textId="77777777" w:rsidR="00122145" w:rsidRPr="005D71A4" w:rsidRDefault="00122145" w:rsidP="001C3C68">
            <w:pPr>
              <w:pStyle w:val="051Tabletext2210pt"/>
              <w:rPr>
                <w:sz w:val="18"/>
                <w:szCs w:val="18"/>
              </w:rPr>
            </w:pPr>
            <w:r w:rsidRPr="005D71A4">
              <w:rPr>
                <w:sz w:val="18"/>
                <w:szCs w:val="18"/>
              </w:rPr>
              <w:t>0.31 to 1.05</w:t>
            </w:r>
          </w:p>
        </w:tc>
        <w:tc>
          <w:tcPr>
            <w:tcW w:w="1843" w:type="dxa"/>
          </w:tcPr>
          <w:p w14:paraId="09450D14" w14:textId="77777777" w:rsidR="00122145" w:rsidRPr="005D71A4" w:rsidRDefault="00122145" w:rsidP="001C3C68">
            <w:pPr>
              <w:pStyle w:val="051Tabletext2210pt"/>
              <w:rPr>
                <w:sz w:val="18"/>
                <w:szCs w:val="18"/>
              </w:rPr>
            </w:pPr>
            <w:r w:rsidRPr="005D71A4">
              <w:rPr>
                <w:sz w:val="18"/>
                <w:szCs w:val="18"/>
              </w:rPr>
              <w:t>Low</w:t>
            </w:r>
          </w:p>
        </w:tc>
      </w:tr>
      <w:tr w:rsidR="00122145" w:rsidRPr="00B0485F" w14:paraId="28ABDEE9" w14:textId="77777777" w:rsidTr="004559BE">
        <w:tc>
          <w:tcPr>
            <w:tcW w:w="2835" w:type="dxa"/>
          </w:tcPr>
          <w:p w14:paraId="3AFEF3D7" w14:textId="77777777" w:rsidR="00122145" w:rsidRPr="005D71A4" w:rsidRDefault="00122145" w:rsidP="001C3C68">
            <w:pPr>
              <w:pStyle w:val="051Tabletext2210pt"/>
              <w:rPr>
                <w:sz w:val="18"/>
                <w:szCs w:val="18"/>
              </w:rPr>
            </w:pPr>
            <w:r w:rsidRPr="005D71A4">
              <w:rPr>
                <w:sz w:val="18"/>
                <w:szCs w:val="18"/>
              </w:rPr>
              <w:t xml:space="preserve">Open </w:t>
            </w:r>
            <w:proofErr w:type="spellStart"/>
            <w:r w:rsidRPr="005D71A4">
              <w:rPr>
                <w:sz w:val="18"/>
                <w:szCs w:val="18"/>
              </w:rPr>
              <w:t>colposuspension</w:t>
            </w:r>
            <w:proofErr w:type="spellEnd"/>
          </w:p>
        </w:tc>
        <w:tc>
          <w:tcPr>
            <w:tcW w:w="1701" w:type="dxa"/>
          </w:tcPr>
          <w:p w14:paraId="61DD5293" w14:textId="26C95B8C" w:rsidR="00122145" w:rsidRPr="005D71A4" w:rsidRDefault="00635495" w:rsidP="001C3C68">
            <w:pPr>
              <w:pStyle w:val="051Tabletext2210pt"/>
              <w:rPr>
                <w:sz w:val="18"/>
                <w:szCs w:val="18"/>
              </w:rPr>
            </w:pPr>
            <w:r w:rsidRPr="005D71A4">
              <w:rPr>
                <w:sz w:val="18"/>
                <w:szCs w:val="18"/>
              </w:rPr>
              <w:t>TO-</w:t>
            </w:r>
            <w:r w:rsidR="00122145" w:rsidRPr="005D71A4">
              <w:rPr>
                <w:sz w:val="18"/>
                <w:szCs w:val="18"/>
              </w:rPr>
              <w:t>MUS</w:t>
            </w:r>
          </w:p>
        </w:tc>
        <w:tc>
          <w:tcPr>
            <w:tcW w:w="993" w:type="dxa"/>
          </w:tcPr>
          <w:p w14:paraId="02B5B895" w14:textId="77777777" w:rsidR="00122145" w:rsidRPr="005D71A4" w:rsidRDefault="00122145" w:rsidP="001C3C68">
            <w:pPr>
              <w:pStyle w:val="051Tabletext2210pt"/>
              <w:rPr>
                <w:sz w:val="18"/>
                <w:szCs w:val="18"/>
              </w:rPr>
            </w:pPr>
            <w:r w:rsidRPr="005D71A4">
              <w:rPr>
                <w:sz w:val="18"/>
                <w:szCs w:val="18"/>
              </w:rPr>
              <w:t>1.16</w:t>
            </w:r>
          </w:p>
        </w:tc>
        <w:tc>
          <w:tcPr>
            <w:tcW w:w="1275" w:type="dxa"/>
          </w:tcPr>
          <w:p w14:paraId="1076E42E" w14:textId="77777777" w:rsidR="00122145" w:rsidRPr="005D71A4" w:rsidRDefault="00122145" w:rsidP="001C3C68">
            <w:pPr>
              <w:pStyle w:val="051Tabletext2210pt"/>
              <w:rPr>
                <w:sz w:val="18"/>
                <w:szCs w:val="18"/>
              </w:rPr>
            </w:pPr>
            <w:r w:rsidRPr="005D71A4">
              <w:rPr>
                <w:sz w:val="18"/>
                <w:szCs w:val="18"/>
              </w:rPr>
              <w:t>0.72 to 1.86</w:t>
            </w:r>
          </w:p>
        </w:tc>
        <w:tc>
          <w:tcPr>
            <w:tcW w:w="1843" w:type="dxa"/>
          </w:tcPr>
          <w:p w14:paraId="3C1C6718" w14:textId="77777777" w:rsidR="00122145" w:rsidRPr="005D71A4" w:rsidRDefault="00122145" w:rsidP="001C3C68">
            <w:pPr>
              <w:pStyle w:val="051Tabletext2210pt"/>
              <w:rPr>
                <w:sz w:val="18"/>
                <w:szCs w:val="18"/>
              </w:rPr>
            </w:pPr>
            <w:r w:rsidRPr="005D71A4">
              <w:rPr>
                <w:sz w:val="18"/>
                <w:szCs w:val="18"/>
              </w:rPr>
              <w:t>Low</w:t>
            </w:r>
          </w:p>
        </w:tc>
      </w:tr>
      <w:tr w:rsidR="00122145" w:rsidRPr="00B0485F" w14:paraId="011DE9F3" w14:textId="77777777" w:rsidTr="004559BE">
        <w:tc>
          <w:tcPr>
            <w:tcW w:w="2835" w:type="dxa"/>
          </w:tcPr>
          <w:p w14:paraId="6493464B" w14:textId="664735E7" w:rsidR="00122145" w:rsidRPr="005D71A4" w:rsidRDefault="00904B7E" w:rsidP="001C3C68">
            <w:pPr>
              <w:pStyle w:val="051Tabletext2210pt"/>
              <w:rPr>
                <w:sz w:val="18"/>
                <w:szCs w:val="18"/>
              </w:rPr>
            </w:pPr>
            <w:r w:rsidRPr="005D71A4">
              <w:rPr>
                <w:sz w:val="18"/>
                <w:szCs w:val="18"/>
              </w:rPr>
              <w:t>Laparoscopic</w:t>
            </w:r>
            <w:r w:rsidR="00122145" w:rsidRPr="005D71A4">
              <w:rPr>
                <w:sz w:val="18"/>
                <w:szCs w:val="18"/>
              </w:rPr>
              <w:t xml:space="preserve"> </w:t>
            </w:r>
            <w:proofErr w:type="spellStart"/>
            <w:r w:rsidR="00122145" w:rsidRPr="005D71A4">
              <w:rPr>
                <w:sz w:val="18"/>
                <w:szCs w:val="18"/>
              </w:rPr>
              <w:t>colposuspension</w:t>
            </w:r>
            <w:proofErr w:type="spellEnd"/>
          </w:p>
        </w:tc>
        <w:tc>
          <w:tcPr>
            <w:tcW w:w="1701" w:type="dxa"/>
          </w:tcPr>
          <w:p w14:paraId="00FC8730" w14:textId="56E5DB21" w:rsidR="00122145" w:rsidRPr="005D71A4" w:rsidRDefault="00635495" w:rsidP="001C3C68">
            <w:pPr>
              <w:pStyle w:val="051Tabletext2210pt"/>
              <w:rPr>
                <w:sz w:val="18"/>
                <w:szCs w:val="18"/>
              </w:rPr>
            </w:pPr>
            <w:r w:rsidRPr="005D71A4">
              <w:rPr>
                <w:sz w:val="18"/>
                <w:szCs w:val="18"/>
              </w:rPr>
              <w:t>TO-</w:t>
            </w:r>
            <w:r w:rsidR="00122145" w:rsidRPr="005D71A4">
              <w:rPr>
                <w:sz w:val="18"/>
                <w:szCs w:val="18"/>
              </w:rPr>
              <w:t>MUS</w:t>
            </w:r>
          </w:p>
        </w:tc>
        <w:tc>
          <w:tcPr>
            <w:tcW w:w="993" w:type="dxa"/>
          </w:tcPr>
          <w:p w14:paraId="72DAEB0A" w14:textId="77777777" w:rsidR="00122145" w:rsidRPr="005D71A4" w:rsidRDefault="00122145" w:rsidP="001C3C68">
            <w:pPr>
              <w:pStyle w:val="051Tabletext2210pt"/>
              <w:rPr>
                <w:sz w:val="18"/>
                <w:szCs w:val="18"/>
              </w:rPr>
            </w:pPr>
            <w:r w:rsidRPr="005D71A4">
              <w:rPr>
                <w:sz w:val="18"/>
                <w:szCs w:val="18"/>
              </w:rPr>
              <w:t>0.79</w:t>
            </w:r>
          </w:p>
        </w:tc>
        <w:tc>
          <w:tcPr>
            <w:tcW w:w="1275" w:type="dxa"/>
          </w:tcPr>
          <w:p w14:paraId="5377DE16" w14:textId="77777777" w:rsidR="00122145" w:rsidRPr="005D71A4" w:rsidRDefault="00122145" w:rsidP="001C3C68">
            <w:pPr>
              <w:pStyle w:val="051Tabletext2210pt"/>
              <w:rPr>
                <w:sz w:val="18"/>
                <w:szCs w:val="18"/>
              </w:rPr>
            </w:pPr>
            <w:r w:rsidRPr="005D71A4">
              <w:rPr>
                <w:sz w:val="18"/>
                <w:szCs w:val="18"/>
              </w:rPr>
              <w:t>0.42 to 1.46</w:t>
            </w:r>
          </w:p>
        </w:tc>
        <w:tc>
          <w:tcPr>
            <w:tcW w:w="1843" w:type="dxa"/>
          </w:tcPr>
          <w:p w14:paraId="388FD652" w14:textId="77777777" w:rsidR="00122145" w:rsidRPr="005D71A4" w:rsidRDefault="00122145" w:rsidP="001C3C68">
            <w:pPr>
              <w:pStyle w:val="051Tabletext2210pt"/>
              <w:rPr>
                <w:sz w:val="18"/>
                <w:szCs w:val="18"/>
              </w:rPr>
            </w:pPr>
            <w:r w:rsidRPr="005D71A4">
              <w:rPr>
                <w:sz w:val="18"/>
                <w:szCs w:val="18"/>
              </w:rPr>
              <w:t>Low</w:t>
            </w:r>
          </w:p>
        </w:tc>
      </w:tr>
      <w:tr w:rsidR="009B551C" w:rsidRPr="00B0485F" w14:paraId="378016FE" w14:textId="77777777" w:rsidTr="004559BE">
        <w:tc>
          <w:tcPr>
            <w:tcW w:w="2835" w:type="dxa"/>
          </w:tcPr>
          <w:p w14:paraId="56133109" w14:textId="77777777" w:rsidR="009B551C" w:rsidRPr="005D71A4" w:rsidRDefault="009B551C" w:rsidP="001C3C68">
            <w:pPr>
              <w:pStyle w:val="051Tabletext2210pt"/>
              <w:rPr>
                <w:sz w:val="18"/>
                <w:szCs w:val="18"/>
              </w:rPr>
            </w:pPr>
            <w:r w:rsidRPr="005D71A4">
              <w:rPr>
                <w:sz w:val="18"/>
                <w:szCs w:val="18"/>
              </w:rPr>
              <w:t>TO-MUS</w:t>
            </w:r>
          </w:p>
        </w:tc>
        <w:tc>
          <w:tcPr>
            <w:tcW w:w="1701" w:type="dxa"/>
          </w:tcPr>
          <w:p w14:paraId="394CFAB7" w14:textId="77777777" w:rsidR="009B551C" w:rsidRPr="005D71A4" w:rsidRDefault="009B551C" w:rsidP="001C3C68">
            <w:pPr>
              <w:pStyle w:val="051Tabletext2210pt"/>
              <w:rPr>
                <w:sz w:val="18"/>
                <w:szCs w:val="18"/>
              </w:rPr>
            </w:pPr>
            <w:r w:rsidRPr="005D71A4">
              <w:rPr>
                <w:sz w:val="18"/>
                <w:szCs w:val="18"/>
              </w:rPr>
              <w:t>RP-MUS</w:t>
            </w:r>
          </w:p>
        </w:tc>
        <w:tc>
          <w:tcPr>
            <w:tcW w:w="993" w:type="dxa"/>
          </w:tcPr>
          <w:p w14:paraId="593B0D27" w14:textId="77777777" w:rsidR="009B551C" w:rsidRPr="005D71A4" w:rsidRDefault="009B551C" w:rsidP="001C3C68">
            <w:pPr>
              <w:pStyle w:val="051Tabletext2210pt"/>
              <w:rPr>
                <w:sz w:val="18"/>
                <w:szCs w:val="18"/>
              </w:rPr>
            </w:pPr>
            <w:r w:rsidRPr="005D71A4">
              <w:rPr>
                <w:sz w:val="18"/>
                <w:szCs w:val="18"/>
              </w:rPr>
              <w:t>0.74</w:t>
            </w:r>
          </w:p>
        </w:tc>
        <w:tc>
          <w:tcPr>
            <w:tcW w:w="1275" w:type="dxa"/>
          </w:tcPr>
          <w:p w14:paraId="497486BB" w14:textId="77777777" w:rsidR="009B551C" w:rsidRPr="005D71A4" w:rsidRDefault="009B551C" w:rsidP="001C3C68">
            <w:pPr>
              <w:pStyle w:val="051Tabletext2210pt"/>
              <w:rPr>
                <w:sz w:val="18"/>
                <w:szCs w:val="18"/>
              </w:rPr>
            </w:pPr>
            <w:r w:rsidRPr="005D71A4">
              <w:rPr>
                <w:sz w:val="18"/>
                <w:szCs w:val="18"/>
              </w:rPr>
              <w:t>0.59 to 0.92</w:t>
            </w:r>
          </w:p>
        </w:tc>
        <w:tc>
          <w:tcPr>
            <w:tcW w:w="1843" w:type="dxa"/>
          </w:tcPr>
          <w:p w14:paraId="16618D8D" w14:textId="77777777" w:rsidR="009B551C" w:rsidRPr="005D71A4" w:rsidRDefault="009B551C" w:rsidP="001C3C68">
            <w:pPr>
              <w:pStyle w:val="051Tabletext2210pt"/>
              <w:rPr>
                <w:sz w:val="18"/>
                <w:szCs w:val="18"/>
              </w:rPr>
            </w:pPr>
            <w:r w:rsidRPr="005D71A4">
              <w:rPr>
                <w:sz w:val="18"/>
                <w:szCs w:val="18"/>
              </w:rPr>
              <w:t>Moderate</w:t>
            </w:r>
          </w:p>
        </w:tc>
      </w:tr>
    </w:tbl>
    <w:p w14:paraId="781AA949" w14:textId="62568242" w:rsidR="00A15498" w:rsidRDefault="00A15498" w:rsidP="00A15498">
      <w:pPr>
        <w:pStyle w:val="101Tablefootnotes8pt"/>
      </w:pPr>
      <w:r>
        <w:t xml:space="preserve">Source: </w:t>
      </w:r>
      <w:proofErr w:type="spellStart"/>
      <w:r>
        <w:t>Brazzelli</w:t>
      </w:r>
      <w:proofErr w:type="spellEnd"/>
      <w:r>
        <w:t xml:space="preserve"> 2019</w:t>
      </w:r>
    </w:p>
    <w:p w14:paraId="73A4C0CD" w14:textId="17782B1D" w:rsidR="00122145" w:rsidRPr="00B0485F" w:rsidRDefault="00122145" w:rsidP="00122145">
      <w:pPr>
        <w:pStyle w:val="111Tablefootnoteslast-nostick8pt"/>
        <w:rPr>
          <w:lang w:val="en-AU"/>
        </w:rPr>
      </w:pPr>
      <w:r w:rsidRPr="00B0485F">
        <w:rPr>
          <w:lang w:val="en-AU"/>
        </w:rPr>
        <w:t xml:space="preserve">Abbreviations: </w:t>
      </w:r>
      <w:proofErr w:type="spellStart"/>
      <w:r w:rsidRPr="00B0485F">
        <w:rPr>
          <w:lang w:val="en-AU"/>
        </w:rPr>
        <w:t>CrI</w:t>
      </w:r>
      <w:proofErr w:type="spellEnd"/>
      <w:r w:rsidRPr="00B0485F">
        <w:rPr>
          <w:lang w:val="en-AU"/>
        </w:rPr>
        <w:t>, credible intervals; MUS, mid-urethral sling</w:t>
      </w:r>
      <w:r w:rsidR="001126B4">
        <w:rPr>
          <w:lang w:val="en-AU"/>
        </w:rPr>
        <w:t>; NMA, network meta-analysis</w:t>
      </w:r>
      <w:r w:rsidR="00070863">
        <w:rPr>
          <w:lang w:val="en-AU"/>
        </w:rPr>
        <w:t xml:space="preserve">; </w:t>
      </w:r>
      <w:r w:rsidR="007175B1">
        <w:rPr>
          <w:lang w:val="en-AU"/>
        </w:rPr>
        <w:t xml:space="preserve">RP, retropubic; TO, </w:t>
      </w:r>
      <w:proofErr w:type="spellStart"/>
      <w:r w:rsidR="007175B1">
        <w:rPr>
          <w:lang w:val="en-AU"/>
        </w:rPr>
        <w:t>transobturator</w:t>
      </w:r>
      <w:proofErr w:type="spellEnd"/>
      <w:r w:rsidR="007175B1">
        <w:rPr>
          <w:lang w:val="en-AU"/>
        </w:rPr>
        <w:t xml:space="preserve">. </w:t>
      </w:r>
    </w:p>
    <w:p w14:paraId="35F0B86D" w14:textId="31C0940E" w:rsidR="00C636C7" w:rsidRPr="00B0485F" w:rsidRDefault="00FE7EBE" w:rsidP="00C636C7">
      <w:pPr>
        <w:pStyle w:val="BodyText"/>
      </w:pPr>
      <w:r w:rsidRPr="00B0485F">
        <w:t xml:space="preserve">The SUCRA values </w:t>
      </w:r>
      <w:r w:rsidR="001C5629">
        <w:t xml:space="preserve">for the cure outcome </w:t>
      </w:r>
      <w:r w:rsidR="00F3683A" w:rsidRPr="00B0485F">
        <w:t xml:space="preserve">were </w:t>
      </w:r>
      <w:r w:rsidR="009B27B4" w:rsidRPr="00B0485F">
        <w:t xml:space="preserve">89.1% for </w:t>
      </w:r>
      <w:r w:rsidR="00DA2698">
        <w:t>RP-</w:t>
      </w:r>
      <w:r w:rsidR="009B27B4" w:rsidRPr="00B0485F">
        <w:t xml:space="preserve">MUS, </w:t>
      </w:r>
      <w:r w:rsidR="004F7F5F" w:rsidRPr="00B0485F">
        <w:t xml:space="preserve">76.7% for open </w:t>
      </w:r>
      <w:proofErr w:type="spellStart"/>
      <w:r w:rsidR="004F7F5F" w:rsidRPr="00B0485F">
        <w:t>colposuspension</w:t>
      </w:r>
      <w:proofErr w:type="spellEnd"/>
      <w:r w:rsidR="004F7F5F" w:rsidRPr="00B0485F">
        <w:t xml:space="preserve">, </w:t>
      </w:r>
      <w:r w:rsidR="004E31DA" w:rsidRPr="00B0485F">
        <w:t xml:space="preserve">64.1% for </w:t>
      </w:r>
      <w:r w:rsidR="00DA2698">
        <w:t>TO-</w:t>
      </w:r>
      <w:r w:rsidR="004E31DA" w:rsidRPr="00B0485F">
        <w:t xml:space="preserve">MUS and </w:t>
      </w:r>
      <w:r w:rsidR="00EB57CF" w:rsidRPr="00B0485F">
        <w:t xml:space="preserve">48.9% for </w:t>
      </w:r>
      <w:r w:rsidR="00904B7E" w:rsidRPr="00B0485F">
        <w:t>laparoscopic</w:t>
      </w:r>
      <w:r w:rsidR="00EB57CF" w:rsidRPr="00B0485F">
        <w:t xml:space="preserve"> </w:t>
      </w:r>
      <w:proofErr w:type="spellStart"/>
      <w:r w:rsidR="00EB57CF" w:rsidRPr="00B0485F">
        <w:t>colposuspension</w:t>
      </w:r>
      <w:proofErr w:type="spellEnd"/>
      <w:r w:rsidR="00EB57CF" w:rsidRPr="00B0485F">
        <w:t>.</w:t>
      </w:r>
    </w:p>
    <w:p w14:paraId="12857B27" w14:textId="22467A75" w:rsidR="00122145" w:rsidRPr="00B0485F" w:rsidRDefault="00E81F0D" w:rsidP="00E81F0D">
      <w:pPr>
        <w:pStyle w:val="Heading5"/>
      </w:pPr>
      <w:r w:rsidRPr="00B0485F">
        <w:t>Improvement</w:t>
      </w:r>
    </w:p>
    <w:p w14:paraId="1E4DD805" w14:textId="555096AE" w:rsidR="00036FA4" w:rsidRPr="00B0485F" w:rsidRDefault="000C433D" w:rsidP="00036FA4">
      <w:pPr>
        <w:pStyle w:val="BodyText"/>
      </w:pPr>
      <w:r w:rsidRPr="00B0485F">
        <w:t>The NMA demonstrated a statistically significant difference in the number of women improved</w:t>
      </w:r>
      <w:r w:rsidR="00BE3147">
        <w:t>,</w:t>
      </w:r>
      <w:r w:rsidR="00275C40" w:rsidRPr="00B0485F">
        <w:t xml:space="preserve"> favouring </w:t>
      </w:r>
      <w:r w:rsidR="00D43FB2">
        <w:t>RP-</w:t>
      </w:r>
      <w:r w:rsidR="00275C40" w:rsidRPr="00B0485F">
        <w:t xml:space="preserve">MUS over </w:t>
      </w:r>
      <w:r w:rsidR="00D43FB2">
        <w:t>TO-</w:t>
      </w:r>
      <w:r w:rsidR="00275C40" w:rsidRPr="00B0485F">
        <w:t>MUS</w:t>
      </w:r>
      <w:r w:rsidR="00041F02" w:rsidRPr="00B0485F">
        <w:t xml:space="preserve"> </w:t>
      </w:r>
      <w:r w:rsidR="00F31258" w:rsidRPr="00B0485F">
        <w:t>(OR 0.76</w:t>
      </w:r>
      <w:r w:rsidR="00533E6E">
        <w:t>,</w:t>
      </w:r>
      <w:r w:rsidR="00F31258" w:rsidRPr="00B0485F">
        <w:t xml:space="preserve"> 95% </w:t>
      </w:r>
      <w:proofErr w:type="spellStart"/>
      <w:r w:rsidR="00F31258" w:rsidRPr="00B0485F">
        <w:t>CrI</w:t>
      </w:r>
      <w:proofErr w:type="spellEnd"/>
      <w:r w:rsidR="00F31258" w:rsidRPr="00B0485F">
        <w:t xml:space="preserve"> 0.59 to 0.98) </w:t>
      </w:r>
      <w:r w:rsidR="0008482C">
        <w:t xml:space="preserve">(moderate quality evidence) </w:t>
      </w:r>
      <w:r w:rsidR="006E3501">
        <w:t>and</w:t>
      </w:r>
      <w:r w:rsidR="00041F02" w:rsidRPr="00B0485F">
        <w:t xml:space="preserve"> </w:t>
      </w:r>
      <w:r w:rsidR="00D5551E" w:rsidRPr="00B0485F">
        <w:t>laparoscopic</w:t>
      </w:r>
      <w:r w:rsidR="00041F02" w:rsidRPr="00B0485F">
        <w:t xml:space="preserve"> </w:t>
      </w:r>
      <w:proofErr w:type="spellStart"/>
      <w:r w:rsidR="00041F02" w:rsidRPr="00B0485F">
        <w:t>colposuspension</w:t>
      </w:r>
      <w:proofErr w:type="spellEnd"/>
      <w:r w:rsidR="00BF403C" w:rsidRPr="00B0485F">
        <w:t xml:space="preserve"> (OR 0.52</w:t>
      </w:r>
      <w:r w:rsidR="00533E6E">
        <w:t>,</w:t>
      </w:r>
      <w:r w:rsidR="00BF403C" w:rsidRPr="00B0485F">
        <w:t xml:space="preserve"> </w:t>
      </w:r>
      <w:r w:rsidR="0098229A" w:rsidRPr="00B0485F">
        <w:t xml:space="preserve">95% </w:t>
      </w:r>
      <w:proofErr w:type="spellStart"/>
      <w:r w:rsidR="00BF403C" w:rsidRPr="00B0485F">
        <w:t>CrI</w:t>
      </w:r>
      <w:proofErr w:type="spellEnd"/>
      <w:r w:rsidR="00BF403C" w:rsidRPr="00B0485F">
        <w:t xml:space="preserve"> </w:t>
      </w:r>
      <w:r w:rsidR="009D09E8" w:rsidRPr="00B0485F">
        <w:t>0.29 to 0.91)</w:t>
      </w:r>
      <w:r w:rsidR="0003549E">
        <w:t xml:space="preserve"> </w:t>
      </w:r>
      <w:r w:rsidR="00BB3C94">
        <w:t>(low quality evidence)</w:t>
      </w:r>
      <w:r w:rsidR="00041F02" w:rsidRPr="00B0485F">
        <w:t>.</w:t>
      </w:r>
    </w:p>
    <w:p w14:paraId="608E8E90" w14:textId="72638636" w:rsidR="00D7110D" w:rsidRPr="00B0485F" w:rsidRDefault="00BE3A1C" w:rsidP="00D7110D">
      <w:pPr>
        <w:pStyle w:val="BodyText"/>
      </w:pPr>
      <w:r w:rsidRPr="00B0485F">
        <w:t xml:space="preserve">There was no statistically significant difference in </w:t>
      </w:r>
      <w:r w:rsidR="00B12F87" w:rsidRPr="00B0485F">
        <w:t xml:space="preserve">the </w:t>
      </w:r>
      <w:r w:rsidRPr="00B0485F">
        <w:t xml:space="preserve">number of women improved </w:t>
      </w:r>
      <w:r w:rsidR="00B12F87" w:rsidRPr="00B0485F">
        <w:t xml:space="preserve">between </w:t>
      </w:r>
      <w:r w:rsidR="00894C4E">
        <w:t>RP-</w:t>
      </w:r>
      <w:r w:rsidR="00FE242A" w:rsidRPr="00B0485F">
        <w:t xml:space="preserve">MUS and open </w:t>
      </w:r>
      <w:proofErr w:type="spellStart"/>
      <w:r w:rsidR="00FE242A" w:rsidRPr="00B0485F">
        <w:t>colposuspension</w:t>
      </w:r>
      <w:proofErr w:type="spellEnd"/>
      <w:r w:rsidR="00B12F87" w:rsidRPr="00B0485F">
        <w:t xml:space="preserve">, or between </w:t>
      </w:r>
      <w:r w:rsidR="00640D7C">
        <w:t>TO-</w:t>
      </w:r>
      <w:r w:rsidR="001F228C" w:rsidRPr="00B0485F">
        <w:t xml:space="preserve">MUS and either open or </w:t>
      </w:r>
      <w:r w:rsidR="00640D7C" w:rsidRPr="00B0485F">
        <w:t>laparoscopic</w:t>
      </w:r>
      <w:r w:rsidR="001F228C" w:rsidRPr="00B0485F">
        <w:t xml:space="preserve"> </w:t>
      </w:r>
      <w:proofErr w:type="spellStart"/>
      <w:r w:rsidR="001F228C" w:rsidRPr="00B0485F">
        <w:t>colposuspension</w:t>
      </w:r>
      <w:proofErr w:type="spellEnd"/>
      <w:r w:rsidR="00646B0E">
        <w:t xml:space="preserve"> (low quality evidence)</w:t>
      </w:r>
      <w:r w:rsidR="001F228C" w:rsidRPr="00B0485F">
        <w:t>.</w:t>
      </w:r>
    </w:p>
    <w:p w14:paraId="25D23DCB" w14:textId="2B2C0F94" w:rsidR="00122145" w:rsidRPr="00B0485F" w:rsidRDefault="00122145" w:rsidP="00122145">
      <w:pPr>
        <w:pStyle w:val="Caption"/>
      </w:pPr>
      <w:bookmarkStart w:id="67" w:name="_Ref131074689"/>
      <w:bookmarkStart w:id="68" w:name="_Toc165627878"/>
      <w:r w:rsidRPr="00B0485F">
        <w:t xml:space="preserve">Table </w:t>
      </w:r>
      <w:fldSimple w:instr=" SEQ Table \* ARABIC ">
        <w:r w:rsidR="007105D3">
          <w:rPr>
            <w:noProof/>
          </w:rPr>
          <w:t>10</w:t>
        </w:r>
      </w:fldSimple>
      <w:bookmarkEnd w:id="67"/>
      <w:r w:rsidRPr="00B0485F">
        <w:tab/>
        <w:t>NMA results for number of women improved for relevant treatment comparisons</w:t>
      </w:r>
      <w:bookmarkEnd w:id="68"/>
    </w:p>
    <w:tbl>
      <w:tblPr>
        <w:tblStyle w:val="TableGrid"/>
        <w:tblW w:w="0" w:type="auto"/>
        <w:tblLook w:val="04A0" w:firstRow="1" w:lastRow="0" w:firstColumn="1" w:lastColumn="0" w:noHBand="0" w:noVBand="1"/>
        <w:tblCaption w:val="NMA results for number of women improved for relevant treatment comparisons"/>
        <w:tblDescription w:val="This table shows the results of the NMA for the outcome of number of women improved, by treatment comparison."/>
      </w:tblPr>
      <w:tblGrid>
        <w:gridCol w:w="2977"/>
        <w:gridCol w:w="1559"/>
        <w:gridCol w:w="993"/>
        <w:gridCol w:w="1275"/>
        <w:gridCol w:w="1843"/>
      </w:tblGrid>
      <w:tr w:rsidR="00122145" w:rsidRPr="00B0485F" w14:paraId="522438B7" w14:textId="77777777" w:rsidTr="004559BE">
        <w:trPr>
          <w:cnfStyle w:val="100000000000" w:firstRow="1" w:lastRow="0" w:firstColumn="0" w:lastColumn="0" w:oddVBand="0" w:evenVBand="0" w:oddHBand="0" w:evenHBand="0" w:firstRowFirstColumn="0" w:firstRowLastColumn="0" w:lastRowFirstColumn="0" w:lastRowLastColumn="0"/>
        </w:trPr>
        <w:tc>
          <w:tcPr>
            <w:tcW w:w="2977" w:type="dxa"/>
          </w:tcPr>
          <w:p w14:paraId="0D99582F" w14:textId="77777777" w:rsidR="00122145" w:rsidRPr="005D71A4" w:rsidRDefault="00122145" w:rsidP="001C3C68">
            <w:pPr>
              <w:pStyle w:val="031Tablesubheading10pt"/>
              <w:rPr>
                <w:sz w:val="18"/>
                <w:szCs w:val="18"/>
              </w:rPr>
            </w:pPr>
            <w:r w:rsidRPr="005D71A4">
              <w:rPr>
                <w:sz w:val="18"/>
                <w:szCs w:val="18"/>
              </w:rPr>
              <w:t>Treatment 1</w:t>
            </w:r>
          </w:p>
        </w:tc>
        <w:tc>
          <w:tcPr>
            <w:tcW w:w="1559" w:type="dxa"/>
          </w:tcPr>
          <w:p w14:paraId="4ED8C8D5" w14:textId="77777777" w:rsidR="00122145" w:rsidRPr="005D71A4" w:rsidRDefault="00122145" w:rsidP="001C3C68">
            <w:pPr>
              <w:pStyle w:val="031Tablesubheading10pt"/>
              <w:rPr>
                <w:sz w:val="18"/>
                <w:szCs w:val="18"/>
              </w:rPr>
            </w:pPr>
            <w:r w:rsidRPr="005D71A4">
              <w:rPr>
                <w:sz w:val="18"/>
                <w:szCs w:val="18"/>
              </w:rPr>
              <w:t>Treatment 2</w:t>
            </w:r>
          </w:p>
        </w:tc>
        <w:tc>
          <w:tcPr>
            <w:tcW w:w="993" w:type="dxa"/>
          </w:tcPr>
          <w:p w14:paraId="6D9D7156" w14:textId="77777777" w:rsidR="00122145" w:rsidRPr="005D71A4" w:rsidRDefault="00122145" w:rsidP="001C3C68">
            <w:pPr>
              <w:pStyle w:val="031Tablesubheading10pt"/>
              <w:rPr>
                <w:sz w:val="18"/>
                <w:szCs w:val="18"/>
              </w:rPr>
            </w:pPr>
            <w:r w:rsidRPr="005D71A4">
              <w:rPr>
                <w:sz w:val="18"/>
                <w:szCs w:val="18"/>
              </w:rPr>
              <w:t>OR</w:t>
            </w:r>
          </w:p>
        </w:tc>
        <w:tc>
          <w:tcPr>
            <w:tcW w:w="1275" w:type="dxa"/>
          </w:tcPr>
          <w:p w14:paraId="4C11E7E7" w14:textId="77777777" w:rsidR="00122145" w:rsidRPr="005D71A4" w:rsidRDefault="00122145" w:rsidP="001C3C68">
            <w:pPr>
              <w:pStyle w:val="031Tablesubheading10pt"/>
              <w:rPr>
                <w:sz w:val="18"/>
                <w:szCs w:val="18"/>
              </w:rPr>
            </w:pPr>
            <w:r w:rsidRPr="005D71A4">
              <w:rPr>
                <w:sz w:val="18"/>
                <w:szCs w:val="18"/>
              </w:rPr>
              <w:t xml:space="preserve">95% </w:t>
            </w:r>
            <w:proofErr w:type="spellStart"/>
            <w:r w:rsidRPr="005D71A4">
              <w:rPr>
                <w:sz w:val="18"/>
                <w:szCs w:val="18"/>
              </w:rPr>
              <w:t>CrI</w:t>
            </w:r>
            <w:proofErr w:type="spellEnd"/>
          </w:p>
        </w:tc>
        <w:tc>
          <w:tcPr>
            <w:tcW w:w="1843" w:type="dxa"/>
          </w:tcPr>
          <w:p w14:paraId="65FA65E7" w14:textId="330B477B" w:rsidR="00122145" w:rsidRPr="005D71A4" w:rsidRDefault="004559BE" w:rsidP="001C3C68">
            <w:pPr>
              <w:pStyle w:val="031Tablesubheading10pt"/>
              <w:rPr>
                <w:sz w:val="18"/>
                <w:szCs w:val="18"/>
              </w:rPr>
            </w:pPr>
            <w:r w:rsidRPr="005D71A4">
              <w:rPr>
                <w:sz w:val="18"/>
                <w:szCs w:val="18"/>
              </w:rPr>
              <w:t>Quality of evidence</w:t>
            </w:r>
          </w:p>
        </w:tc>
      </w:tr>
      <w:tr w:rsidR="00122145" w:rsidRPr="00B0485F" w14:paraId="2F1C126A" w14:textId="77777777" w:rsidTr="004559BE">
        <w:tc>
          <w:tcPr>
            <w:tcW w:w="2977" w:type="dxa"/>
          </w:tcPr>
          <w:p w14:paraId="29D29425" w14:textId="77777777" w:rsidR="00122145" w:rsidRPr="005D71A4" w:rsidRDefault="00122145" w:rsidP="001C3C68">
            <w:pPr>
              <w:pStyle w:val="051Tabletext2210pt"/>
              <w:rPr>
                <w:sz w:val="18"/>
                <w:szCs w:val="18"/>
              </w:rPr>
            </w:pPr>
            <w:r w:rsidRPr="005D71A4">
              <w:rPr>
                <w:sz w:val="18"/>
                <w:szCs w:val="18"/>
              </w:rPr>
              <w:t xml:space="preserve">Open </w:t>
            </w:r>
            <w:proofErr w:type="spellStart"/>
            <w:r w:rsidRPr="005D71A4">
              <w:rPr>
                <w:sz w:val="18"/>
                <w:szCs w:val="18"/>
              </w:rPr>
              <w:t>colposuspension</w:t>
            </w:r>
            <w:proofErr w:type="spellEnd"/>
          </w:p>
        </w:tc>
        <w:tc>
          <w:tcPr>
            <w:tcW w:w="1559" w:type="dxa"/>
          </w:tcPr>
          <w:p w14:paraId="0E8A20BE" w14:textId="7B163F6C" w:rsidR="00122145" w:rsidRPr="005D71A4" w:rsidRDefault="007F4EE9" w:rsidP="001C3C68">
            <w:pPr>
              <w:pStyle w:val="051Tabletext2210pt"/>
              <w:rPr>
                <w:sz w:val="18"/>
                <w:szCs w:val="18"/>
              </w:rPr>
            </w:pPr>
            <w:r w:rsidRPr="005D71A4">
              <w:rPr>
                <w:sz w:val="18"/>
                <w:szCs w:val="18"/>
              </w:rPr>
              <w:t>RP-</w:t>
            </w:r>
            <w:r w:rsidR="00122145" w:rsidRPr="005D71A4">
              <w:rPr>
                <w:sz w:val="18"/>
                <w:szCs w:val="18"/>
              </w:rPr>
              <w:t>MUS</w:t>
            </w:r>
          </w:p>
        </w:tc>
        <w:tc>
          <w:tcPr>
            <w:tcW w:w="993" w:type="dxa"/>
          </w:tcPr>
          <w:p w14:paraId="6416CF92" w14:textId="77777777" w:rsidR="00122145" w:rsidRPr="005D71A4" w:rsidRDefault="00122145" w:rsidP="001C3C68">
            <w:pPr>
              <w:pStyle w:val="051Tabletext2210pt"/>
              <w:rPr>
                <w:sz w:val="18"/>
                <w:szCs w:val="18"/>
              </w:rPr>
            </w:pPr>
            <w:r w:rsidRPr="005D71A4">
              <w:rPr>
                <w:sz w:val="18"/>
                <w:szCs w:val="18"/>
              </w:rPr>
              <w:t>0.65</w:t>
            </w:r>
          </w:p>
        </w:tc>
        <w:tc>
          <w:tcPr>
            <w:tcW w:w="1275" w:type="dxa"/>
          </w:tcPr>
          <w:p w14:paraId="5A25F6DE" w14:textId="77777777" w:rsidR="00122145" w:rsidRPr="005D71A4" w:rsidRDefault="00122145" w:rsidP="001C3C68">
            <w:pPr>
              <w:pStyle w:val="051Tabletext2210pt"/>
              <w:rPr>
                <w:sz w:val="18"/>
                <w:szCs w:val="18"/>
              </w:rPr>
            </w:pPr>
            <w:r w:rsidRPr="005D71A4">
              <w:rPr>
                <w:sz w:val="18"/>
                <w:szCs w:val="18"/>
              </w:rPr>
              <w:t>0.41 to 1.02</w:t>
            </w:r>
          </w:p>
        </w:tc>
        <w:tc>
          <w:tcPr>
            <w:tcW w:w="1843" w:type="dxa"/>
          </w:tcPr>
          <w:p w14:paraId="7D7C92E3" w14:textId="77777777" w:rsidR="00122145" w:rsidRPr="005D71A4" w:rsidRDefault="00122145" w:rsidP="001C3C68">
            <w:pPr>
              <w:pStyle w:val="051Tabletext2210pt"/>
              <w:rPr>
                <w:sz w:val="18"/>
                <w:szCs w:val="18"/>
              </w:rPr>
            </w:pPr>
            <w:r w:rsidRPr="005D71A4">
              <w:rPr>
                <w:sz w:val="18"/>
                <w:szCs w:val="18"/>
              </w:rPr>
              <w:t>Low</w:t>
            </w:r>
          </w:p>
        </w:tc>
      </w:tr>
      <w:tr w:rsidR="00122145" w:rsidRPr="00B0485F" w14:paraId="46C63193" w14:textId="77777777" w:rsidTr="004559BE">
        <w:tc>
          <w:tcPr>
            <w:tcW w:w="2977" w:type="dxa"/>
          </w:tcPr>
          <w:p w14:paraId="62FB4166" w14:textId="57121660" w:rsidR="00122145" w:rsidRPr="005D71A4" w:rsidRDefault="00D5551E" w:rsidP="001C3C68">
            <w:pPr>
              <w:pStyle w:val="051Tabletext2210pt"/>
              <w:rPr>
                <w:sz w:val="18"/>
                <w:szCs w:val="18"/>
              </w:rPr>
            </w:pPr>
            <w:r w:rsidRPr="005D71A4">
              <w:rPr>
                <w:sz w:val="18"/>
                <w:szCs w:val="18"/>
              </w:rPr>
              <w:t>Laparoscopic</w:t>
            </w:r>
            <w:r w:rsidR="00122145" w:rsidRPr="005D71A4">
              <w:rPr>
                <w:sz w:val="18"/>
                <w:szCs w:val="18"/>
              </w:rPr>
              <w:t xml:space="preserve"> </w:t>
            </w:r>
            <w:proofErr w:type="spellStart"/>
            <w:r w:rsidR="00122145" w:rsidRPr="005D71A4">
              <w:rPr>
                <w:sz w:val="18"/>
                <w:szCs w:val="18"/>
              </w:rPr>
              <w:t>colposuspension</w:t>
            </w:r>
            <w:proofErr w:type="spellEnd"/>
          </w:p>
        </w:tc>
        <w:tc>
          <w:tcPr>
            <w:tcW w:w="1559" w:type="dxa"/>
          </w:tcPr>
          <w:p w14:paraId="5C08DE8A" w14:textId="164EDDE0" w:rsidR="00122145" w:rsidRPr="005D71A4" w:rsidRDefault="007F4EE9" w:rsidP="001C3C68">
            <w:pPr>
              <w:pStyle w:val="051Tabletext2210pt"/>
              <w:rPr>
                <w:sz w:val="18"/>
                <w:szCs w:val="18"/>
              </w:rPr>
            </w:pPr>
            <w:r w:rsidRPr="005D71A4">
              <w:rPr>
                <w:sz w:val="18"/>
                <w:szCs w:val="18"/>
              </w:rPr>
              <w:t>RP-</w:t>
            </w:r>
            <w:r w:rsidR="00122145" w:rsidRPr="005D71A4">
              <w:rPr>
                <w:sz w:val="18"/>
                <w:szCs w:val="18"/>
              </w:rPr>
              <w:t>MUS</w:t>
            </w:r>
          </w:p>
        </w:tc>
        <w:tc>
          <w:tcPr>
            <w:tcW w:w="993" w:type="dxa"/>
          </w:tcPr>
          <w:p w14:paraId="5B4E30F8" w14:textId="77777777" w:rsidR="00122145" w:rsidRPr="005D71A4" w:rsidRDefault="00122145" w:rsidP="001C3C68">
            <w:pPr>
              <w:pStyle w:val="051Tabletext2210pt"/>
              <w:rPr>
                <w:sz w:val="18"/>
                <w:szCs w:val="18"/>
              </w:rPr>
            </w:pPr>
            <w:r w:rsidRPr="005D71A4">
              <w:rPr>
                <w:sz w:val="18"/>
                <w:szCs w:val="18"/>
              </w:rPr>
              <w:t>0.52</w:t>
            </w:r>
          </w:p>
        </w:tc>
        <w:tc>
          <w:tcPr>
            <w:tcW w:w="1275" w:type="dxa"/>
          </w:tcPr>
          <w:p w14:paraId="61B975F4" w14:textId="77777777" w:rsidR="00122145" w:rsidRPr="005D71A4" w:rsidRDefault="00122145" w:rsidP="001C3C68">
            <w:pPr>
              <w:pStyle w:val="051Tabletext2210pt"/>
              <w:rPr>
                <w:sz w:val="18"/>
                <w:szCs w:val="18"/>
              </w:rPr>
            </w:pPr>
            <w:r w:rsidRPr="005D71A4">
              <w:rPr>
                <w:sz w:val="18"/>
                <w:szCs w:val="18"/>
              </w:rPr>
              <w:t>0.29 to 0.91</w:t>
            </w:r>
          </w:p>
        </w:tc>
        <w:tc>
          <w:tcPr>
            <w:tcW w:w="1843" w:type="dxa"/>
          </w:tcPr>
          <w:p w14:paraId="22EF0602" w14:textId="77777777" w:rsidR="00122145" w:rsidRPr="005D71A4" w:rsidRDefault="00122145" w:rsidP="001C3C68">
            <w:pPr>
              <w:pStyle w:val="051Tabletext2210pt"/>
              <w:rPr>
                <w:sz w:val="18"/>
                <w:szCs w:val="18"/>
              </w:rPr>
            </w:pPr>
            <w:r w:rsidRPr="005D71A4">
              <w:rPr>
                <w:sz w:val="18"/>
                <w:szCs w:val="18"/>
              </w:rPr>
              <w:t>Low</w:t>
            </w:r>
          </w:p>
        </w:tc>
      </w:tr>
      <w:tr w:rsidR="00122145" w:rsidRPr="00B0485F" w14:paraId="2E619247" w14:textId="77777777" w:rsidTr="004559BE">
        <w:tc>
          <w:tcPr>
            <w:tcW w:w="2977" w:type="dxa"/>
          </w:tcPr>
          <w:p w14:paraId="3C68ACBE" w14:textId="77777777" w:rsidR="00122145" w:rsidRPr="005D71A4" w:rsidRDefault="00122145" w:rsidP="001C3C68">
            <w:pPr>
              <w:pStyle w:val="051Tabletext2210pt"/>
              <w:rPr>
                <w:sz w:val="18"/>
                <w:szCs w:val="18"/>
              </w:rPr>
            </w:pPr>
            <w:r w:rsidRPr="005D71A4">
              <w:rPr>
                <w:sz w:val="18"/>
                <w:szCs w:val="18"/>
              </w:rPr>
              <w:t xml:space="preserve">Open </w:t>
            </w:r>
            <w:proofErr w:type="spellStart"/>
            <w:r w:rsidRPr="005D71A4">
              <w:rPr>
                <w:sz w:val="18"/>
                <w:szCs w:val="18"/>
              </w:rPr>
              <w:t>colposuspension</w:t>
            </w:r>
            <w:proofErr w:type="spellEnd"/>
          </w:p>
        </w:tc>
        <w:tc>
          <w:tcPr>
            <w:tcW w:w="1559" w:type="dxa"/>
          </w:tcPr>
          <w:p w14:paraId="16B7D4C9" w14:textId="402FEB34" w:rsidR="00122145" w:rsidRPr="005D71A4" w:rsidRDefault="007F4EE9" w:rsidP="001C3C68">
            <w:pPr>
              <w:pStyle w:val="051Tabletext2210pt"/>
              <w:rPr>
                <w:sz w:val="18"/>
                <w:szCs w:val="18"/>
              </w:rPr>
            </w:pPr>
            <w:r w:rsidRPr="005D71A4">
              <w:rPr>
                <w:sz w:val="18"/>
                <w:szCs w:val="18"/>
              </w:rPr>
              <w:t>TO-</w:t>
            </w:r>
            <w:r w:rsidR="00122145" w:rsidRPr="005D71A4">
              <w:rPr>
                <w:sz w:val="18"/>
                <w:szCs w:val="18"/>
              </w:rPr>
              <w:t>MUS</w:t>
            </w:r>
          </w:p>
        </w:tc>
        <w:tc>
          <w:tcPr>
            <w:tcW w:w="993" w:type="dxa"/>
          </w:tcPr>
          <w:p w14:paraId="256ADBBE" w14:textId="77777777" w:rsidR="00122145" w:rsidRPr="005D71A4" w:rsidRDefault="00122145" w:rsidP="001C3C68">
            <w:pPr>
              <w:pStyle w:val="051Tabletext2210pt"/>
              <w:rPr>
                <w:sz w:val="18"/>
                <w:szCs w:val="18"/>
              </w:rPr>
            </w:pPr>
            <w:r w:rsidRPr="005D71A4">
              <w:rPr>
                <w:sz w:val="18"/>
                <w:szCs w:val="18"/>
              </w:rPr>
              <w:t>0.85</w:t>
            </w:r>
          </w:p>
        </w:tc>
        <w:tc>
          <w:tcPr>
            <w:tcW w:w="1275" w:type="dxa"/>
          </w:tcPr>
          <w:p w14:paraId="0F7CCEC2" w14:textId="77777777" w:rsidR="00122145" w:rsidRPr="005D71A4" w:rsidRDefault="00122145" w:rsidP="001C3C68">
            <w:pPr>
              <w:pStyle w:val="051Tabletext2210pt"/>
              <w:rPr>
                <w:sz w:val="18"/>
                <w:szCs w:val="18"/>
              </w:rPr>
            </w:pPr>
            <w:r w:rsidRPr="005D71A4">
              <w:rPr>
                <w:sz w:val="18"/>
                <w:szCs w:val="18"/>
              </w:rPr>
              <w:t>0.52 to 1.41</w:t>
            </w:r>
          </w:p>
        </w:tc>
        <w:tc>
          <w:tcPr>
            <w:tcW w:w="1843" w:type="dxa"/>
          </w:tcPr>
          <w:p w14:paraId="4214ADEF" w14:textId="77777777" w:rsidR="00122145" w:rsidRPr="005D71A4" w:rsidRDefault="00122145" w:rsidP="001C3C68">
            <w:pPr>
              <w:pStyle w:val="051Tabletext2210pt"/>
              <w:rPr>
                <w:sz w:val="18"/>
                <w:szCs w:val="18"/>
              </w:rPr>
            </w:pPr>
            <w:r w:rsidRPr="005D71A4">
              <w:rPr>
                <w:sz w:val="18"/>
                <w:szCs w:val="18"/>
              </w:rPr>
              <w:t>Low</w:t>
            </w:r>
          </w:p>
        </w:tc>
      </w:tr>
      <w:tr w:rsidR="00122145" w:rsidRPr="00B0485F" w14:paraId="0E7921B6" w14:textId="77777777" w:rsidTr="004559BE">
        <w:tc>
          <w:tcPr>
            <w:tcW w:w="2977" w:type="dxa"/>
          </w:tcPr>
          <w:p w14:paraId="70356935" w14:textId="2032927C" w:rsidR="00122145" w:rsidRPr="005D71A4" w:rsidRDefault="00D5551E" w:rsidP="001C3C68">
            <w:pPr>
              <w:pStyle w:val="051Tabletext2210pt"/>
              <w:rPr>
                <w:sz w:val="18"/>
                <w:szCs w:val="18"/>
              </w:rPr>
            </w:pPr>
            <w:r w:rsidRPr="005D71A4">
              <w:rPr>
                <w:sz w:val="18"/>
                <w:szCs w:val="18"/>
              </w:rPr>
              <w:t>Laparoscopic</w:t>
            </w:r>
            <w:r w:rsidR="00122145" w:rsidRPr="005D71A4">
              <w:rPr>
                <w:sz w:val="18"/>
                <w:szCs w:val="18"/>
              </w:rPr>
              <w:t xml:space="preserve"> </w:t>
            </w:r>
            <w:proofErr w:type="spellStart"/>
            <w:r w:rsidR="00122145" w:rsidRPr="005D71A4">
              <w:rPr>
                <w:sz w:val="18"/>
                <w:szCs w:val="18"/>
              </w:rPr>
              <w:t>colposuspension</w:t>
            </w:r>
            <w:proofErr w:type="spellEnd"/>
          </w:p>
        </w:tc>
        <w:tc>
          <w:tcPr>
            <w:tcW w:w="1559" w:type="dxa"/>
          </w:tcPr>
          <w:p w14:paraId="4C121807" w14:textId="1C96CF82" w:rsidR="00122145" w:rsidRPr="005D71A4" w:rsidRDefault="007F4EE9" w:rsidP="001C3C68">
            <w:pPr>
              <w:pStyle w:val="051Tabletext2210pt"/>
              <w:rPr>
                <w:sz w:val="18"/>
                <w:szCs w:val="18"/>
              </w:rPr>
            </w:pPr>
            <w:r w:rsidRPr="005D71A4">
              <w:rPr>
                <w:sz w:val="18"/>
                <w:szCs w:val="18"/>
              </w:rPr>
              <w:t>TO-</w:t>
            </w:r>
            <w:r w:rsidR="00122145" w:rsidRPr="005D71A4">
              <w:rPr>
                <w:sz w:val="18"/>
                <w:szCs w:val="18"/>
              </w:rPr>
              <w:t>MUS</w:t>
            </w:r>
          </w:p>
        </w:tc>
        <w:tc>
          <w:tcPr>
            <w:tcW w:w="993" w:type="dxa"/>
          </w:tcPr>
          <w:p w14:paraId="6D30B575" w14:textId="77777777" w:rsidR="00122145" w:rsidRPr="005D71A4" w:rsidRDefault="00122145" w:rsidP="001C3C68">
            <w:pPr>
              <w:pStyle w:val="051Tabletext2210pt"/>
              <w:rPr>
                <w:sz w:val="18"/>
                <w:szCs w:val="18"/>
              </w:rPr>
            </w:pPr>
            <w:r w:rsidRPr="005D71A4">
              <w:rPr>
                <w:sz w:val="18"/>
                <w:szCs w:val="18"/>
              </w:rPr>
              <w:t>0.69</w:t>
            </w:r>
          </w:p>
        </w:tc>
        <w:tc>
          <w:tcPr>
            <w:tcW w:w="1275" w:type="dxa"/>
          </w:tcPr>
          <w:p w14:paraId="00AE3F72" w14:textId="77777777" w:rsidR="00122145" w:rsidRPr="005D71A4" w:rsidRDefault="00122145" w:rsidP="001C3C68">
            <w:pPr>
              <w:pStyle w:val="051Tabletext2210pt"/>
              <w:rPr>
                <w:sz w:val="18"/>
                <w:szCs w:val="18"/>
              </w:rPr>
            </w:pPr>
            <w:r w:rsidRPr="005D71A4">
              <w:rPr>
                <w:sz w:val="18"/>
                <w:szCs w:val="18"/>
              </w:rPr>
              <w:t>0.37 to 1.26</w:t>
            </w:r>
          </w:p>
        </w:tc>
        <w:tc>
          <w:tcPr>
            <w:tcW w:w="1843" w:type="dxa"/>
          </w:tcPr>
          <w:p w14:paraId="37C4A84B" w14:textId="77777777" w:rsidR="00122145" w:rsidRPr="005D71A4" w:rsidRDefault="00122145" w:rsidP="001C3C68">
            <w:pPr>
              <w:pStyle w:val="051Tabletext2210pt"/>
              <w:rPr>
                <w:sz w:val="18"/>
                <w:szCs w:val="18"/>
              </w:rPr>
            </w:pPr>
            <w:r w:rsidRPr="005D71A4">
              <w:rPr>
                <w:sz w:val="18"/>
                <w:szCs w:val="18"/>
              </w:rPr>
              <w:t>Low</w:t>
            </w:r>
          </w:p>
        </w:tc>
      </w:tr>
      <w:tr w:rsidR="009B551C" w:rsidRPr="00B0485F" w14:paraId="1683E1D9" w14:textId="77777777" w:rsidTr="004559BE">
        <w:tc>
          <w:tcPr>
            <w:tcW w:w="2977" w:type="dxa"/>
          </w:tcPr>
          <w:p w14:paraId="061966B8" w14:textId="77777777" w:rsidR="009B551C" w:rsidRPr="005D71A4" w:rsidRDefault="009B551C" w:rsidP="001C3C68">
            <w:pPr>
              <w:pStyle w:val="051Tabletext2210pt"/>
              <w:rPr>
                <w:sz w:val="18"/>
                <w:szCs w:val="18"/>
              </w:rPr>
            </w:pPr>
            <w:r w:rsidRPr="005D71A4">
              <w:rPr>
                <w:sz w:val="18"/>
                <w:szCs w:val="18"/>
              </w:rPr>
              <w:t>TO-MUS</w:t>
            </w:r>
          </w:p>
        </w:tc>
        <w:tc>
          <w:tcPr>
            <w:tcW w:w="1559" w:type="dxa"/>
          </w:tcPr>
          <w:p w14:paraId="17864556" w14:textId="77777777" w:rsidR="009B551C" w:rsidRPr="005D71A4" w:rsidRDefault="009B551C" w:rsidP="001C3C68">
            <w:pPr>
              <w:pStyle w:val="051Tabletext2210pt"/>
              <w:rPr>
                <w:sz w:val="18"/>
                <w:szCs w:val="18"/>
              </w:rPr>
            </w:pPr>
            <w:r w:rsidRPr="005D71A4">
              <w:rPr>
                <w:sz w:val="18"/>
                <w:szCs w:val="18"/>
              </w:rPr>
              <w:t>RP-MUS</w:t>
            </w:r>
          </w:p>
        </w:tc>
        <w:tc>
          <w:tcPr>
            <w:tcW w:w="993" w:type="dxa"/>
          </w:tcPr>
          <w:p w14:paraId="151EB954" w14:textId="77777777" w:rsidR="009B551C" w:rsidRPr="005D71A4" w:rsidRDefault="009B551C" w:rsidP="001C3C68">
            <w:pPr>
              <w:pStyle w:val="051Tabletext2210pt"/>
              <w:rPr>
                <w:sz w:val="18"/>
                <w:szCs w:val="18"/>
              </w:rPr>
            </w:pPr>
            <w:r w:rsidRPr="005D71A4">
              <w:rPr>
                <w:sz w:val="18"/>
                <w:szCs w:val="18"/>
              </w:rPr>
              <w:t>0.76</w:t>
            </w:r>
          </w:p>
        </w:tc>
        <w:tc>
          <w:tcPr>
            <w:tcW w:w="1275" w:type="dxa"/>
          </w:tcPr>
          <w:p w14:paraId="56B8911F" w14:textId="77777777" w:rsidR="009B551C" w:rsidRPr="005D71A4" w:rsidRDefault="009B551C" w:rsidP="001C3C68">
            <w:pPr>
              <w:pStyle w:val="051Tabletext2210pt"/>
              <w:rPr>
                <w:sz w:val="18"/>
                <w:szCs w:val="18"/>
              </w:rPr>
            </w:pPr>
            <w:r w:rsidRPr="005D71A4">
              <w:rPr>
                <w:sz w:val="18"/>
                <w:szCs w:val="18"/>
              </w:rPr>
              <w:t>0.59 to 0.98</w:t>
            </w:r>
          </w:p>
        </w:tc>
        <w:tc>
          <w:tcPr>
            <w:tcW w:w="1843" w:type="dxa"/>
          </w:tcPr>
          <w:p w14:paraId="01A448A7" w14:textId="77777777" w:rsidR="009B551C" w:rsidRPr="005D71A4" w:rsidRDefault="009B551C" w:rsidP="001C3C68">
            <w:pPr>
              <w:pStyle w:val="051Tabletext2210pt"/>
              <w:rPr>
                <w:sz w:val="18"/>
                <w:szCs w:val="18"/>
              </w:rPr>
            </w:pPr>
            <w:r w:rsidRPr="005D71A4">
              <w:rPr>
                <w:sz w:val="18"/>
                <w:szCs w:val="18"/>
              </w:rPr>
              <w:t>Moderate</w:t>
            </w:r>
          </w:p>
        </w:tc>
      </w:tr>
    </w:tbl>
    <w:p w14:paraId="67A19938" w14:textId="696900BC" w:rsidR="00A15498" w:rsidRDefault="00A15498" w:rsidP="00A15498">
      <w:pPr>
        <w:pStyle w:val="101Tablefootnotes8pt"/>
      </w:pPr>
      <w:r>
        <w:t xml:space="preserve">Source: </w:t>
      </w:r>
      <w:proofErr w:type="spellStart"/>
      <w:r>
        <w:t>Brazzelli</w:t>
      </w:r>
      <w:proofErr w:type="spellEnd"/>
      <w:r>
        <w:t xml:space="preserve"> 2019</w:t>
      </w:r>
    </w:p>
    <w:p w14:paraId="4AFE3FE3" w14:textId="2BD00D79" w:rsidR="00122145" w:rsidRPr="00B0485F" w:rsidRDefault="00122145" w:rsidP="00122145">
      <w:pPr>
        <w:pStyle w:val="111Tablefootnoteslast-nostick8pt"/>
        <w:rPr>
          <w:lang w:val="en-AU"/>
        </w:rPr>
      </w:pPr>
      <w:r w:rsidRPr="00B0485F">
        <w:rPr>
          <w:lang w:val="en-AU"/>
        </w:rPr>
        <w:t xml:space="preserve">Abbreviations: </w:t>
      </w:r>
      <w:proofErr w:type="spellStart"/>
      <w:r w:rsidRPr="00B0485F">
        <w:rPr>
          <w:lang w:val="en-AU"/>
        </w:rPr>
        <w:t>CrI</w:t>
      </w:r>
      <w:proofErr w:type="spellEnd"/>
      <w:r w:rsidRPr="00B0485F">
        <w:rPr>
          <w:lang w:val="en-AU"/>
        </w:rPr>
        <w:t>, credible intervals; MUS, mid-urethral sling</w:t>
      </w:r>
    </w:p>
    <w:p w14:paraId="11F9F7BB" w14:textId="43FCB713" w:rsidR="002418A8" w:rsidRPr="00B0485F" w:rsidRDefault="002418A8" w:rsidP="00122145">
      <w:r w:rsidRPr="00B0485F">
        <w:t xml:space="preserve">The SUCRA values </w:t>
      </w:r>
      <w:r w:rsidR="001C5629">
        <w:t xml:space="preserve">for the improvement outcome </w:t>
      </w:r>
      <w:r w:rsidRPr="00B0485F">
        <w:t xml:space="preserve">were </w:t>
      </w:r>
      <w:r w:rsidR="0016416A" w:rsidRPr="00B0485F">
        <w:t xml:space="preserve">97% for </w:t>
      </w:r>
      <w:r w:rsidR="00071660">
        <w:t>RP-</w:t>
      </w:r>
      <w:r w:rsidR="00C571B8" w:rsidRPr="00B0485F">
        <w:t>MUS</w:t>
      </w:r>
      <w:r w:rsidR="0016416A" w:rsidRPr="00B0485F">
        <w:t xml:space="preserve">, </w:t>
      </w:r>
      <w:r w:rsidR="001E15FE" w:rsidRPr="00B0485F">
        <w:t xml:space="preserve">76.1% for </w:t>
      </w:r>
      <w:r w:rsidR="00DB352F">
        <w:t>TO-</w:t>
      </w:r>
      <w:r w:rsidR="00C571B8" w:rsidRPr="00B0485F">
        <w:t xml:space="preserve">MUS, </w:t>
      </w:r>
      <w:r w:rsidR="00A749CF" w:rsidRPr="00B0485F">
        <w:t xml:space="preserve">63.8% for open </w:t>
      </w:r>
      <w:proofErr w:type="spellStart"/>
      <w:r w:rsidR="00A749CF" w:rsidRPr="00B0485F">
        <w:t>colpo</w:t>
      </w:r>
      <w:r w:rsidR="00673C38" w:rsidRPr="00B0485F">
        <w:t>suspension</w:t>
      </w:r>
      <w:proofErr w:type="spellEnd"/>
      <w:r w:rsidR="00673C38" w:rsidRPr="00B0485F">
        <w:t xml:space="preserve"> and </w:t>
      </w:r>
      <w:r w:rsidR="00D4125D" w:rsidRPr="00B0485F">
        <w:t xml:space="preserve">45.8% for </w:t>
      </w:r>
      <w:r w:rsidR="00A42A32" w:rsidRPr="00B0485F">
        <w:t>laparoscopic</w:t>
      </w:r>
      <w:r w:rsidR="00D4125D" w:rsidRPr="00B0485F">
        <w:t xml:space="preserve"> </w:t>
      </w:r>
      <w:proofErr w:type="spellStart"/>
      <w:r w:rsidR="00D4125D" w:rsidRPr="00B0485F">
        <w:t>colposuspension</w:t>
      </w:r>
      <w:proofErr w:type="spellEnd"/>
      <w:r w:rsidR="00D4125D" w:rsidRPr="00B0485F">
        <w:t>.</w:t>
      </w:r>
    </w:p>
    <w:p w14:paraId="1AF824AD" w14:textId="1C00C567" w:rsidR="00487904" w:rsidRPr="00B0485F" w:rsidRDefault="00237932" w:rsidP="00C67DA3">
      <w:pPr>
        <w:pStyle w:val="Heading2"/>
      </w:pPr>
      <w:bookmarkStart w:id="69" w:name="_Ref131156080"/>
      <w:bookmarkStart w:id="70" w:name="_Toc165627824"/>
      <w:r>
        <w:lastRenderedPageBreak/>
        <w:t xml:space="preserve">Summary of </w:t>
      </w:r>
      <w:r w:rsidR="004D31C3">
        <w:t xml:space="preserve">evidence for </w:t>
      </w:r>
      <w:r w:rsidR="001A12B7">
        <w:t>l</w:t>
      </w:r>
      <w:r w:rsidR="00DD7960" w:rsidRPr="00B0485F">
        <w:t xml:space="preserve">ong-term </w:t>
      </w:r>
      <w:r w:rsidR="00E730DC" w:rsidRPr="00B0485F">
        <w:t>complications</w:t>
      </w:r>
      <w:bookmarkEnd w:id="69"/>
      <w:bookmarkEnd w:id="70"/>
    </w:p>
    <w:p w14:paraId="3403A166" w14:textId="05149A14" w:rsidR="004E4201" w:rsidRPr="00B0485F" w:rsidRDefault="00EE7310" w:rsidP="005E054C">
      <w:pPr>
        <w:pStyle w:val="Heading3"/>
      </w:pPr>
      <w:bookmarkStart w:id="71" w:name="_Ref134024314"/>
      <w:bookmarkStart w:id="72" w:name="_Toc165627825"/>
      <w:r w:rsidRPr="00B0485F">
        <w:t>Systematic review (NICE Guideline NG123)</w:t>
      </w:r>
      <w:bookmarkEnd w:id="71"/>
      <w:bookmarkEnd w:id="72"/>
    </w:p>
    <w:p w14:paraId="1C1DA187" w14:textId="45D91765" w:rsidR="0072276A" w:rsidRDefault="0072276A" w:rsidP="00D26049">
      <w:pPr>
        <w:pStyle w:val="Heading4"/>
      </w:pPr>
      <w:r>
        <w:t>Included studies</w:t>
      </w:r>
    </w:p>
    <w:p w14:paraId="1F2EEF9B" w14:textId="45248B78" w:rsidR="005F391B" w:rsidRPr="00B0485F" w:rsidRDefault="00653382" w:rsidP="001D60C1">
      <w:pPr>
        <w:pStyle w:val="BodyText"/>
      </w:pPr>
      <w:r w:rsidRPr="00B0485F">
        <w:t>The review of long-term</w:t>
      </w:r>
      <w:r w:rsidR="005661B6" w:rsidRPr="00B0485F">
        <w:t xml:space="preserve"> complications (&gt;5 years) </w:t>
      </w:r>
      <w:r w:rsidR="00BA2C94" w:rsidRPr="00B0485F">
        <w:t>conducted by NICE</w:t>
      </w:r>
      <w:r w:rsidR="00383021" w:rsidRPr="00B0485F">
        <w:t xml:space="preserve"> identified mainly </w:t>
      </w:r>
      <w:r w:rsidR="00AD1FBC" w:rsidRPr="00B0485F">
        <w:t xml:space="preserve">non-comparative </w:t>
      </w:r>
      <w:r w:rsidR="00383021" w:rsidRPr="00B0485F">
        <w:t>case series</w:t>
      </w:r>
      <w:r w:rsidR="003B17D1" w:rsidRPr="00B0485F">
        <w:t>.</w:t>
      </w:r>
      <w:r w:rsidR="004A63F2" w:rsidRPr="00B0485F">
        <w:t xml:space="preserve"> </w:t>
      </w:r>
      <w:r w:rsidR="00181AF0">
        <w:t>Of</w:t>
      </w:r>
      <w:r w:rsidR="000435E5" w:rsidRPr="00B0485F">
        <w:t xml:space="preserve"> the </w:t>
      </w:r>
      <w:r w:rsidR="009A4D26" w:rsidRPr="00B0485F">
        <w:t xml:space="preserve">studies </w:t>
      </w:r>
      <w:r w:rsidR="00181AF0">
        <w:t xml:space="preserve">identified, 40 studies (including 5 RCTs) </w:t>
      </w:r>
      <w:r w:rsidR="003725B5">
        <w:t xml:space="preserve">provided </w:t>
      </w:r>
      <w:r w:rsidR="00C411BF">
        <w:t xml:space="preserve">long-term complication </w:t>
      </w:r>
      <w:r w:rsidR="003725B5">
        <w:t>data on</w:t>
      </w:r>
      <w:r w:rsidR="006E099A" w:rsidRPr="00B0485F">
        <w:t xml:space="preserve"> interventions </w:t>
      </w:r>
      <w:r w:rsidR="005F391B" w:rsidRPr="00B0485F">
        <w:t xml:space="preserve">relevant to this </w:t>
      </w:r>
      <w:r w:rsidR="006E099A" w:rsidRPr="00B0485F">
        <w:t>post-listing review</w:t>
      </w:r>
      <w:r w:rsidR="00B7050D">
        <w:t xml:space="preserve">. </w:t>
      </w:r>
      <w:r w:rsidR="000435E5" w:rsidRPr="00B0485F">
        <w:t>A summary of the</w:t>
      </w:r>
      <w:r w:rsidR="00F02E21">
        <w:t>se</w:t>
      </w:r>
      <w:r w:rsidR="000435E5" w:rsidRPr="00B0485F">
        <w:t xml:space="preserve"> </w:t>
      </w:r>
      <w:r w:rsidR="009A4D26" w:rsidRPr="00B0485F">
        <w:t>studies</w:t>
      </w:r>
      <w:r w:rsidR="005F391B" w:rsidRPr="00B0485F">
        <w:t xml:space="preserve"> is provided in</w:t>
      </w:r>
      <w:r w:rsidR="005F391B">
        <w:rPr>
          <w:b/>
        </w:rPr>
        <w:t xml:space="preserve"> </w:t>
      </w:r>
      <w:r w:rsidR="000B5A29">
        <w:rPr>
          <w:b/>
          <w:bCs/>
        </w:rPr>
        <w:fldChar w:fldCharType="begin"/>
      </w:r>
      <w:r w:rsidR="000B5A29">
        <w:rPr>
          <w:b/>
          <w:bCs/>
        </w:rPr>
        <w:instrText xml:space="preserve"> REF _Ref131161302 \n \h </w:instrText>
      </w:r>
      <w:r w:rsidR="000B5A29">
        <w:rPr>
          <w:b/>
          <w:bCs/>
        </w:rPr>
      </w:r>
      <w:r w:rsidR="000B5A29">
        <w:rPr>
          <w:b/>
          <w:bCs/>
        </w:rPr>
        <w:fldChar w:fldCharType="separate"/>
      </w:r>
      <w:r w:rsidR="007105D3">
        <w:rPr>
          <w:b/>
          <w:bCs/>
        </w:rPr>
        <w:t>Appendix D</w:t>
      </w:r>
      <w:r w:rsidR="000B5A29">
        <w:rPr>
          <w:b/>
          <w:bCs/>
        </w:rPr>
        <w:fldChar w:fldCharType="end"/>
      </w:r>
      <w:r w:rsidR="0036201C">
        <w:t>.</w:t>
      </w:r>
    </w:p>
    <w:p w14:paraId="07FFC2BC" w14:textId="66328E9C" w:rsidR="000F357E" w:rsidRDefault="000F357E" w:rsidP="00D26049">
      <w:pPr>
        <w:pStyle w:val="Heading4"/>
      </w:pPr>
      <w:r>
        <w:t>Findings</w:t>
      </w:r>
    </w:p>
    <w:p w14:paraId="03341685" w14:textId="6B26B329" w:rsidR="00FA0AA3" w:rsidRDefault="00B303B3" w:rsidP="001D60C1">
      <w:pPr>
        <w:pStyle w:val="BodyText"/>
      </w:pPr>
      <w:r w:rsidRPr="00B0485F">
        <w:t>Due to the non-comparative nature of the data</w:t>
      </w:r>
      <w:r w:rsidR="00E378CB">
        <w:t>,</w:t>
      </w:r>
      <w:r w:rsidRPr="00B0485F">
        <w:t xml:space="preserve"> </w:t>
      </w:r>
      <w:r w:rsidR="00AE60BD" w:rsidRPr="00B0485F">
        <w:t xml:space="preserve">it was not possible for NICE to conduct a </w:t>
      </w:r>
      <w:r w:rsidRPr="00B0485F">
        <w:t>m</w:t>
      </w:r>
      <w:r w:rsidR="00BC0CA6" w:rsidRPr="00B0485F">
        <w:t>eta-analysis</w:t>
      </w:r>
      <w:r w:rsidR="007A401C" w:rsidRPr="00B0485F">
        <w:t xml:space="preserve"> for long-term complications</w:t>
      </w:r>
      <w:r w:rsidR="00BC0CA6" w:rsidRPr="00B0485F">
        <w:t>. Instead</w:t>
      </w:r>
      <w:r w:rsidR="005F39C0">
        <w:t>,</w:t>
      </w:r>
      <w:r w:rsidR="00BC0CA6" w:rsidRPr="00B0485F">
        <w:t xml:space="preserve"> </w:t>
      </w:r>
      <w:r w:rsidR="007A401C" w:rsidRPr="00B0485F">
        <w:t xml:space="preserve">rates </w:t>
      </w:r>
      <w:r w:rsidR="00115DB3" w:rsidRPr="00B0485F">
        <w:t>of complications</w:t>
      </w:r>
      <w:r w:rsidR="00BF190A" w:rsidRPr="00B0485F">
        <w:t xml:space="preserve"> </w:t>
      </w:r>
      <w:r w:rsidR="00BC0531">
        <w:t xml:space="preserve">were calculated </w:t>
      </w:r>
      <w:r w:rsidR="00BF190A" w:rsidRPr="00B0485F">
        <w:t xml:space="preserve">as weighted averages. </w:t>
      </w:r>
      <w:r w:rsidR="002B2CD8" w:rsidRPr="00B0485F">
        <w:t>A summary of the long-term complication rates for the</w:t>
      </w:r>
      <w:r w:rsidR="00F749DC" w:rsidRPr="00B0485F">
        <w:t xml:space="preserve"> </w:t>
      </w:r>
      <w:r w:rsidR="00C6563C" w:rsidRPr="00B0485F">
        <w:t xml:space="preserve">interventions and comparators relevant to this review is provided in </w:t>
      </w:r>
      <w:r w:rsidR="00141F3A" w:rsidRPr="00B0485F">
        <w:rPr>
          <w:b/>
          <w:bCs/>
        </w:rPr>
        <w:fldChar w:fldCharType="begin"/>
      </w:r>
      <w:r w:rsidR="00141F3A" w:rsidRPr="00B0485F">
        <w:rPr>
          <w:b/>
          <w:bCs/>
        </w:rPr>
        <w:instrText xml:space="preserve"> REF _Ref130388359 \h  \* MERGEFORMAT </w:instrText>
      </w:r>
      <w:r w:rsidR="00141F3A" w:rsidRPr="00B0485F">
        <w:rPr>
          <w:b/>
          <w:bCs/>
        </w:rPr>
      </w:r>
      <w:r w:rsidR="00141F3A" w:rsidRPr="00B0485F">
        <w:rPr>
          <w:b/>
          <w:bCs/>
        </w:rPr>
        <w:fldChar w:fldCharType="separate"/>
      </w:r>
      <w:r w:rsidR="007105D3" w:rsidRPr="007105D3">
        <w:rPr>
          <w:b/>
          <w:bCs/>
        </w:rPr>
        <w:t xml:space="preserve">Table </w:t>
      </w:r>
      <w:r w:rsidR="007105D3" w:rsidRPr="007105D3">
        <w:rPr>
          <w:b/>
          <w:bCs/>
          <w:noProof/>
        </w:rPr>
        <w:t>11</w:t>
      </w:r>
      <w:r w:rsidR="00141F3A" w:rsidRPr="00B0485F">
        <w:rPr>
          <w:b/>
          <w:bCs/>
        </w:rPr>
        <w:fldChar w:fldCharType="end"/>
      </w:r>
      <w:r w:rsidR="00141F3A" w:rsidRPr="00B0485F">
        <w:t>.</w:t>
      </w:r>
    </w:p>
    <w:p w14:paraId="68FF1BA9" w14:textId="0225E410" w:rsidR="000A3392" w:rsidRDefault="008F3F33" w:rsidP="001D60C1">
      <w:pPr>
        <w:pStyle w:val="BodyText"/>
      </w:pPr>
      <w:r>
        <w:t>The majority of studies providing data on long-term complicat</w:t>
      </w:r>
      <w:r w:rsidR="00EB3726">
        <w:t>ions</w:t>
      </w:r>
      <w:r>
        <w:t xml:space="preserve"> were assessed </w:t>
      </w:r>
      <w:r w:rsidR="00512141">
        <w:t xml:space="preserve">by NICE </w:t>
      </w:r>
      <w:r>
        <w:t>to be at serious risk of bias</w:t>
      </w:r>
      <w:r w:rsidR="00EB3726">
        <w:t xml:space="preserve"> </w:t>
      </w:r>
      <w:r w:rsidR="006F3494">
        <w:t xml:space="preserve">(see </w:t>
      </w:r>
      <w:r w:rsidR="00616243">
        <w:fldChar w:fldCharType="begin"/>
      </w:r>
      <w:r w:rsidR="00616243">
        <w:instrText xml:space="preserve"> REF _Ref131161302 \n \h </w:instrText>
      </w:r>
      <w:r w:rsidR="00616243">
        <w:fldChar w:fldCharType="separate"/>
      </w:r>
      <w:r w:rsidR="007105D3">
        <w:t>Appendix D</w:t>
      </w:r>
      <w:r w:rsidR="00616243">
        <w:fldChar w:fldCharType="end"/>
      </w:r>
      <w:r w:rsidR="004C6989">
        <w:t xml:space="preserve">, </w:t>
      </w:r>
      <w:r w:rsidR="00C26772" w:rsidRPr="00C26772">
        <w:rPr>
          <w:b/>
          <w:bCs/>
        </w:rPr>
        <w:fldChar w:fldCharType="begin"/>
      </w:r>
      <w:r w:rsidR="00C26772" w:rsidRPr="00C26772">
        <w:rPr>
          <w:b/>
          <w:bCs/>
        </w:rPr>
        <w:instrText xml:space="preserve"> REF _Ref132282483 \h </w:instrText>
      </w:r>
      <w:r w:rsidR="00C26772">
        <w:rPr>
          <w:b/>
          <w:bCs/>
        </w:rPr>
        <w:instrText xml:space="preserve"> \* MERGEFORMAT </w:instrText>
      </w:r>
      <w:r w:rsidR="00C26772" w:rsidRPr="00C26772">
        <w:rPr>
          <w:b/>
          <w:bCs/>
        </w:rPr>
      </w:r>
      <w:r w:rsidR="00C26772" w:rsidRPr="00C26772">
        <w:rPr>
          <w:b/>
          <w:bCs/>
        </w:rPr>
        <w:fldChar w:fldCharType="separate"/>
      </w:r>
      <w:r w:rsidR="007105D3" w:rsidRPr="007105D3">
        <w:rPr>
          <w:b/>
          <w:bCs/>
        </w:rPr>
        <w:t xml:space="preserve">Table App. </w:t>
      </w:r>
      <w:r w:rsidR="007105D3" w:rsidRPr="007105D3">
        <w:rPr>
          <w:b/>
          <w:bCs/>
          <w:noProof/>
        </w:rPr>
        <w:t>10</w:t>
      </w:r>
      <w:r w:rsidR="00C26772" w:rsidRPr="00C26772">
        <w:rPr>
          <w:b/>
          <w:bCs/>
        </w:rPr>
        <w:fldChar w:fldCharType="end"/>
      </w:r>
      <w:r w:rsidR="00C26772">
        <w:t>)</w:t>
      </w:r>
      <w:r w:rsidR="006F3494">
        <w:t xml:space="preserve"> </w:t>
      </w:r>
      <w:r w:rsidR="00EB3726">
        <w:t>using the Cochrane Risk of</w:t>
      </w:r>
      <w:r w:rsidR="0093793A">
        <w:t xml:space="preserve"> Bias tool </w:t>
      </w:r>
      <w:r w:rsidR="00905A44">
        <w:t xml:space="preserve">for randomised controlled studies </w:t>
      </w:r>
      <w:r w:rsidR="00552E0C">
        <w:t>or</w:t>
      </w:r>
      <w:r w:rsidR="00905A44">
        <w:t xml:space="preserve"> the Cochrane ROBINS-I </w:t>
      </w:r>
      <w:r w:rsidR="005F4E6F">
        <w:t>(Risk of Bias In Non</w:t>
      </w:r>
      <w:r w:rsidR="00D24C3D">
        <w:t>-randomised Studies</w:t>
      </w:r>
      <w:r w:rsidR="00346CC9">
        <w:t xml:space="preserve"> – of Interventions</w:t>
      </w:r>
      <w:r w:rsidR="00D24C3D">
        <w:t xml:space="preserve">) </w:t>
      </w:r>
      <w:r w:rsidR="00905A44">
        <w:t>tool for non-RCTs.</w:t>
      </w:r>
      <w:r w:rsidR="00141F3A" w:rsidRPr="00B0485F">
        <w:t xml:space="preserve"> </w:t>
      </w:r>
      <w:r w:rsidR="00C13122">
        <w:t xml:space="preserve">The </w:t>
      </w:r>
      <w:r w:rsidR="006D06B7">
        <w:t xml:space="preserve">key concerns </w:t>
      </w:r>
      <w:r w:rsidR="00A57E89">
        <w:t xml:space="preserve">regarding </w:t>
      </w:r>
      <w:r w:rsidR="001D390F">
        <w:t xml:space="preserve">risk of bias </w:t>
      </w:r>
      <w:r w:rsidR="00467E82">
        <w:t xml:space="preserve">in the included observational studies </w:t>
      </w:r>
      <w:r w:rsidR="000D1A15">
        <w:t xml:space="preserve">related to </w:t>
      </w:r>
      <w:r w:rsidR="0040366E">
        <w:t>confounding, participant selection</w:t>
      </w:r>
      <w:r w:rsidR="00E23F68">
        <w:t xml:space="preserve"> and outcome measurement.</w:t>
      </w:r>
    </w:p>
    <w:p w14:paraId="1DD514D0" w14:textId="5E312EEC" w:rsidR="000A3392" w:rsidRDefault="000A3392" w:rsidP="000A3392">
      <w:pPr>
        <w:pStyle w:val="BodyText"/>
      </w:pPr>
      <w:r>
        <w:t>NICE also reported data on rate of infection for synthetic mesh slings</w:t>
      </w:r>
      <w:r w:rsidRPr="00B0485F">
        <w:t xml:space="preserve"> </w:t>
      </w:r>
      <w:r>
        <w:t xml:space="preserve">of unspecified type. The data </w:t>
      </w:r>
      <w:r w:rsidR="008F2D62">
        <w:t>were</w:t>
      </w:r>
      <w:r>
        <w:t xml:space="preserve"> based on a single </w:t>
      </w:r>
      <w:r w:rsidRPr="00B0485F">
        <w:t>case series of 59,556 women in Canada</w:t>
      </w:r>
      <w:r>
        <w:t xml:space="preserve"> </w:t>
      </w:r>
      <w:r w:rsidR="00245CE2">
        <w:rPr>
          <w:noProof/>
        </w:rPr>
        <w:t>(Punjani 2017)</w:t>
      </w:r>
      <w:r>
        <w:t>. The study</w:t>
      </w:r>
      <w:r w:rsidRPr="00B0485F">
        <w:t xml:space="preserve"> reported an infection rate of 19.7% for synthetic mesh slings</w:t>
      </w:r>
      <w:r>
        <w:t xml:space="preserve"> (type not specified). T</w:t>
      </w:r>
      <w:r w:rsidRPr="00B0485F">
        <w:t xml:space="preserve">he </w:t>
      </w:r>
      <w:r>
        <w:t xml:space="preserve">weighted average infection </w:t>
      </w:r>
      <w:r w:rsidRPr="00B0485F">
        <w:t xml:space="preserve">rates calculated </w:t>
      </w:r>
      <w:r>
        <w:t>by NICE</w:t>
      </w:r>
      <w:r w:rsidRPr="00B0485F">
        <w:t xml:space="preserve"> for </w:t>
      </w:r>
      <w:r>
        <w:t>RP-MUS</w:t>
      </w:r>
      <w:r w:rsidRPr="00B0485F">
        <w:t xml:space="preserve"> and </w:t>
      </w:r>
      <w:r>
        <w:t>TO-MUS</w:t>
      </w:r>
      <w:r w:rsidRPr="00B0485F">
        <w:t xml:space="preserve"> </w:t>
      </w:r>
      <w:r>
        <w:t xml:space="preserve">were substantially lower at </w:t>
      </w:r>
      <w:r w:rsidRPr="00B0485F">
        <w:t xml:space="preserve">8.4% and 3.4% respectively </w:t>
      </w:r>
      <w:r>
        <w:t>(</w:t>
      </w:r>
      <w:r w:rsidRPr="00B0485F">
        <w:t xml:space="preserve">see </w:t>
      </w:r>
      <w:r w:rsidRPr="00B0485F">
        <w:rPr>
          <w:b/>
          <w:bCs/>
        </w:rPr>
        <w:fldChar w:fldCharType="begin"/>
      </w:r>
      <w:r w:rsidRPr="00B0485F">
        <w:rPr>
          <w:b/>
          <w:bCs/>
        </w:rPr>
        <w:instrText xml:space="preserve"> REF _Ref130388359 \h  \* MERGEFORMAT </w:instrText>
      </w:r>
      <w:r w:rsidRPr="00B0485F">
        <w:rPr>
          <w:b/>
          <w:bCs/>
        </w:rPr>
      </w:r>
      <w:r w:rsidRPr="00B0485F">
        <w:rPr>
          <w:b/>
          <w:bCs/>
        </w:rPr>
        <w:fldChar w:fldCharType="separate"/>
      </w:r>
      <w:r w:rsidR="007105D3" w:rsidRPr="007105D3">
        <w:rPr>
          <w:b/>
          <w:bCs/>
        </w:rPr>
        <w:t xml:space="preserve">Table </w:t>
      </w:r>
      <w:r w:rsidR="007105D3" w:rsidRPr="007105D3">
        <w:rPr>
          <w:b/>
          <w:bCs/>
          <w:noProof/>
        </w:rPr>
        <w:t>11</w:t>
      </w:r>
      <w:r w:rsidRPr="00B0485F">
        <w:rPr>
          <w:b/>
          <w:bCs/>
        </w:rPr>
        <w:fldChar w:fldCharType="end"/>
      </w:r>
      <w:r w:rsidRPr="00B0485F">
        <w:t>).</w:t>
      </w:r>
    </w:p>
    <w:p w14:paraId="657D799C" w14:textId="253EF952" w:rsidR="00CB7CC1" w:rsidRPr="00B0485F" w:rsidRDefault="00D37BE6" w:rsidP="001D60C1">
      <w:pPr>
        <w:pStyle w:val="BodyText"/>
        <w:rPr>
          <w:highlight w:val="yellow"/>
        </w:rPr>
        <w:sectPr w:rsidR="00CB7CC1" w:rsidRPr="00B0485F" w:rsidSect="003E0819">
          <w:pgSz w:w="11906" w:h="16838"/>
          <w:pgMar w:top="1134" w:right="1134" w:bottom="1134" w:left="1134" w:header="850" w:footer="709" w:gutter="0"/>
          <w:cols w:space="708"/>
          <w:docGrid w:linePitch="360"/>
        </w:sectPr>
      </w:pPr>
      <w:r w:rsidRPr="00B0485F">
        <w:t xml:space="preserve"> </w:t>
      </w:r>
    </w:p>
    <w:p w14:paraId="51C87F2F" w14:textId="3DAD85EF" w:rsidR="007612EE" w:rsidRPr="00B0485F" w:rsidRDefault="00894BDE" w:rsidP="00C60AA9">
      <w:pPr>
        <w:pStyle w:val="Caption"/>
        <w:ind w:left="0" w:firstLine="0"/>
      </w:pPr>
      <w:bookmarkStart w:id="73" w:name="_Ref130388359"/>
      <w:bookmarkStart w:id="74" w:name="_Toc165627879"/>
      <w:r w:rsidRPr="00B0485F">
        <w:lastRenderedPageBreak/>
        <w:t xml:space="preserve">Table </w:t>
      </w:r>
      <w:fldSimple w:instr=" SEQ Table \* ARABIC ">
        <w:r w:rsidR="007105D3">
          <w:rPr>
            <w:noProof/>
          </w:rPr>
          <w:t>11</w:t>
        </w:r>
      </w:fldSimple>
      <w:bookmarkEnd w:id="73"/>
      <w:r w:rsidR="00234FEC" w:rsidRPr="00B0485F">
        <w:tab/>
      </w:r>
      <w:r w:rsidR="00557155">
        <w:tab/>
      </w:r>
      <w:r w:rsidR="00234FEC" w:rsidRPr="00B0485F">
        <w:t>Long-term complication rates (&gt;5 years)</w:t>
      </w:r>
      <w:r w:rsidR="00AF13AE" w:rsidRPr="00B0485F">
        <w:t xml:space="preserve"> calculated as weighted averages</w:t>
      </w:r>
      <w:bookmarkEnd w:id="74"/>
    </w:p>
    <w:tbl>
      <w:tblPr>
        <w:tblStyle w:val="TableGrid"/>
        <w:tblW w:w="5000" w:type="pct"/>
        <w:tblLayout w:type="fixed"/>
        <w:tblLook w:val="04A0" w:firstRow="1" w:lastRow="0" w:firstColumn="1" w:lastColumn="0" w:noHBand="0" w:noVBand="1"/>
        <w:tblCaption w:val="Long-term complication rates (&gt;5 years) calculated as weighted averages"/>
        <w:tblDescription w:val="This table shows the long-term complication rates (calculated as weighted averages) for retropubic mid-urethral sling, transobturator mid-urethral sling, colposuspension (unspecified), colposuspension (laparoscopic), colposuspension (open) and fascial sling, from the NICE Guideline NG123 evidence review."/>
      </w:tblPr>
      <w:tblGrid>
        <w:gridCol w:w="2070"/>
        <w:gridCol w:w="1332"/>
        <w:gridCol w:w="648"/>
        <w:gridCol w:w="1337"/>
        <w:gridCol w:w="643"/>
        <w:gridCol w:w="1483"/>
        <w:gridCol w:w="677"/>
        <w:gridCol w:w="1591"/>
        <w:gridCol w:w="569"/>
        <w:gridCol w:w="1557"/>
        <w:gridCol w:w="601"/>
        <w:gridCol w:w="1242"/>
        <w:gridCol w:w="820"/>
      </w:tblGrid>
      <w:tr w:rsidR="00866344" w:rsidRPr="00B0485F" w14:paraId="57B7E10A" w14:textId="1B3202BB" w:rsidTr="00E76D0D">
        <w:trPr>
          <w:cnfStyle w:val="100000000000" w:firstRow="1" w:lastRow="0" w:firstColumn="0" w:lastColumn="0" w:oddVBand="0" w:evenVBand="0" w:oddHBand="0" w:evenHBand="0" w:firstRowFirstColumn="0" w:firstRowLastColumn="0" w:lastRowFirstColumn="0" w:lastRowLastColumn="0"/>
        </w:trPr>
        <w:tc>
          <w:tcPr>
            <w:tcW w:w="2070" w:type="dxa"/>
          </w:tcPr>
          <w:p w14:paraId="173B444C" w14:textId="6ECB38E5" w:rsidR="00E10994" w:rsidRPr="005D71A4" w:rsidRDefault="00E10994" w:rsidP="00DA7A84">
            <w:pPr>
              <w:pStyle w:val="031Tablesubheading8pt"/>
              <w:rPr>
                <w:sz w:val="18"/>
                <w:szCs w:val="18"/>
              </w:rPr>
            </w:pPr>
            <w:r w:rsidRPr="005D71A4">
              <w:rPr>
                <w:sz w:val="18"/>
                <w:szCs w:val="18"/>
              </w:rPr>
              <w:t>Surgery type</w:t>
            </w:r>
          </w:p>
        </w:tc>
        <w:tc>
          <w:tcPr>
            <w:tcW w:w="1332" w:type="dxa"/>
          </w:tcPr>
          <w:p w14:paraId="03EB3DA8" w14:textId="53A14901" w:rsidR="00E10994" w:rsidRPr="005D71A4" w:rsidRDefault="00E10994" w:rsidP="00EE44CC">
            <w:pPr>
              <w:pStyle w:val="031Tablesubheading8pt"/>
              <w:rPr>
                <w:sz w:val="18"/>
                <w:szCs w:val="18"/>
              </w:rPr>
            </w:pPr>
            <w:r w:rsidRPr="005D71A4">
              <w:rPr>
                <w:sz w:val="18"/>
                <w:szCs w:val="18"/>
              </w:rPr>
              <w:t>R</w:t>
            </w:r>
            <w:r w:rsidR="003F20B7" w:rsidRPr="005D71A4">
              <w:rPr>
                <w:sz w:val="18"/>
                <w:szCs w:val="18"/>
              </w:rPr>
              <w:t>P</w:t>
            </w:r>
            <w:r w:rsidR="00ED486E" w:rsidRPr="005D71A4">
              <w:rPr>
                <w:sz w:val="18"/>
                <w:szCs w:val="18"/>
              </w:rPr>
              <w:t>-</w:t>
            </w:r>
            <w:r w:rsidRPr="005D71A4">
              <w:rPr>
                <w:sz w:val="18"/>
                <w:szCs w:val="18"/>
              </w:rPr>
              <w:t>MUS</w:t>
            </w:r>
          </w:p>
        </w:tc>
        <w:tc>
          <w:tcPr>
            <w:tcW w:w="648" w:type="dxa"/>
          </w:tcPr>
          <w:p w14:paraId="5DB4231B" w14:textId="3AC8A79C" w:rsidR="00E10994" w:rsidRPr="005D71A4" w:rsidRDefault="00E10994" w:rsidP="00EE44CC">
            <w:pPr>
              <w:pStyle w:val="031Tablesubheading8pt"/>
              <w:rPr>
                <w:sz w:val="18"/>
                <w:szCs w:val="18"/>
              </w:rPr>
            </w:pPr>
          </w:p>
        </w:tc>
        <w:tc>
          <w:tcPr>
            <w:tcW w:w="1337" w:type="dxa"/>
          </w:tcPr>
          <w:p w14:paraId="3BC73F84" w14:textId="13C485FE" w:rsidR="00E10994" w:rsidRPr="005D71A4" w:rsidRDefault="00E10994" w:rsidP="00EE44CC">
            <w:pPr>
              <w:pStyle w:val="031Tablesubheading8pt"/>
              <w:rPr>
                <w:sz w:val="18"/>
                <w:szCs w:val="18"/>
              </w:rPr>
            </w:pPr>
            <w:r w:rsidRPr="005D71A4">
              <w:rPr>
                <w:sz w:val="18"/>
                <w:szCs w:val="18"/>
              </w:rPr>
              <w:t>T</w:t>
            </w:r>
            <w:r w:rsidR="003F20B7" w:rsidRPr="005D71A4">
              <w:rPr>
                <w:sz w:val="18"/>
                <w:szCs w:val="18"/>
              </w:rPr>
              <w:t>O</w:t>
            </w:r>
            <w:r w:rsidR="00ED486E" w:rsidRPr="005D71A4">
              <w:rPr>
                <w:sz w:val="18"/>
                <w:szCs w:val="18"/>
              </w:rPr>
              <w:t>-</w:t>
            </w:r>
            <w:r w:rsidRPr="005D71A4">
              <w:rPr>
                <w:sz w:val="18"/>
                <w:szCs w:val="18"/>
              </w:rPr>
              <w:t>MUS</w:t>
            </w:r>
          </w:p>
        </w:tc>
        <w:tc>
          <w:tcPr>
            <w:tcW w:w="643" w:type="dxa"/>
          </w:tcPr>
          <w:p w14:paraId="5BE74AA7" w14:textId="1B40417D" w:rsidR="00E10994" w:rsidRPr="005D71A4" w:rsidRDefault="00E10994" w:rsidP="00EE44CC">
            <w:pPr>
              <w:pStyle w:val="031Tablesubheading8pt"/>
              <w:rPr>
                <w:sz w:val="18"/>
                <w:szCs w:val="18"/>
              </w:rPr>
            </w:pPr>
          </w:p>
        </w:tc>
        <w:tc>
          <w:tcPr>
            <w:tcW w:w="1483" w:type="dxa"/>
          </w:tcPr>
          <w:p w14:paraId="494575D2" w14:textId="2161E072" w:rsidR="00E10994" w:rsidRPr="005D71A4" w:rsidRDefault="00E10994" w:rsidP="00EE44CC">
            <w:pPr>
              <w:pStyle w:val="031Tablesubheading8pt"/>
              <w:rPr>
                <w:sz w:val="18"/>
                <w:szCs w:val="18"/>
              </w:rPr>
            </w:pPr>
            <w:proofErr w:type="spellStart"/>
            <w:r w:rsidRPr="005D71A4">
              <w:rPr>
                <w:sz w:val="18"/>
                <w:szCs w:val="18"/>
              </w:rPr>
              <w:t>Col</w:t>
            </w:r>
            <w:r w:rsidR="00ED486E" w:rsidRPr="005D71A4">
              <w:rPr>
                <w:sz w:val="18"/>
                <w:szCs w:val="18"/>
              </w:rPr>
              <w:t>posuspension</w:t>
            </w:r>
            <w:proofErr w:type="spellEnd"/>
            <w:r w:rsidR="00BA3F59" w:rsidRPr="005D71A4">
              <w:rPr>
                <w:sz w:val="18"/>
                <w:szCs w:val="18"/>
              </w:rPr>
              <w:t xml:space="preserve"> (unspecified)</w:t>
            </w:r>
          </w:p>
        </w:tc>
        <w:tc>
          <w:tcPr>
            <w:tcW w:w="677" w:type="dxa"/>
          </w:tcPr>
          <w:p w14:paraId="0404CC45" w14:textId="77777777" w:rsidR="00E10994" w:rsidRPr="005D71A4" w:rsidRDefault="00E10994" w:rsidP="00EE44CC">
            <w:pPr>
              <w:pStyle w:val="031Tablesubheading8pt"/>
              <w:rPr>
                <w:sz w:val="18"/>
                <w:szCs w:val="18"/>
              </w:rPr>
            </w:pPr>
          </w:p>
        </w:tc>
        <w:tc>
          <w:tcPr>
            <w:tcW w:w="1591" w:type="dxa"/>
          </w:tcPr>
          <w:p w14:paraId="6FA3F1FB" w14:textId="2740F85F" w:rsidR="00E10994" w:rsidRPr="005D71A4" w:rsidRDefault="00E10994" w:rsidP="00EE44CC">
            <w:pPr>
              <w:pStyle w:val="031Tablesubheading8pt"/>
              <w:rPr>
                <w:sz w:val="18"/>
                <w:szCs w:val="18"/>
              </w:rPr>
            </w:pPr>
            <w:proofErr w:type="spellStart"/>
            <w:r w:rsidRPr="005D71A4">
              <w:rPr>
                <w:sz w:val="18"/>
                <w:szCs w:val="18"/>
              </w:rPr>
              <w:t>Col</w:t>
            </w:r>
            <w:r w:rsidR="007529BE" w:rsidRPr="005D71A4">
              <w:rPr>
                <w:sz w:val="18"/>
                <w:szCs w:val="18"/>
              </w:rPr>
              <w:t>posuspension</w:t>
            </w:r>
            <w:proofErr w:type="spellEnd"/>
            <w:r w:rsidR="00BA3F59" w:rsidRPr="005D71A4">
              <w:rPr>
                <w:sz w:val="18"/>
                <w:szCs w:val="18"/>
              </w:rPr>
              <w:t xml:space="preserve"> </w:t>
            </w:r>
            <w:r w:rsidR="007529BE" w:rsidRPr="005D71A4">
              <w:rPr>
                <w:sz w:val="18"/>
                <w:szCs w:val="18"/>
              </w:rPr>
              <w:t>(</w:t>
            </w:r>
            <w:r w:rsidRPr="005D71A4">
              <w:rPr>
                <w:sz w:val="18"/>
                <w:szCs w:val="18"/>
              </w:rPr>
              <w:t>lap</w:t>
            </w:r>
            <w:r w:rsidR="007529BE" w:rsidRPr="005D71A4">
              <w:rPr>
                <w:sz w:val="18"/>
                <w:szCs w:val="18"/>
              </w:rPr>
              <w:t>aroscopic)</w:t>
            </w:r>
          </w:p>
        </w:tc>
        <w:tc>
          <w:tcPr>
            <w:tcW w:w="569" w:type="dxa"/>
          </w:tcPr>
          <w:p w14:paraId="0FAAE705" w14:textId="77777777" w:rsidR="00E10994" w:rsidRPr="005D71A4" w:rsidRDefault="00E10994" w:rsidP="00EE44CC">
            <w:pPr>
              <w:pStyle w:val="031Tablesubheading8pt"/>
              <w:rPr>
                <w:sz w:val="18"/>
                <w:szCs w:val="18"/>
              </w:rPr>
            </w:pPr>
          </w:p>
        </w:tc>
        <w:tc>
          <w:tcPr>
            <w:tcW w:w="1557" w:type="dxa"/>
          </w:tcPr>
          <w:p w14:paraId="5918D808" w14:textId="0FFB67BC" w:rsidR="00E10994" w:rsidRPr="005D71A4" w:rsidRDefault="00E10994" w:rsidP="00EE44CC">
            <w:pPr>
              <w:pStyle w:val="031Tablesubheading8pt"/>
              <w:rPr>
                <w:sz w:val="18"/>
                <w:szCs w:val="18"/>
              </w:rPr>
            </w:pPr>
            <w:proofErr w:type="spellStart"/>
            <w:r w:rsidRPr="005D71A4">
              <w:rPr>
                <w:sz w:val="18"/>
                <w:szCs w:val="18"/>
              </w:rPr>
              <w:t>Col</w:t>
            </w:r>
            <w:r w:rsidR="007529BE" w:rsidRPr="005D71A4">
              <w:rPr>
                <w:sz w:val="18"/>
                <w:szCs w:val="18"/>
              </w:rPr>
              <w:t>posuspension</w:t>
            </w:r>
            <w:proofErr w:type="spellEnd"/>
            <w:r w:rsidRPr="005D71A4">
              <w:rPr>
                <w:sz w:val="18"/>
                <w:szCs w:val="18"/>
              </w:rPr>
              <w:t xml:space="preserve"> </w:t>
            </w:r>
            <w:r w:rsidR="007529BE" w:rsidRPr="005D71A4">
              <w:rPr>
                <w:sz w:val="18"/>
                <w:szCs w:val="18"/>
              </w:rPr>
              <w:t>(</w:t>
            </w:r>
            <w:r w:rsidRPr="005D71A4">
              <w:rPr>
                <w:sz w:val="18"/>
                <w:szCs w:val="18"/>
              </w:rPr>
              <w:t>open</w:t>
            </w:r>
            <w:r w:rsidR="007529BE" w:rsidRPr="005D71A4">
              <w:rPr>
                <w:sz w:val="18"/>
                <w:szCs w:val="18"/>
              </w:rPr>
              <w:t>)</w:t>
            </w:r>
          </w:p>
        </w:tc>
        <w:tc>
          <w:tcPr>
            <w:tcW w:w="601" w:type="dxa"/>
          </w:tcPr>
          <w:p w14:paraId="3496BF83" w14:textId="77777777" w:rsidR="00E10994" w:rsidRPr="005D71A4" w:rsidRDefault="00E10994" w:rsidP="00EE44CC">
            <w:pPr>
              <w:pStyle w:val="031Tablesubheading8pt"/>
              <w:rPr>
                <w:sz w:val="18"/>
                <w:szCs w:val="18"/>
              </w:rPr>
            </w:pPr>
          </w:p>
        </w:tc>
        <w:tc>
          <w:tcPr>
            <w:tcW w:w="1242" w:type="dxa"/>
          </w:tcPr>
          <w:p w14:paraId="5CDB1291" w14:textId="495BB69E" w:rsidR="00E10994" w:rsidRPr="005D71A4" w:rsidRDefault="00E10994" w:rsidP="00EE44CC">
            <w:pPr>
              <w:pStyle w:val="031Tablesubheading8pt"/>
              <w:rPr>
                <w:sz w:val="18"/>
                <w:szCs w:val="18"/>
              </w:rPr>
            </w:pPr>
            <w:r w:rsidRPr="005D71A4">
              <w:rPr>
                <w:sz w:val="18"/>
                <w:szCs w:val="18"/>
              </w:rPr>
              <w:t>Fascial sling</w:t>
            </w:r>
          </w:p>
        </w:tc>
        <w:tc>
          <w:tcPr>
            <w:tcW w:w="820" w:type="dxa"/>
          </w:tcPr>
          <w:p w14:paraId="6F97B1FD" w14:textId="77777777" w:rsidR="00E10994" w:rsidRPr="005D71A4" w:rsidRDefault="00E10994" w:rsidP="00EE44CC">
            <w:pPr>
              <w:pStyle w:val="031Tablesubheading8pt"/>
              <w:rPr>
                <w:sz w:val="18"/>
                <w:szCs w:val="18"/>
              </w:rPr>
            </w:pPr>
          </w:p>
          <w:p w14:paraId="689F8EE8" w14:textId="634F2DAA" w:rsidR="00E10994" w:rsidRPr="005D71A4" w:rsidRDefault="00E10994" w:rsidP="00F95BF1">
            <w:pPr>
              <w:rPr>
                <w:sz w:val="18"/>
                <w:szCs w:val="18"/>
              </w:rPr>
            </w:pPr>
          </w:p>
        </w:tc>
      </w:tr>
      <w:tr w:rsidR="00E76D0D" w:rsidRPr="00B0485F" w14:paraId="1013711D" w14:textId="39667F11" w:rsidTr="00E76D0D">
        <w:tc>
          <w:tcPr>
            <w:tcW w:w="2070" w:type="dxa"/>
            <w:shd w:val="clear" w:color="auto" w:fill="F2F2F2" w:themeFill="background1" w:themeFillShade="F2"/>
          </w:tcPr>
          <w:p w14:paraId="444116C6" w14:textId="1F0B640E" w:rsidR="00E10994" w:rsidRPr="005D71A4" w:rsidRDefault="00E10994" w:rsidP="00DA7A84">
            <w:pPr>
              <w:pStyle w:val="031Tablesubheading8pt"/>
              <w:rPr>
                <w:sz w:val="18"/>
                <w:szCs w:val="18"/>
              </w:rPr>
            </w:pPr>
            <w:r w:rsidRPr="005D71A4">
              <w:rPr>
                <w:sz w:val="18"/>
                <w:szCs w:val="18"/>
              </w:rPr>
              <w:t>Complication</w:t>
            </w:r>
          </w:p>
        </w:tc>
        <w:tc>
          <w:tcPr>
            <w:tcW w:w="1332" w:type="dxa"/>
            <w:shd w:val="clear" w:color="auto" w:fill="F2F2F2" w:themeFill="background1" w:themeFillShade="F2"/>
          </w:tcPr>
          <w:p w14:paraId="59610F2F" w14:textId="7BAF2D74" w:rsidR="009A5247" w:rsidRPr="005D71A4" w:rsidRDefault="00CF1E96" w:rsidP="00EE44CC">
            <w:pPr>
              <w:pStyle w:val="031Tablesubheading8pt"/>
              <w:rPr>
                <w:sz w:val="18"/>
                <w:szCs w:val="18"/>
              </w:rPr>
            </w:pPr>
            <w:r w:rsidRPr="005D71A4">
              <w:rPr>
                <w:sz w:val="18"/>
                <w:szCs w:val="18"/>
              </w:rPr>
              <w:t>No.</w:t>
            </w:r>
            <w:r w:rsidR="00E10994" w:rsidRPr="005D71A4">
              <w:rPr>
                <w:sz w:val="18"/>
                <w:szCs w:val="18"/>
              </w:rPr>
              <w:t xml:space="preserve"> studies </w:t>
            </w:r>
          </w:p>
          <w:p w14:paraId="16DE0AD9" w14:textId="3D18C737" w:rsidR="00E10994" w:rsidRPr="005D71A4" w:rsidRDefault="00E10994" w:rsidP="00EE44CC">
            <w:pPr>
              <w:pStyle w:val="031Tablesubheading8pt"/>
              <w:rPr>
                <w:sz w:val="18"/>
                <w:szCs w:val="18"/>
              </w:rPr>
            </w:pPr>
            <w:r w:rsidRPr="005D71A4">
              <w:rPr>
                <w:sz w:val="18"/>
                <w:szCs w:val="18"/>
              </w:rPr>
              <w:t>(</w:t>
            </w:r>
            <w:r w:rsidR="00CF1E96" w:rsidRPr="005D71A4">
              <w:rPr>
                <w:sz w:val="18"/>
                <w:szCs w:val="18"/>
              </w:rPr>
              <w:t>No.</w:t>
            </w:r>
            <w:r w:rsidRPr="005D71A4">
              <w:rPr>
                <w:sz w:val="18"/>
                <w:szCs w:val="18"/>
              </w:rPr>
              <w:t xml:space="preserve"> women)</w:t>
            </w:r>
          </w:p>
        </w:tc>
        <w:tc>
          <w:tcPr>
            <w:tcW w:w="648" w:type="dxa"/>
            <w:shd w:val="clear" w:color="auto" w:fill="F2F2F2" w:themeFill="background1" w:themeFillShade="F2"/>
          </w:tcPr>
          <w:p w14:paraId="705DD253" w14:textId="77112E7B" w:rsidR="00E10994" w:rsidRPr="005D71A4" w:rsidRDefault="00E10994" w:rsidP="00EE44CC">
            <w:pPr>
              <w:pStyle w:val="031Tablesubheading8pt"/>
              <w:rPr>
                <w:sz w:val="18"/>
                <w:szCs w:val="18"/>
              </w:rPr>
            </w:pPr>
            <w:r w:rsidRPr="005D71A4">
              <w:rPr>
                <w:sz w:val="18"/>
                <w:szCs w:val="18"/>
              </w:rPr>
              <w:t>Rate (%)</w:t>
            </w:r>
          </w:p>
        </w:tc>
        <w:tc>
          <w:tcPr>
            <w:tcW w:w="1337" w:type="dxa"/>
            <w:shd w:val="clear" w:color="auto" w:fill="F2F2F2" w:themeFill="background1" w:themeFillShade="F2"/>
          </w:tcPr>
          <w:p w14:paraId="6F5511F7" w14:textId="75B9DCBE" w:rsidR="009A5247" w:rsidRPr="005D71A4" w:rsidRDefault="00CF1E96" w:rsidP="00EE44CC">
            <w:pPr>
              <w:pStyle w:val="031Tablesubheading8pt"/>
              <w:rPr>
                <w:sz w:val="18"/>
                <w:szCs w:val="18"/>
              </w:rPr>
            </w:pPr>
            <w:r w:rsidRPr="005D71A4">
              <w:rPr>
                <w:sz w:val="18"/>
                <w:szCs w:val="18"/>
              </w:rPr>
              <w:t>No.</w:t>
            </w:r>
            <w:r w:rsidR="00E10994" w:rsidRPr="005D71A4">
              <w:rPr>
                <w:sz w:val="18"/>
                <w:szCs w:val="18"/>
              </w:rPr>
              <w:t xml:space="preserve"> studies </w:t>
            </w:r>
          </w:p>
          <w:p w14:paraId="4DE90F37" w14:textId="4E90FEE1" w:rsidR="00E10994" w:rsidRPr="005D71A4" w:rsidRDefault="00E10994" w:rsidP="00EE44CC">
            <w:pPr>
              <w:pStyle w:val="031Tablesubheading8pt"/>
              <w:rPr>
                <w:sz w:val="18"/>
                <w:szCs w:val="18"/>
              </w:rPr>
            </w:pPr>
            <w:r w:rsidRPr="005D71A4">
              <w:rPr>
                <w:sz w:val="18"/>
                <w:szCs w:val="18"/>
              </w:rPr>
              <w:t>(</w:t>
            </w:r>
            <w:r w:rsidR="00CF1E96" w:rsidRPr="005D71A4">
              <w:rPr>
                <w:sz w:val="18"/>
                <w:szCs w:val="18"/>
              </w:rPr>
              <w:t>No.</w:t>
            </w:r>
            <w:r w:rsidRPr="005D71A4">
              <w:rPr>
                <w:sz w:val="18"/>
                <w:szCs w:val="18"/>
              </w:rPr>
              <w:t xml:space="preserve"> women)</w:t>
            </w:r>
          </w:p>
        </w:tc>
        <w:tc>
          <w:tcPr>
            <w:tcW w:w="643" w:type="dxa"/>
            <w:shd w:val="clear" w:color="auto" w:fill="F2F2F2" w:themeFill="background1" w:themeFillShade="F2"/>
          </w:tcPr>
          <w:p w14:paraId="300F32F6" w14:textId="157D7FF4" w:rsidR="00E10994" w:rsidRPr="005D71A4" w:rsidRDefault="00E10994" w:rsidP="00EE44CC">
            <w:pPr>
              <w:pStyle w:val="031Tablesubheading8pt"/>
              <w:rPr>
                <w:sz w:val="18"/>
                <w:szCs w:val="18"/>
              </w:rPr>
            </w:pPr>
            <w:r w:rsidRPr="005D71A4">
              <w:rPr>
                <w:sz w:val="18"/>
                <w:szCs w:val="18"/>
              </w:rPr>
              <w:t>Rate (%)</w:t>
            </w:r>
          </w:p>
        </w:tc>
        <w:tc>
          <w:tcPr>
            <w:tcW w:w="1483" w:type="dxa"/>
            <w:shd w:val="clear" w:color="auto" w:fill="F2F2F2" w:themeFill="background1" w:themeFillShade="F2"/>
          </w:tcPr>
          <w:p w14:paraId="4D4DA7C8" w14:textId="712BA5AE" w:rsidR="009A5247" w:rsidRPr="005D71A4" w:rsidRDefault="00CF1E96" w:rsidP="00EE44CC">
            <w:pPr>
              <w:pStyle w:val="031Tablesubheading8pt"/>
              <w:rPr>
                <w:sz w:val="18"/>
                <w:szCs w:val="18"/>
              </w:rPr>
            </w:pPr>
            <w:r w:rsidRPr="005D71A4">
              <w:rPr>
                <w:sz w:val="18"/>
                <w:szCs w:val="18"/>
              </w:rPr>
              <w:t>No.</w:t>
            </w:r>
            <w:r w:rsidR="00E10994" w:rsidRPr="005D71A4">
              <w:rPr>
                <w:sz w:val="18"/>
                <w:szCs w:val="18"/>
              </w:rPr>
              <w:t xml:space="preserve"> studies </w:t>
            </w:r>
          </w:p>
          <w:p w14:paraId="72433038" w14:textId="30EEE4B3" w:rsidR="00E10994" w:rsidRPr="005D71A4" w:rsidRDefault="00E10994" w:rsidP="00EE44CC">
            <w:pPr>
              <w:pStyle w:val="031Tablesubheading8pt"/>
              <w:rPr>
                <w:sz w:val="18"/>
                <w:szCs w:val="18"/>
              </w:rPr>
            </w:pPr>
            <w:r w:rsidRPr="005D71A4">
              <w:rPr>
                <w:sz w:val="18"/>
                <w:szCs w:val="18"/>
              </w:rPr>
              <w:t>(</w:t>
            </w:r>
            <w:r w:rsidR="00CF1E96" w:rsidRPr="005D71A4">
              <w:rPr>
                <w:sz w:val="18"/>
                <w:szCs w:val="18"/>
              </w:rPr>
              <w:t>No.</w:t>
            </w:r>
            <w:r w:rsidRPr="005D71A4">
              <w:rPr>
                <w:sz w:val="18"/>
                <w:szCs w:val="18"/>
              </w:rPr>
              <w:t xml:space="preserve"> women)</w:t>
            </w:r>
          </w:p>
        </w:tc>
        <w:tc>
          <w:tcPr>
            <w:tcW w:w="677" w:type="dxa"/>
            <w:shd w:val="clear" w:color="auto" w:fill="F2F2F2" w:themeFill="background1" w:themeFillShade="F2"/>
          </w:tcPr>
          <w:p w14:paraId="41D3F3E9" w14:textId="1CF68706" w:rsidR="00E10994" w:rsidRPr="005D71A4" w:rsidRDefault="00E10994" w:rsidP="00EE44CC">
            <w:pPr>
              <w:pStyle w:val="031Tablesubheading8pt"/>
              <w:rPr>
                <w:sz w:val="18"/>
                <w:szCs w:val="18"/>
              </w:rPr>
            </w:pPr>
            <w:r w:rsidRPr="005D71A4">
              <w:rPr>
                <w:sz w:val="18"/>
                <w:szCs w:val="18"/>
              </w:rPr>
              <w:t>Rate (%)</w:t>
            </w:r>
          </w:p>
        </w:tc>
        <w:tc>
          <w:tcPr>
            <w:tcW w:w="1591" w:type="dxa"/>
            <w:shd w:val="clear" w:color="auto" w:fill="F2F2F2" w:themeFill="background1" w:themeFillShade="F2"/>
          </w:tcPr>
          <w:p w14:paraId="72E3F0E7" w14:textId="23CD94B0" w:rsidR="009A5247" w:rsidRPr="005D71A4" w:rsidRDefault="00CF1E96" w:rsidP="00EE44CC">
            <w:pPr>
              <w:pStyle w:val="031Tablesubheading8pt"/>
              <w:rPr>
                <w:sz w:val="18"/>
                <w:szCs w:val="18"/>
              </w:rPr>
            </w:pPr>
            <w:r w:rsidRPr="005D71A4">
              <w:rPr>
                <w:sz w:val="18"/>
                <w:szCs w:val="18"/>
              </w:rPr>
              <w:t>No.</w:t>
            </w:r>
            <w:r w:rsidR="00E10994" w:rsidRPr="005D71A4">
              <w:rPr>
                <w:sz w:val="18"/>
                <w:szCs w:val="18"/>
              </w:rPr>
              <w:t xml:space="preserve"> studies </w:t>
            </w:r>
          </w:p>
          <w:p w14:paraId="52FE1C8C" w14:textId="780AD208" w:rsidR="00E10994" w:rsidRPr="005D71A4" w:rsidRDefault="00E10994" w:rsidP="00EE44CC">
            <w:pPr>
              <w:pStyle w:val="031Tablesubheading8pt"/>
              <w:rPr>
                <w:sz w:val="18"/>
                <w:szCs w:val="18"/>
              </w:rPr>
            </w:pPr>
            <w:r w:rsidRPr="005D71A4">
              <w:rPr>
                <w:sz w:val="18"/>
                <w:szCs w:val="18"/>
              </w:rPr>
              <w:t>(</w:t>
            </w:r>
            <w:r w:rsidR="00CF1E96" w:rsidRPr="005D71A4">
              <w:rPr>
                <w:sz w:val="18"/>
                <w:szCs w:val="18"/>
              </w:rPr>
              <w:t>No.</w:t>
            </w:r>
            <w:r w:rsidRPr="005D71A4">
              <w:rPr>
                <w:sz w:val="18"/>
                <w:szCs w:val="18"/>
              </w:rPr>
              <w:t xml:space="preserve"> women)</w:t>
            </w:r>
          </w:p>
        </w:tc>
        <w:tc>
          <w:tcPr>
            <w:tcW w:w="569" w:type="dxa"/>
            <w:shd w:val="clear" w:color="auto" w:fill="F2F2F2" w:themeFill="background1" w:themeFillShade="F2"/>
          </w:tcPr>
          <w:p w14:paraId="7D7EC5C5" w14:textId="3C587E91" w:rsidR="00E10994" w:rsidRPr="005D71A4" w:rsidRDefault="00E10994" w:rsidP="00EE44CC">
            <w:pPr>
              <w:pStyle w:val="031Tablesubheading8pt"/>
              <w:rPr>
                <w:sz w:val="18"/>
                <w:szCs w:val="18"/>
              </w:rPr>
            </w:pPr>
            <w:r w:rsidRPr="005D71A4">
              <w:rPr>
                <w:sz w:val="18"/>
                <w:szCs w:val="18"/>
              </w:rPr>
              <w:t>Rate (%)</w:t>
            </w:r>
          </w:p>
        </w:tc>
        <w:tc>
          <w:tcPr>
            <w:tcW w:w="1557" w:type="dxa"/>
            <w:shd w:val="clear" w:color="auto" w:fill="F2F2F2" w:themeFill="background1" w:themeFillShade="F2"/>
          </w:tcPr>
          <w:p w14:paraId="183BC0FB" w14:textId="29913CA7" w:rsidR="009A5247" w:rsidRPr="005D71A4" w:rsidRDefault="00CF1E96" w:rsidP="00EE44CC">
            <w:pPr>
              <w:pStyle w:val="031Tablesubheading8pt"/>
              <w:rPr>
                <w:sz w:val="18"/>
                <w:szCs w:val="18"/>
              </w:rPr>
            </w:pPr>
            <w:r w:rsidRPr="005D71A4">
              <w:rPr>
                <w:sz w:val="18"/>
                <w:szCs w:val="18"/>
              </w:rPr>
              <w:t>No.</w:t>
            </w:r>
            <w:r w:rsidR="00E10994" w:rsidRPr="005D71A4">
              <w:rPr>
                <w:sz w:val="18"/>
                <w:szCs w:val="18"/>
              </w:rPr>
              <w:t xml:space="preserve"> studies </w:t>
            </w:r>
          </w:p>
          <w:p w14:paraId="3C5F662C" w14:textId="037724E3" w:rsidR="00E10994" w:rsidRPr="005D71A4" w:rsidRDefault="00E10994" w:rsidP="00EE44CC">
            <w:pPr>
              <w:pStyle w:val="031Tablesubheading8pt"/>
              <w:rPr>
                <w:sz w:val="18"/>
                <w:szCs w:val="18"/>
              </w:rPr>
            </w:pPr>
            <w:r w:rsidRPr="005D71A4">
              <w:rPr>
                <w:sz w:val="18"/>
                <w:szCs w:val="18"/>
              </w:rPr>
              <w:t>(</w:t>
            </w:r>
            <w:r w:rsidR="00CF1E96" w:rsidRPr="005D71A4">
              <w:rPr>
                <w:sz w:val="18"/>
                <w:szCs w:val="18"/>
              </w:rPr>
              <w:t>No.</w:t>
            </w:r>
            <w:r w:rsidRPr="005D71A4">
              <w:rPr>
                <w:sz w:val="18"/>
                <w:szCs w:val="18"/>
              </w:rPr>
              <w:t xml:space="preserve"> women)</w:t>
            </w:r>
          </w:p>
        </w:tc>
        <w:tc>
          <w:tcPr>
            <w:tcW w:w="601" w:type="dxa"/>
            <w:shd w:val="clear" w:color="auto" w:fill="F2F2F2" w:themeFill="background1" w:themeFillShade="F2"/>
          </w:tcPr>
          <w:p w14:paraId="78E3421B" w14:textId="7A67AEAE" w:rsidR="00E10994" w:rsidRPr="005D71A4" w:rsidRDefault="00E10994" w:rsidP="00EE44CC">
            <w:pPr>
              <w:pStyle w:val="031Tablesubheading8pt"/>
              <w:rPr>
                <w:sz w:val="18"/>
                <w:szCs w:val="18"/>
              </w:rPr>
            </w:pPr>
            <w:r w:rsidRPr="005D71A4">
              <w:rPr>
                <w:sz w:val="18"/>
                <w:szCs w:val="18"/>
              </w:rPr>
              <w:t>Rate (%)</w:t>
            </w:r>
          </w:p>
        </w:tc>
        <w:tc>
          <w:tcPr>
            <w:tcW w:w="1242" w:type="dxa"/>
            <w:shd w:val="clear" w:color="auto" w:fill="F2F2F2" w:themeFill="background1" w:themeFillShade="F2"/>
          </w:tcPr>
          <w:p w14:paraId="5BA2EAC7" w14:textId="364BF899" w:rsidR="009A5247" w:rsidRPr="005D71A4" w:rsidRDefault="00CF1E96" w:rsidP="00EE44CC">
            <w:pPr>
              <w:pStyle w:val="031Tablesubheading8pt"/>
              <w:rPr>
                <w:sz w:val="18"/>
                <w:szCs w:val="18"/>
              </w:rPr>
            </w:pPr>
            <w:r w:rsidRPr="005D71A4">
              <w:rPr>
                <w:sz w:val="18"/>
                <w:szCs w:val="18"/>
              </w:rPr>
              <w:t>No.</w:t>
            </w:r>
            <w:r w:rsidR="00E10994" w:rsidRPr="005D71A4">
              <w:rPr>
                <w:sz w:val="18"/>
                <w:szCs w:val="18"/>
              </w:rPr>
              <w:t xml:space="preserve"> studies</w:t>
            </w:r>
          </w:p>
          <w:p w14:paraId="41639CBB" w14:textId="1B8CDEAD" w:rsidR="00E10994" w:rsidRPr="005D71A4" w:rsidRDefault="00E10994" w:rsidP="00EE44CC">
            <w:pPr>
              <w:pStyle w:val="031Tablesubheading8pt"/>
              <w:rPr>
                <w:sz w:val="18"/>
                <w:szCs w:val="18"/>
              </w:rPr>
            </w:pPr>
            <w:r w:rsidRPr="005D71A4">
              <w:rPr>
                <w:sz w:val="18"/>
                <w:szCs w:val="18"/>
              </w:rPr>
              <w:t>(</w:t>
            </w:r>
            <w:r w:rsidR="00CF1E96" w:rsidRPr="005D71A4">
              <w:rPr>
                <w:sz w:val="18"/>
                <w:szCs w:val="18"/>
              </w:rPr>
              <w:t>No.</w:t>
            </w:r>
            <w:r w:rsidRPr="005D71A4">
              <w:rPr>
                <w:sz w:val="18"/>
                <w:szCs w:val="18"/>
              </w:rPr>
              <w:t xml:space="preserve"> women)</w:t>
            </w:r>
          </w:p>
        </w:tc>
        <w:tc>
          <w:tcPr>
            <w:tcW w:w="820" w:type="dxa"/>
            <w:shd w:val="clear" w:color="auto" w:fill="F2F2F2" w:themeFill="background1" w:themeFillShade="F2"/>
          </w:tcPr>
          <w:p w14:paraId="2C2586EB" w14:textId="6B5FD692" w:rsidR="00E10994" w:rsidRPr="005D71A4" w:rsidRDefault="00E10994" w:rsidP="00EE44CC">
            <w:pPr>
              <w:pStyle w:val="031Tablesubheading8pt"/>
              <w:rPr>
                <w:sz w:val="18"/>
                <w:szCs w:val="18"/>
              </w:rPr>
            </w:pPr>
            <w:r w:rsidRPr="005D71A4">
              <w:rPr>
                <w:sz w:val="18"/>
                <w:szCs w:val="18"/>
              </w:rPr>
              <w:t>Rate (%)</w:t>
            </w:r>
          </w:p>
        </w:tc>
      </w:tr>
      <w:tr w:rsidR="00852A44" w:rsidRPr="00B0485F" w14:paraId="43ED74C6" w14:textId="47E74300" w:rsidTr="00E76D0D">
        <w:tc>
          <w:tcPr>
            <w:tcW w:w="2070" w:type="dxa"/>
          </w:tcPr>
          <w:p w14:paraId="54E72E70" w14:textId="5A2B82BE" w:rsidR="00E10994" w:rsidRPr="005D71A4" w:rsidRDefault="00E10994" w:rsidP="00EE44CC">
            <w:pPr>
              <w:pStyle w:val="031Tablesubheading8pt"/>
              <w:rPr>
                <w:sz w:val="18"/>
                <w:szCs w:val="18"/>
              </w:rPr>
            </w:pPr>
            <w:r w:rsidRPr="005D71A4">
              <w:rPr>
                <w:sz w:val="18"/>
                <w:szCs w:val="18"/>
              </w:rPr>
              <w:t>Pain</w:t>
            </w:r>
          </w:p>
        </w:tc>
        <w:tc>
          <w:tcPr>
            <w:tcW w:w="1332" w:type="dxa"/>
          </w:tcPr>
          <w:p w14:paraId="5659034F" w14:textId="69E1FBDC" w:rsidR="00E10994" w:rsidRPr="005D71A4" w:rsidRDefault="00E10994" w:rsidP="00673693">
            <w:pPr>
              <w:pStyle w:val="051Tabletext228pt"/>
              <w:rPr>
                <w:sz w:val="18"/>
                <w:szCs w:val="18"/>
              </w:rPr>
            </w:pPr>
            <w:r w:rsidRPr="005D71A4">
              <w:rPr>
                <w:sz w:val="18"/>
                <w:szCs w:val="18"/>
              </w:rPr>
              <w:t>10 (1610)</w:t>
            </w:r>
          </w:p>
        </w:tc>
        <w:tc>
          <w:tcPr>
            <w:tcW w:w="648" w:type="dxa"/>
          </w:tcPr>
          <w:p w14:paraId="6D4FEC8C" w14:textId="2BBBF692" w:rsidR="00E10994" w:rsidRPr="005D71A4" w:rsidRDefault="00E10994" w:rsidP="00673693">
            <w:pPr>
              <w:pStyle w:val="051Tabletext228pt"/>
              <w:rPr>
                <w:sz w:val="18"/>
                <w:szCs w:val="18"/>
              </w:rPr>
            </w:pPr>
            <w:r w:rsidRPr="005D71A4">
              <w:rPr>
                <w:sz w:val="18"/>
                <w:szCs w:val="18"/>
              </w:rPr>
              <w:t>9.0</w:t>
            </w:r>
          </w:p>
        </w:tc>
        <w:tc>
          <w:tcPr>
            <w:tcW w:w="1337" w:type="dxa"/>
          </w:tcPr>
          <w:p w14:paraId="719BEB2C" w14:textId="4DF985E7" w:rsidR="00E10994" w:rsidRPr="005D71A4" w:rsidRDefault="00E10994" w:rsidP="00673693">
            <w:pPr>
              <w:pStyle w:val="051Tabletext228pt"/>
              <w:rPr>
                <w:sz w:val="18"/>
                <w:szCs w:val="18"/>
              </w:rPr>
            </w:pPr>
            <w:r w:rsidRPr="005D71A4">
              <w:rPr>
                <w:sz w:val="18"/>
                <w:szCs w:val="18"/>
              </w:rPr>
              <w:t>8 (1074)</w:t>
            </w:r>
          </w:p>
        </w:tc>
        <w:tc>
          <w:tcPr>
            <w:tcW w:w="643" w:type="dxa"/>
          </w:tcPr>
          <w:p w14:paraId="35D180B2" w14:textId="54BFBEDC" w:rsidR="00E10994" w:rsidRPr="005D71A4" w:rsidRDefault="00E10994" w:rsidP="00673693">
            <w:pPr>
              <w:pStyle w:val="051Tabletext228pt"/>
              <w:rPr>
                <w:sz w:val="18"/>
                <w:szCs w:val="18"/>
              </w:rPr>
            </w:pPr>
            <w:r w:rsidRPr="005D71A4">
              <w:rPr>
                <w:sz w:val="18"/>
                <w:szCs w:val="18"/>
              </w:rPr>
              <w:t>7.1</w:t>
            </w:r>
          </w:p>
        </w:tc>
        <w:tc>
          <w:tcPr>
            <w:tcW w:w="1483" w:type="dxa"/>
          </w:tcPr>
          <w:p w14:paraId="7A2DE59F" w14:textId="36CA8D5C" w:rsidR="00E10994" w:rsidRPr="005D71A4" w:rsidRDefault="00E10994" w:rsidP="006B3FBB">
            <w:pPr>
              <w:pStyle w:val="051Tabletext228pt"/>
              <w:rPr>
                <w:sz w:val="18"/>
                <w:szCs w:val="18"/>
              </w:rPr>
            </w:pPr>
            <w:r w:rsidRPr="005D71A4">
              <w:rPr>
                <w:sz w:val="18"/>
                <w:szCs w:val="18"/>
              </w:rPr>
              <w:t>-</w:t>
            </w:r>
          </w:p>
        </w:tc>
        <w:tc>
          <w:tcPr>
            <w:tcW w:w="677" w:type="dxa"/>
          </w:tcPr>
          <w:p w14:paraId="2099E1F7" w14:textId="2A42E613" w:rsidR="00E10994" w:rsidRPr="005D71A4" w:rsidRDefault="00E10994" w:rsidP="006B3FBB">
            <w:pPr>
              <w:pStyle w:val="051Tabletext228pt"/>
              <w:rPr>
                <w:sz w:val="18"/>
                <w:szCs w:val="18"/>
              </w:rPr>
            </w:pPr>
            <w:r w:rsidRPr="005D71A4">
              <w:rPr>
                <w:sz w:val="18"/>
                <w:szCs w:val="18"/>
              </w:rPr>
              <w:t>-</w:t>
            </w:r>
          </w:p>
        </w:tc>
        <w:tc>
          <w:tcPr>
            <w:tcW w:w="1591" w:type="dxa"/>
          </w:tcPr>
          <w:p w14:paraId="362D11C0" w14:textId="638128D6" w:rsidR="00E10994" w:rsidRPr="005D71A4" w:rsidRDefault="00E10994" w:rsidP="006B3FBB">
            <w:pPr>
              <w:pStyle w:val="051Tabletext228pt"/>
              <w:rPr>
                <w:sz w:val="18"/>
                <w:szCs w:val="18"/>
              </w:rPr>
            </w:pPr>
            <w:r w:rsidRPr="005D71A4">
              <w:rPr>
                <w:sz w:val="18"/>
                <w:szCs w:val="18"/>
              </w:rPr>
              <w:t>-</w:t>
            </w:r>
          </w:p>
        </w:tc>
        <w:tc>
          <w:tcPr>
            <w:tcW w:w="569" w:type="dxa"/>
          </w:tcPr>
          <w:p w14:paraId="65A6DBB9" w14:textId="7D20B4EE" w:rsidR="00E10994" w:rsidRPr="005D71A4" w:rsidRDefault="00E10994" w:rsidP="006B3FBB">
            <w:pPr>
              <w:pStyle w:val="051Tabletext228pt"/>
              <w:rPr>
                <w:sz w:val="18"/>
                <w:szCs w:val="18"/>
              </w:rPr>
            </w:pPr>
            <w:r w:rsidRPr="005D71A4">
              <w:rPr>
                <w:sz w:val="18"/>
                <w:szCs w:val="18"/>
              </w:rPr>
              <w:t>-</w:t>
            </w:r>
          </w:p>
        </w:tc>
        <w:tc>
          <w:tcPr>
            <w:tcW w:w="1557" w:type="dxa"/>
          </w:tcPr>
          <w:p w14:paraId="301C034B" w14:textId="6AC9FEC7" w:rsidR="00E10994" w:rsidRPr="005D71A4" w:rsidRDefault="00E10994" w:rsidP="006B3FBB">
            <w:pPr>
              <w:pStyle w:val="051Tabletext228pt"/>
              <w:rPr>
                <w:sz w:val="18"/>
                <w:szCs w:val="18"/>
              </w:rPr>
            </w:pPr>
            <w:r w:rsidRPr="005D71A4">
              <w:rPr>
                <w:sz w:val="18"/>
                <w:szCs w:val="18"/>
              </w:rPr>
              <w:t>-</w:t>
            </w:r>
          </w:p>
        </w:tc>
        <w:tc>
          <w:tcPr>
            <w:tcW w:w="601" w:type="dxa"/>
          </w:tcPr>
          <w:p w14:paraId="17539A1F" w14:textId="4BD6C17A" w:rsidR="00E10994" w:rsidRPr="005D71A4" w:rsidRDefault="00E10994" w:rsidP="006B3FBB">
            <w:pPr>
              <w:pStyle w:val="051Tabletext228pt"/>
              <w:rPr>
                <w:sz w:val="18"/>
                <w:szCs w:val="18"/>
              </w:rPr>
            </w:pPr>
            <w:r w:rsidRPr="005D71A4">
              <w:rPr>
                <w:sz w:val="18"/>
                <w:szCs w:val="18"/>
              </w:rPr>
              <w:t>-</w:t>
            </w:r>
          </w:p>
        </w:tc>
        <w:tc>
          <w:tcPr>
            <w:tcW w:w="1242" w:type="dxa"/>
          </w:tcPr>
          <w:p w14:paraId="30E5CC21" w14:textId="108FBC29" w:rsidR="00E10994" w:rsidRPr="005D71A4" w:rsidRDefault="00E10994" w:rsidP="006B3FBB">
            <w:pPr>
              <w:pStyle w:val="051Tabletext228pt"/>
              <w:rPr>
                <w:sz w:val="18"/>
                <w:szCs w:val="18"/>
              </w:rPr>
            </w:pPr>
            <w:r w:rsidRPr="005D71A4">
              <w:rPr>
                <w:sz w:val="18"/>
                <w:szCs w:val="18"/>
              </w:rPr>
              <w:t>1 (132)</w:t>
            </w:r>
          </w:p>
        </w:tc>
        <w:tc>
          <w:tcPr>
            <w:tcW w:w="820" w:type="dxa"/>
          </w:tcPr>
          <w:p w14:paraId="0E0238A3" w14:textId="7611A988" w:rsidR="00E10994" w:rsidRPr="005D71A4" w:rsidRDefault="00E10994" w:rsidP="006B3FBB">
            <w:pPr>
              <w:pStyle w:val="051Tabletext228pt"/>
              <w:rPr>
                <w:sz w:val="18"/>
                <w:szCs w:val="18"/>
              </w:rPr>
            </w:pPr>
            <w:r w:rsidRPr="005D71A4">
              <w:rPr>
                <w:sz w:val="18"/>
                <w:szCs w:val="18"/>
              </w:rPr>
              <w:t>16.7</w:t>
            </w:r>
          </w:p>
        </w:tc>
      </w:tr>
      <w:tr w:rsidR="00852A44" w:rsidRPr="00B0485F" w14:paraId="7AF5AAA6" w14:textId="7E95BCE2" w:rsidTr="00E76D0D">
        <w:tc>
          <w:tcPr>
            <w:tcW w:w="2070" w:type="dxa"/>
          </w:tcPr>
          <w:p w14:paraId="07A5B3F6" w14:textId="76ABDCCA" w:rsidR="00E10994" w:rsidRPr="005D71A4" w:rsidRDefault="00E10994" w:rsidP="00EE44CC">
            <w:pPr>
              <w:pStyle w:val="031Tablesubheading8pt"/>
              <w:rPr>
                <w:sz w:val="18"/>
                <w:szCs w:val="18"/>
              </w:rPr>
            </w:pPr>
            <w:r w:rsidRPr="005D71A4">
              <w:rPr>
                <w:sz w:val="18"/>
                <w:szCs w:val="18"/>
              </w:rPr>
              <w:t>Mesh erosion/exposure</w:t>
            </w:r>
          </w:p>
        </w:tc>
        <w:tc>
          <w:tcPr>
            <w:tcW w:w="1332" w:type="dxa"/>
          </w:tcPr>
          <w:p w14:paraId="2346FE46" w14:textId="1FCCF306" w:rsidR="00E10994" w:rsidRPr="005D71A4" w:rsidRDefault="00E10994" w:rsidP="00673693">
            <w:pPr>
              <w:pStyle w:val="051Tabletext228pt"/>
              <w:rPr>
                <w:sz w:val="18"/>
                <w:szCs w:val="18"/>
              </w:rPr>
            </w:pPr>
            <w:r w:rsidRPr="005D71A4">
              <w:rPr>
                <w:sz w:val="18"/>
                <w:szCs w:val="18"/>
              </w:rPr>
              <w:t>15 (2252)</w:t>
            </w:r>
          </w:p>
        </w:tc>
        <w:tc>
          <w:tcPr>
            <w:tcW w:w="648" w:type="dxa"/>
          </w:tcPr>
          <w:p w14:paraId="428CAC05" w14:textId="18E6595D" w:rsidR="00E10994" w:rsidRPr="005D71A4" w:rsidRDefault="00E10994" w:rsidP="00673693">
            <w:pPr>
              <w:pStyle w:val="051Tabletext228pt"/>
              <w:rPr>
                <w:sz w:val="18"/>
                <w:szCs w:val="18"/>
              </w:rPr>
            </w:pPr>
            <w:r w:rsidRPr="005D71A4">
              <w:rPr>
                <w:sz w:val="18"/>
                <w:szCs w:val="18"/>
              </w:rPr>
              <w:t>1.5</w:t>
            </w:r>
          </w:p>
        </w:tc>
        <w:tc>
          <w:tcPr>
            <w:tcW w:w="1337" w:type="dxa"/>
          </w:tcPr>
          <w:p w14:paraId="5089A240" w14:textId="09478783" w:rsidR="00E10994" w:rsidRPr="005D71A4" w:rsidRDefault="00E10994" w:rsidP="00673693">
            <w:pPr>
              <w:pStyle w:val="051Tabletext228pt"/>
              <w:rPr>
                <w:sz w:val="18"/>
                <w:szCs w:val="18"/>
              </w:rPr>
            </w:pPr>
            <w:r w:rsidRPr="005D71A4">
              <w:rPr>
                <w:sz w:val="18"/>
                <w:szCs w:val="18"/>
              </w:rPr>
              <w:t>9 (1335)</w:t>
            </w:r>
          </w:p>
        </w:tc>
        <w:tc>
          <w:tcPr>
            <w:tcW w:w="643" w:type="dxa"/>
          </w:tcPr>
          <w:p w14:paraId="6143EC36" w14:textId="2AEC2A0E" w:rsidR="00E10994" w:rsidRPr="005D71A4" w:rsidRDefault="00E10994" w:rsidP="00673693">
            <w:pPr>
              <w:pStyle w:val="051Tabletext228pt"/>
              <w:rPr>
                <w:sz w:val="18"/>
                <w:szCs w:val="18"/>
              </w:rPr>
            </w:pPr>
            <w:r w:rsidRPr="005D71A4">
              <w:rPr>
                <w:sz w:val="18"/>
                <w:szCs w:val="18"/>
              </w:rPr>
              <w:t>2.3</w:t>
            </w:r>
          </w:p>
        </w:tc>
        <w:tc>
          <w:tcPr>
            <w:tcW w:w="1483" w:type="dxa"/>
          </w:tcPr>
          <w:p w14:paraId="365151A0" w14:textId="72A57D8B" w:rsidR="00E10994" w:rsidRPr="005D71A4" w:rsidRDefault="00E10994" w:rsidP="006B3FBB">
            <w:pPr>
              <w:pStyle w:val="051Tabletext228pt"/>
              <w:rPr>
                <w:sz w:val="18"/>
                <w:szCs w:val="18"/>
              </w:rPr>
            </w:pPr>
            <w:r w:rsidRPr="005D71A4">
              <w:rPr>
                <w:sz w:val="18"/>
                <w:szCs w:val="18"/>
              </w:rPr>
              <w:t>-</w:t>
            </w:r>
          </w:p>
        </w:tc>
        <w:tc>
          <w:tcPr>
            <w:tcW w:w="677" w:type="dxa"/>
          </w:tcPr>
          <w:p w14:paraId="130FE3E2" w14:textId="6E89A023" w:rsidR="00E10994" w:rsidRPr="005D71A4" w:rsidRDefault="00E10994" w:rsidP="006B3FBB">
            <w:pPr>
              <w:pStyle w:val="051Tabletext228pt"/>
              <w:rPr>
                <w:sz w:val="18"/>
                <w:szCs w:val="18"/>
              </w:rPr>
            </w:pPr>
            <w:r w:rsidRPr="005D71A4">
              <w:rPr>
                <w:sz w:val="18"/>
                <w:szCs w:val="18"/>
              </w:rPr>
              <w:t>-</w:t>
            </w:r>
          </w:p>
        </w:tc>
        <w:tc>
          <w:tcPr>
            <w:tcW w:w="1591" w:type="dxa"/>
          </w:tcPr>
          <w:p w14:paraId="04A10284" w14:textId="30D148D1" w:rsidR="00E10994" w:rsidRPr="005D71A4" w:rsidRDefault="00E10994" w:rsidP="006B3FBB">
            <w:pPr>
              <w:pStyle w:val="051Tabletext228pt"/>
              <w:rPr>
                <w:sz w:val="18"/>
                <w:szCs w:val="18"/>
              </w:rPr>
            </w:pPr>
            <w:r w:rsidRPr="005D71A4">
              <w:rPr>
                <w:sz w:val="18"/>
                <w:szCs w:val="18"/>
              </w:rPr>
              <w:t>-</w:t>
            </w:r>
          </w:p>
        </w:tc>
        <w:tc>
          <w:tcPr>
            <w:tcW w:w="569" w:type="dxa"/>
          </w:tcPr>
          <w:p w14:paraId="0ACE27F5" w14:textId="127C8CA5" w:rsidR="00E10994" w:rsidRPr="005D71A4" w:rsidRDefault="00E10994" w:rsidP="006B3FBB">
            <w:pPr>
              <w:pStyle w:val="051Tabletext228pt"/>
              <w:rPr>
                <w:sz w:val="18"/>
                <w:szCs w:val="18"/>
              </w:rPr>
            </w:pPr>
            <w:r w:rsidRPr="005D71A4">
              <w:rPr>
                <w:sz w:val="18"/>
                <w:szCs w:val="18"/>
              </w:rPr>
              <w:t>-</w:t>
            </w:r>
          </w:p>
        </w:tc>
        <w:tc>
          <w:tcPr>
            <w:tcW w:w="1557" w:type="dxa"/>
          </w:tcPr>
          <w:p w14:paraId="5FF401C9" w14:textId="33DBCF83" w:rsidR="00E10994" w:rsidRPr="005D71A4" w:rsidRDefault="00E10994" w:rsidP="006B3FBB">
            <w:pPr>
              <w:pStyle w:val="051Tabletext228pt"/>
              <w:rPr>
                <w:sz w:val="18"/>
                <w:szCs w:val="18"/>
              </w:rPr>
            </w:pPr>
            <w:r w:rsidRPr="005D71A4">
              <w:rPr>
                <w:sz w:val="18"/>
                <w:szCs w:val="18"/>
              </w:rPr>
              <w:t>1 (127)</w:t>
            </w:r>
          </w:p>
        </w:tc>
        <w:tc>
          <w:tcPr>
            <w:tcW w:w="601" w:type="dxa"/>
          </w:tcPr>
          <w:p w14:paraId="608330EC" w14:textId="39979354" w:rsidR="00E10994" w:rsidRPr="005D71A4" w:rsidRDefault="00E10994" w:rsidP="006B3FBB">
            <w:pPr>
              <w:pStyle w:val="051Tabletext228pt"/>
              <w:rPr>
                <w:sz w:val="18"/>
                <w:szCs w:val="18"/>
              </w:rPr>
            </w:pPr>
            <w:r w:rsidRPr="005D71A4">
              <w:rPr>
                <w:sz w:val="18"/>
                <w:szCs w:val="18"/>
              </w:rPr>
              <w:t>0.0</w:t>
            </w:r>
          </w:p>
        </w:tc>
        <w:tc>
          <w:tcPr>
            <w:tcW w:w="1242" w:type="dxa"/>
          </w:tcPr>
          <w:p w14:paraId="4D9A0762" w14:textId="70044AD7" w:rsidR="00E10994" w:rsidRPr="005D71A4" w:rsidRDefault="00E10994" w:rsidP="006B3FBB">
            <w:pPr>
              <w:pStyle w:val="051Tabletext228pt"/>
              <w:rPr>
                <w:sz w:val="18"/>
                <w:szCs w:val="18"/>
              </w:rPr>
            </w:pPr>
            <w:r w:rsidRPr="005D71A4">
              <w:rPr>
                <w:sz w:val="18"/>
                <w:szCs w:val="18"/>
              </w:rPr>
              <w:t>2 (93)</w:t>
            </w:r>
          </w:p>
        </w:tc>
        <w:tc>
          <w:tcPr>
            <w:tcW w:w="820" w:type="dxa"/>
          </w:tcPr>
          <w:p w14:paraId="517C2D9A" w14:textId="73062A24" w:rsidR="00E10994" w:rsidRPr="005D71A4" w:rsidRDefault="00E10994" w:rsidP="006B3FBB">
            <w:pPr>
              <w:pStyle w:val="051Tabletext228pt"/>
              <w:rPr>
                <w:sz w:val="18"/>
                <w:szCs w:val="18"/>
              </w:rPr>
            </w:pPr>
            <w:r w:rsidRPr="005D71A4">
              <w:rPr>
                <w:sz w:val="18"/>
                <w:szCs w:val="18"/>
              </w:rPr>
              <w:t>0</w:t>
            </w:r>
          </w:p>
        </w:tc>
      </w:tr>
      <w:tr w:rsidR="00852A44" w:rsidRPr="00B0485F" w14:paraId="52F51019" w14:textId="745531EF" w:rsidTr="00E76D0D">
        <w:tc>
          <w:tcPr>
            <w:tcW w:w="2070" w:type="dxa"/>
          </w:tcPr>
          <w:p w14:paraId="3DA08AAE" w14:textId="7C260DCD" w:rsidR="00E10994" w:rsidRPr="005D71A4" w:rsidRDefault="00E10994" w:rsidP="00EE44CC">
            <w:pPr>
              <w:pStyle w:val="031Tablesubheading8pt"/>
              <w:rPr>
                <w:sz w:val="18"/>
                <w:szCs w:val="18"/>
              </w:rPr>
            </w:pPr>
            <w:r w:rsidRPr="005D71A4">
              <w:rPr>
                <w:sz w:val="18"/>
                <w:szCs w:val="18"/>
              </w:rPr>
              <w:t>Fistula</w:t>
            </w:r>
          </w:p>
        </w:tc>
        <w:tc>
          <w:tcPr>
            <w:tcW w:w="1332" w:type="dxa"/>
          </w:tcPr>
          <w:p w14:paraId="47E51C8C" w14:textId="033B93A2" w:rsidR="00E10994" w:rsidRPr="005D71A4" w:rsidRDefault="00E10994" w:rsidP="00673693">
            <w:pPr>
              <w:pStyle w:val="051Tabletext228pt"/>
              <w:rPr>
                <w:sz w:val="18"/>
                <w:szCs w:val="18"/>
              </w:rPr>
            </w:pPr>
            <w:r w:rsidRPr="005D71A4">
              <w:rPr>
                <w:sz w:val="18"/>
                <w:szCs w:val="18"/>
              </w:rPr>
              <w:t>-</w:t>
            </w:r>
          </w:p>
        </w:tc>
        <w:tc>
          <w:tcPr>
            <w:tcW w:w="648" w:type="dxa"/>
          </w:tcPr>
          <w:p w14:paraId="4A389605" w14:textId="2813F821" w:rsidR="00E10994" w:rsidRPr="005D71A4" w:rsidRDefault="00E10994" w:rsidP="00673693">
            <w:pPr>
              <w:pStyle w:val="051Tabletext228pt"/>
              <w:rPr>
                <w:sz w:val="18"/>
                <w:szCs w:val="18"/>
              </w:rPr>
            </w:pPr>
            <w:r w:rsidRPr="005D71A4">
              <w:rPr>
                <w:sz w:val="18"/>
                <w:szCs w:val="18"/>
              </w:rPr>
              <w:t>-</w:t>
            </w:r>
          </w:p>
        </w:tc>
        <w:tc>
          <w:tcPr>
            <w:tcW w:w="1337" w:type="dxa"/>
          </w:tcPr>
          <w:p w14:paraId="508D4761" w14:textId="2122D9CA" w:rsidR="00E10994" w:rsidRPr="005D71A4" w:rsidRDefault="00E10994" w:rsidP="00673693">
            <w:pPr>
              <w:pStyle w:val="051Tabletext228pt"/>
              <w:rPr>
                <w:sz w:val="18"/>
                <w:szCs w:val="18"/>
              </w:rPr>
            </w:pPr>
            <w:r w:rsidRPr="005D71A4">
              <w:rPr>
                <w:sz w:val="18"/>
                <w:szCs w:val="18"/>
              </w:rPr>
              <w:t>-</w:t>
            </w:r>
          </w:p>
        </w:tc>
        <w:tc>
          <w:tcPr>
            <w:tcW w:w="643" w:type="dxa"/>
          </w:tcPr>
          <w:p w14:paraId="5D8E2CFC" w14:textId="02BD84FB" w:rsidR="00E10994" w:rsidRPr="005D71A4" w:rsidRDefault="00E10994" w:rsidP="00673693">
            <w:pPr>
              <w:pStyle w:val="051Tabletext228pt"/>
              <w:rPr>
                <w:sz w:val="18"/>
                <w:szCs w:val="18"/>
              </w:rPr>
            </w:pPr>
            <w:r w:rsidRPr="005D71A4">
              <w:rPr>
                <w:sz w:val="18"/>
                <w:szCs w:val="18"/>
              </w:rPr>
              <w:t>-</w:t>
            </w:r>
          </w:p>
        </w:tc>
        <w:tc>
          <w:tcPr>
            <w:tcW w:w="1483" w:type="dxa"/>
          </w:tcPr>
          <w:p w14:paraId="2C8B0971" w14:textId="3ED66D61" w:rsidR="00E10994" w:rsidRPr="005D71A4" w:rsidRDefault="00E10994" w:rsidP="006B3FBB">
            <w:pPr>
              <w:pStyle w:val="051Tabletext228pt"/>
              <w:rPr>
                <w:sz w:val="18"/>
                <w:szCs w:val="18"/>
              </w:rPr>
            </w:pPr>
            <w:r w:rsidRPr="005D71A4">
              <w:rPr>
                <w:sz w:val="18"/>
                <w:szCs w:val="18"/>
              </w:rPr>
              <w:t>1 (225)</w:t>
            </w:r>
          </w:p>
        </w:tc>
        <w:tc>
          <w:tcPr>
            <w:tcW w:w="677" w:type="dxa"/>
          </w:tcPr>
          <w:p w14:paraId="64816BD1" w14:textId="7EDA9117" w:rsidR="00E10994" w:rsidRPr="005D71A4" w:rsidRDefault="00E10994" w:rsidP="006B3FBB">
            <w:pPr>
              <w:pStyle w:val="051Tabletext228pt"/>
              <w:rPr>
                <w:sz w:val="18"/>
                <w:szCs w:val="18"/>
              </w:rPr>
            </w:pPr>
            <w:r w:rsidRPr="005D71A4">
              <w:rPr>
                <w:sz w:val="18"/>
                <w:szCs w:val="18"/>
              </w:rPr>
              <w:t>0.0</w:t>
            </w:r>
          </w:p>
        </w:tc>
        <w:tc>
          <w:tcPr>
            <w:tcW w:w="1591" w:type="dxa"/>
          </w:tcPr>
          <w:p w14:paraId="6E7C1E74" w14:textId="0E1869CE" w:rsidR="00E10994" w:rsidRPr="005D71A4" w:rsidRDefault="00E10994" w:rsidP="006B3FBB">
            <w:pPr>
              <w:pStyle w:val="051Tabletext228pt"/>
              <w:rPr>
                <w:sz w:val="18"/>
                <w:szCs w:val="18"/>
              </w:rPr>
            </w:pPr>
            <w:r w:rsidRPr="005D71A4">
              <w:rPr>
                <w:sz w:val="18"/>
                <w:szCs w:val="18"/>
              </w:rPr>
              <w:t>1 (145)</w:t>
            </w:r>
          </w:p>
        </w:tc>
        <w:tc>
          <w:tcPr>
            <w:tcW w:w="569" w:type="dxa"/>
          </w:tcPr>
          <w:p w14:paraId="25293E40" w14:textId="793BD243" w:rsidR="00E10994" w:rsidRPr="005D71A4" w:rsidRDefault="00E10994" w:rsidP="006B3FBB">
            <w:pPr>
              <w:pStyle w:val="051Tabletext228pt"/>
              <w:rPr>
                <w:sz w:val="18"/>
                <w:szCs w:val="18"/>
              </w:rPr>
            </w:pPr>
            <w:r w:rsidRPr="005D71A4">
              <w:rPr>
                <w:sz w:val="18"/>
                <w:szCs w:val="18"/>
              </w:rPr>
              <w:t>0.0</w:t>
            </w:r>
          </w:p>
        </w:tc>
        <w:tc>
          <w:tcPr>
            <w:tcW w:w="1557" w:type="dxa"/>
          </w:tcPr>
          <w:p w14:paraId="21FB22D6" w14:textId="662D1D2F" w:rsidR="00E10994" w:rsidRPr="005D71A4" w:rsidRDefault="00E10994" w:rsidP="006B3FBB">
            <w:pPr>
              <w:pStyle w:val="051Tabletext228pt"/>
              <w:rPr>
                <w:sz w:val="18"/>
                <w:szCs w:val="18"/>
              </w:rPr>
            </w:pPr>
            <w:r w:rsidRPr="005D71A4">
              <w:rPr>
                <w:sz w:val="18"/>
                <w:szCs w:val="18"/>
              </w:rPr>
              <w:t>-</w:t>
            </w:r>
          </w:p>
        </w:tc>
        <w:tc>
          <w:tcPr>
            <w:tcW w:w="601" w:type="dxa"/>
          </w:tcPr>
          <w:p w14:paraId="2D2A8E36" w14:textId="10333A64" w:rsidR="00E10994" w:rsidRPr="005D71A4" w:rsidRDefault="00E10994" w:rsidP="006B3FBB">
            <w:pPr>
              <w:pStyle w:val="051Tabletext228pt"/>
              <w:rPr>
                <w:sz w:val="18"/>
                <w:szCs w:val="18"/>
              </w:rPr>
            </w:pPr>
            <w:r w:rsidRPr="005D71A4">
              <w:rPr>
                <w:sz w:val="18"/>
                <w:szCs w:val="18"/>
              </w:rPr>
              <w:t>-</w:t>
            </w:r>
          </w:p>
        </w:tc>
        <w:tc>
          <w:tcPr>
            <w:tcW w:w="1242" w:type="dxa"/>
          </w:tcPr>
          <w:p w14:paraId="7FA0464E" w14:textId="29DE70F2" w:rsidR="00E10994" w:rsidRPr="005D71A4" w:rsidRDefault="00E10994" w:rsidP="006B3FBB">
            <w:pPr>
              <w:pStyle w:val="051Tabletext228pt"/>
              <w:rPr>
                <w:sz w:val="18"/>
                <w:szCs w:val="18"/>
              </w:rPr>
            </w:pPr>
            <w:r w:rsidRPr="005D71A4">
              <w:rPr>
                <w:sz w:val="18"/>
                <w:szCs w:val="18"/>
              </w:rPr>
              <w:t>-</w:t>
            </w:r>
          </w:p>
        </w:tc>
        <w:tc>
          <w:tcPr>
            <w:tcW w:w="820" w:type="dxa"/>
          </w:tcPr>
          <w:p w14:paraId="03698ED2" w14:textId="6B9FF992" w:rsidR="00E10994" w:rsidRPr="005D71A4" w:rsidRDefault="00E10994" w:rsidP="006B3FBB">
            <w:pPr>
              <w:pStyle w:val="051Tabletext228pt"/>
              <w:rPr>
                <w:sz w:val="18"/>
                <w:szCs w:val="18"/>
              </w:rPr>
            </w:pPr>
            <w:r w:rsidRPr="005D71A4">
              <w:rPr>
                <w:sz w:val="18"/>
                <w:szCs w:val="18"/>
              </w:rPr>
              <w:t>-</w:t>
            </w:r>
          </w:p>
        </w:tc>
      </w:tr>
      <w:tr w:rsidR="00852A44" w:rsidRPr="00B0485F" w14:paraId="67E6C18C" w14:textId="60F43093" w:rsidTr="00E76D0D">
        <w:tc>
          <w:tcPr>
            <w:tcW w:w="2070" w:type="dxa"/>
          </w:tcPr>
          <w:p w14:paraId="1E777596" w14:textId="117C4770" w:rsidR="00E10994" w:rsidRPr="005D71A4" w:rsidRDefault="00E10994" w:rsidP="00EE44CC">
            <w:pPr>
              <w:pStyle w:val="031Tablesubheading8pt"/>
              <w:rPr>
                <w:sz w:val="18"/>
                <w:szCs w:val="18"/>
              </w:rPr>
            </w:pPr>
            <w:r w:rsidRPr="005D71A4">
              <w:rPr>
                <w:sz w:val="18"/>
                <w:szCs w:val="18"/>
              </w:rPr>
              <w:t>Need for catheterisation</w:t>
            </w:r>
          </w:p>
        </w:tc>
        <w:tc>
          <w:tcPr>
            <w:tcW w:w="1332" w:type="dxa"/>
          </w:tcPr>
          <w:p w14:paraId="0F73227E" w14:textId="5FA1F84B" w:rsidR="00E10994" w:rsidRPr="005D71A4" w:rsidRDefault="00E10994" w:rsidP="00673693">
            <w:pPr>
              <w:pStyle w:val="051Tabletext228pt"/>
              <w:rPr>
                <w:sz w:val="18"/>
                <w:szCs w:val="18"/>
              </w:rPr>
            </w:pPr>
            <w:r w:rsidRPr="005D71A4">
              <w:rPr>
                <w:sz w:val="18"/>
                <w:szCs w:val="18"/>
              </w:rPr>
              <w:t>6 (997)</w:t>
            </w:r>
          </w:p>
        </w:tc>
        <w:tc>
          <w:tcPr>
            <w:tcW w:w="648" w:type="dxa"/>
          </w:tcPr>
          <w:p w14:paraId="60D9DDE6" w14:textId="73755245" w:rsidR="00E10994" w:rsidRPr="005D71A4" w:rsidRDefault="00E10994" w:rsidP="00673693">
            <w:pPr>
              <w:pStyle w:val="051Tabletext228pt"/>
              <w:rPr>
                <w:sz w:val="18"/>
                <w:szCs w:val="18"/>
              </w:rPr>
            </w:pPr>
            <w:r w:rsidRPr="005D71A4">
              <w:rPr>
                <w:sz w:val="18"/>
                <w:szCs w:val="18"/>
              </w:rPr>
              <w:t>2.5</w:t>
            </w:r>
          </w:p>
        </w:tc>
        <w:tc>
          <w:tcPr>
            <w:tcW w:w="1337" w:type="dxa"/>
          </w:tcPr>
          <w:p w14:paraId="627BE9C0" w14:textId="76E20FE2" w:rsidR="00E10994" w:rsidRPr="005D71A4" w:rsidRDefault="00E10994" w:rsidP="00673693">
            <w:pPr>
              <w:pStyle w:val="051Tabletext228pt"/>
              <w:rPr>
                <w:sz w:val="18"/>
                <w:szCs w:val="18"/>
              </w:rPr>
            </w:pPr>
            <w:r w:rsidRPr="005D71A4">
              <w:rPr>
                <w:sz w:val="18"/>
                <w:szCs w:val="18"/>
              </w:rPr>
              <w:t>-</w:t>
            </w:r>
          </w:p>
        </w:tc>
        <w:tc>
          <w:tcPr>
            <w:tcW w:w="643" w:type="dxa"/>
          </w:tcPr>
          <w:p w14:paraId="007B73D4" w14:textId="5B9E865C" w:rsidR="00E10994" w:rsidRPr="005D71A4" w:rsidRDefault="00E10994" w:rsidP="00673693">
            <w:pPr>
              <w:pStyle w:val="051Tabletext228pt"/>
              <w:rPr>
                <w:sz w:val="18"/>
                <w:szCs w:val="18"/>
              </w:rPr>
            </w:pPr>
            <w:r w:rsidRPr="005D71A4">
              <w:rPr>
                <w:sz w:val="18"/>
                <w:szCs w:val="18"/>
              </w:rPr>
              <w:t>-</w:t>
            </w:r>
          </w:p>
        </w:tc>
        <w:tc>
          <w:tcPr>
            <w:tcW w:w="1483" w:type="dxa"/>
          </w:tcPr>
          <w:p w14:paraId="61ABFB27" w14:textId="7023221A" w:rsidR="00E10994" w:rsidRPr="005D71A4" w:rsidRDefault="00E10994" w:rsidP="006B3FBB">
            <w:pPr>
              <w:pStyle w:val="051Tabletext228pt"/>
              <w:rPr>
                <w:sz w:val="18"/>
                <w:szCs w:val="18"/>
              </w:rPr>
            </w:pPr>
            <w:r w:rsidRPr="005D71A4">
              <w:rPr>
                <w:sz w:val="18"/>
                <w:szCs w:val="18"/>
              </w:rPr>
              <w:t>-</w:t>
            </w:r>
          </w:p>
        </w:tc>
        <w:tc>
          <w:tcPr>
            <w:tcW w:w="677" w:type="dxa"/>
          </w:tcPr>
          <w:p w14:paraId="5E4F3452" w14:textId="496FD239" w:rsidR="00E10994" w:rsidRPr="005D71A4" w:rsidRDefault="00E10994" w:rsidP="006B3FBB">
            <w:pPr>
              <w:pStyle w:val="051Tabletext228pt"/>
              <w:rPr>
                <w:sz w:val="18"/>
                <w:szCs w:val="18"/>
              </w:rPr>
            </w:pPr>
            <w:r w:rsidRPr="005D71A4">
              <w:rPr>
                <w:sz w:val="18"/>
                <w:szCs w:val="18"/>
              </w:rPr>
              <w:t>-</w:t>
            </w:r>
          </w:p>
        </w:tc>
        <w:tc>
          <w:tcPr>
            <w:tcW w:w="1591" w:type="dxa"/>
          </w:tcPr>
          <w:p w14:paraId="763D9665" w14:textId="61E0C28D" w:rsidR="00E10994" w:rsidRPr="005D71A4" w:rsidRDefault="00E10994" w:rsidP="006B3FBB">
            <w:pPr>
              <w:pStyle w:val="051Tabletext228pt"/>
              <w:rPr>
                <w:sz w:val="18"/>
                <w:szCs w:val="18"/>
              </w:rPr>
            </w:pPr>
            <w:r w:rsidRPr="005D71A4">
              <w:rPr>
                <w:sz w:val="18"/>
                <w:szCs w:val="18"/>
              </w:rPr>
              <w:t>-</w:t>
            </w:r>
          </w:p>
        </w:tc>
        <w:tc>
          <w:tcPr>
            <w:tcW w:w="569" w:type="dxa"/>
          </w:tcPr>
          <w:p w14:paraId="622CC894" w14:textId="09FF659B" w:rsidR="00E10994" w:rsidRPr="005D71A4" w:rsidRDefault="00E10994" w:rsidP="006B3FBB">
            <w:pPr>
              <w:pStyle w:val="051Tabletext228pt"/>
              <w:rPr>
                <w:sz w:val="18"/>
                <w:szCs w:val="18"/>
              </w:rPr>
            </w:pPr>
            <w:r w:rsidRPr="005D71A4">
              <w:rPr>
                <w:sz w:val="18"/>
                <w:szCs w:val="18"/>
              </w:rPr>
              <w:t>-</w:t>
            </w:r>
          </w:p>
        </w:tc>
        <w:tc>
          <w:tcPr>
            <w:tcW w:w="1557" w:type="dxa"/>
          </w:tcPr>
          <w:p w14:paraId="718F35AF" w14:textId="4B25D371" w:rsidR="00E10994" w:rsidRPr="005D71A4" w:rsidRDefault="00E10994" w:rsidP="006B3FBB">
            <w:pPr>
              <w:pStyle w:val="051Tabletext228pt"/>
              <w:rPr>
                <w:sz w:val="18"/>
                <w:szCs w:val="18"/>
              </w:rPr>
            </w:pPr>
            <w:r w:rsidRPr="005D71A4">
              <w:rPr>
                <w:sz w:val="18"/>
                <w:szCs w:val="18"/>
              </w:rPr>
              <w:t>2 (402)</w:t>
            </w:r>
          </w:p>
        </w:tc>
        <w:tc>
          <w:tcPr>
            <w:tcW w:w="601" w:type="dxa"/>
          </w:tcPr>
          <w:p w14:paraId="434E4666" w14:textId="0FCA65FC" w:rsidR="00E10994" w:rsidRPr="005D71A4" w:rsidRDefault="00E10994" w:rsidP="006B3FBB">
            <w:pPr>
              <w:pStyle w:val="051Tabletext228pt"/>
              <w:rPr>
                <w:sz w:val="18"/>
                <w:szCs w:val="18"/>
              </w:rPr>
            </w:pPr>
            <w:r w:rsidRPr="005D71A4">
              <w:rPr>
                <w:sz w:val="18"/>
                <w:szCs w:val="18"/>
              </w:rPr>
              <w:t>1.1</w:t>
            </w:r>
          </w:p>
        </w:tc>
        <w:tc>
          <w:tcPr>
            <w:tcW w:w="1242" w:type="dxa"/>
          </w:tcPr>
          <w:p w14:paraId="5A4FAFE9" w14:textId="4D6CE1E8" w:rsidR="00E10994" w:rsidRPr="005D71A4" w:rsidRDefault="00E10994" w:rsidP="006B3FBB">
            <w:pPr>
              <w:pStyle w:val="051Tabletext228pt"/>
              <w:rPr>
                <w:sz w:val="18"/>
                <w:szCs w:val="18"/>
              </w:rPr>
            </w:pPr>
            <w:r w:rsidRPr="005D71A4">
              <w:rPr>
                <w:sz w:val="18"/>
                <w:szCs w:val="18"/>
              </w:rPr>
              <w:t>2 (193)</w:t>
            </w:r>
          </w:p>
        </w:tc>
        <w:tc>
          <w:tcPr>
            <w:tcW w:w="820" w:type="dxa"/>
          </w:tcPr>
          <w:p w14:paraId="12F85B82" w14:textId="1DE60127" w:rsidR="00E10994" w:rsidRPr="005D71A4" w:rsidRDefault="00E10994" w:rsidP="006B3FBB">
            <w:pPr>
              <w:pStyle w:val="051Tabletext228pt"/>
              <w:rPr>
                <w:sz w:val="18"/>
                <w:szCs w:val="18"/>
              </w:rPr>
            </w:pPr>
            <w:r w:rsidRPr="005D71A4">
              <w:rPr>
                <w:sz w:val="18"/>
                <w:szCs w:val="18"/>
              </w:rPr>
              <w:t>3.6</w:t>
            </w:r>
          </w:p>
        </w:tc>
      </w:tr>
      <w:tr w:rsidR="00852A44" w:rsidRPr="00B0485F" w14:paraId="705F9A79" w14:textId="56702D97" w:rsidTr="00E76D0D">
        <w:tc>
          <w:tcPr>
            <w:tcW w:w="2070" w:type="dxa"/>
          </w:tcPr>
          <w:p w14:paraId="1A9C11B2" w14:textId="56B54F39" w:rsidR="00E10994" w:rsidRPr="005D71A4" w:rsidRDefault="00E10994" w:rsidP="00EE44CC">
            <w:pPr>
              <w:pStyle w:val="031Tablesubheading8pt"/>
              <w:rPr>
                <w:sz w:val="18"/>
                <w:szCs w:val="18"/>
              </w:rPr>
            </w:pPr>
            <w:r w:rsidRPr="005D71A4">
              <w:rPr>
                <w:sz w:val="18"/>
                <w:szCs w:val="18"/>
              </w:rPr>
              <w:t>Infection</w:t>
            </w:r>
          </w:p>
        </w:tc>
        <w:tc>
          <w:tcPr>
            <w:tcW w:w="1332" w:type="dxa"/>
          </w:tcPr>
          <w:p w14:paraId="69F26A4D" w14:textId="347385B8" w:rsidR="00E10994" w:rsidRPr="005D71A4" w:rsidRDefault="00E10994" w:rsidP="00673693">
            <w:pPr>
              <w:pStyle w:val="051Tabletext228pt"/>
              <w:rPr>
                <w:sz w:val="18"/>
                <w:szCs w:val="18"/>
              </w:rPr>
            </w:pPr>
            <w:r w:rsidRPr="005D71A4">
              <w:rPr>
                <w:sz w:val="18"/>
                <w:szCs w:val="18"/>
              </w:rPr>
              <w:t>11 (2424)</w:t>
            </w:r>
          </w:p>
        </w:tc>
        <w:tc>
          <w:tcPr>
            <w:tcW w:w="648" w:type="dxa"/>
          </w:tcPr>
          <w:p w14:paraId="48DB638E" w14:textId="29BF3DDC" w:rsidR="00E10994" w:rsidRPr="005D71A4" w:rsidRDefault="00E10994" w:rsidP="00673693">
            <w:pPr>
              <w:pStyle w:val="051Tabletext228pt"/>
              <w:rPr>
                <w:sz w:val="18"/>
                <w:szCs w:val="18"/>
              </w:rPr>
            </w:pPr>
            <w:r w:rsidRPr="005D71A4">
              <w:rPr>
                <w:sz w:val="18"/>
                <w:szCs w:val="18"/>
              </w:rPr>
              <w:t>8.4</w:t>
            </w:r>
          </w:p>
        </w:tc>
        <w:tc>
          <w:tcPr>
            <w:tcW w:w="1337" w:type="dxa"/>
          </w:tcPr>
          <w:p w14:paraId="725AE2E6" w14:textId="3ADB3B40" w:rsidR="00E10994" w:rsidRPr="005D71A4" w:rsidRDefault="00E10994" w:rsidP="00673693">
            <w:pPr>
              <w:pStyle w:val="051Tabletext228pt"/>
              <w:rPr>
                <w:sz w:val="18"/>
                <w:szCs w:val="18"/>
              </w:rPr>
            </w:pPr>
            <w:r w:rsidRPr="005D71A4">
              <w:rPr>
                <w:sz w:val="18"/>
                <w:szCs w:val="18"/>
              </w:rPr>
              <w:t>4 (468)</w:t>
            </w:r>
          </w:p>
        </w:tc>
        <w:tc>
          <w:tcPr>
            <w:tcW w:w="643" w:type="dxa"/>
          </w:tcPr>
          <w:p w14:paraId="43230CF4" w14:textId="76FD895D" w:rsidR="00E10994" w:rsidRPr="005D71A4" w:rsidRDefault="00E10994" w:rsidP="00673693">
            <w:pPr>
              <w:pStyle w:val="051Tabletext228pt"/>
              <w:rPr>
                <w:sz w:val="18"/>
                <w:szCs w:val="18"/>
              </w:rPr>
            </w:pPr>
            <w:r w:rsidRPr="005D71A4">
              <w:rPr>
                <w:sz w:val="18"/>
                <w:szCs w:val="18"/>
              </w:rPr>
              <w:t>3.4</w:t>
            </w:r>
          </w:p>
        </w:tc>
        <w:tc>
          <w:tcPr>
            <w:tcW w:w="1483" w:type="dxa"/>
          </w:tcPr>
          <w:p w14:paraId="6FE8358A" w14:textId="25A65629" w:rsidR="00E10994" w:rsidRPr="005D71A4" w:rsidRDefault="00E10994" w:rsidP="006B3FBB">
            <w:pPr>
              <w:pStyle w:val="051Tabletext228pt"/>
              <w:rPr>
                <w:sz w:val="18"/>
                <w:szCs w:val="18"/>
              </w:rPr>
            </w:pPr>
            <w:r w:rsidRPr="005D71A4">
              <w:rPr>
                <w:sz w:val="18"/>
                <w:szCs w:val="18"/>
              </w:rPr>
              <w:t>3 (526)</w:t>
            </w:r>
          </w:p>
        </w:tc>
        <w:tc>
          <w:tcPr>
            <w:tcW w:w="677" w:type="dxa"/>
          </w:tcPr>
          <w:p w14:paraId="2F1C172F" w14:textId="7E4C9E15" w:rsidR="00E10994" w:rsidRPr="005D71A4" w:rsidRDefault="00E10994" w:rsidP="006B3FBB">
            <w:pPr>
              <w:pStyle w:val="051Tabletext228pt"/>
              <w:rPr>
                <w:sz w:val="18"/>
                <w:szCs w:val="18"/>
              </w:rPr>
            </w:pPr>
            <w:r w:rsidRPr="005D71A4">
              <w:rPr>
                <w:sz w:val="18"/>
                <w:szCs w:val="18"/>
              </w:rPr>
              <w:t>5.5</w:t>
            </w:r>
          </w:p>
        </w:tc>
        <w:tc>
          <w:tcPr>
            <w:tcW w:w="1591" w:type="dxa"/>
          </w:tcPr>
          <w:p w14:paraId="45F5FC3E" w14:textId="26DD476D" w:rsidR="00E10994" w:rsidRPr="005D71A4" w:rsidRDefault="00E10994" w:rsidP="006B3FBB">
            <w:pPr>
              <w:pStyle w:val="051Tabletext228pt"/>
              <w:rPr>
                <w:sz w:val="18"/>
                <w:szCs w:val="18"/>
              </w:rPr>
            </w:pPr>
            <w:r w:rsidRPr="005D71A4">
              <w:rPr>
                <w:sz w:val="18"/>
                <w:szCs w:val="18"/>
              </w:rPr>
              <w:t>-</w:t>
            </w:r>
          </w:p>
        </w:tc>
        <w:tc>
          <w:tcPr>
            <w:tcW w:w="569" w:type="dxa"/>
          </w:tcPr>
          <w:p w14:paraId="100882E8" w14:textId="232A1440" w:rsidR="00E10994" w:rsidRPr="005D71A4" w:rsidRDefault="00E10994" w:rsidP="006B3FBB">
            <w:pPr>
              <w:pStyle w:val="051Tabletext228pt"/>
              <w:rPr>
                <w:sz w:val="18"/>
                <w:szCs w:val="18"/>
              </w:rPr>
            </w:pPr>
            <w:r w:rsidRPr="005D71A4">
              <w:rPr>
                <w:sz w:val="18"/>
                <w:szCs w:val="18"/>
              </w:rPr>
              <w:t>-</w:t>
            </w:r>
          </w:p>
        </w:tc>
        <w:tc>
          <w:tcPr>
            <w:tcW w:w="1557" w:type="dxa"/>
          </w:tcPr>
          <w:p w14:paraId="4A52A0B2" w14:textId="40DE7E84" w:rsidR="00E10994" w:rsidRPr="005D71A4" w:rsidRDefault="00E10994" w:rsidP="006B3FBB">
            <w:pPr>
              <w:pStyle w:val="051Tabletext228pt"/>
              <w:rPr>
                <w:sz w:val="18"/>
                <w:szCs w:val="18"/>
              </w:rPr>
            </w:pPr>
            <w:r w:rsidRPr="005D71A4">
              <w:rPr>
                <w:sz w:val="18"/>
                <w:szCs w:val="18"/>
              </w:rPr>
              <w:t>1 (374)</w:t>
            </w:r>
          </w:p>
        </w:tc>
        <w:tc>
          <w:tcPr>
            <w:tcW w:w="601" w:type="dxa"/>
          </w:tcPr>
          <w:p w14:paraId="2BFF3327" w14:textId="42C02534" w:rsidR="00E10994" w:rsidRPr="005D71A4" w:rsidRDefault="00E10994" w:rsidP="006B3FBB">
            <w:pPr>
              <w:pStyle w:val="051Tabletext228pt"/>
              <w:rPr>
                <w:sz w:val="18"/>
                <w:szCs w:val="18"/>
              </w:rPr>
            </w:pPr>
            <w:r w:rsidRPr="005D71A4">
              <w:rPr>
                <w:sz w:val="18"/>
                <w:szCs w:val="18"/>
              </w:rPr>
              <w:t>26.2</w:t>
            </w:r>
          </w:p>
        </w:tc>
        <w:tc>
          <w:tcPr>
            <w:tcW w:w="1242" w:type="dxa"/>
          </w:tcPr>
          <w:p w14:paraId="2380A956" w14:textId="6DB571F1" w:rsidR="00E10994" w:rsidRPr="005D71A4" w:rsidRDefault="00E10994" w:rsidP="006B3FBB">
            <w:pPr>
              <w:pStyle w:val="051Tabletext228pt"/>
              <w:rPr>
                <w:sz w:val="18"/>
                <w:szCs w:val="18"/>
              </w:rPr>
            </w:pPr>
            <w:r w:rsidRPr="005D71A4">
              <w:rPr>
                <w:sz w:val="18"/>
                <w:szCs w:val="18"/>
              </w:rPr>
              <w:t>1 (132)</w:t>
            </w:r>
          </w:p>
        </w:tc>
        <w:tc>
          <w:tcPr>
            <w:tcW w:w="820" w:type="dxa"/>
          </w:tcPr>
          <w:p w14:paraId="2891D5DF" w14:textId="2B067666" w:rsidR="00E10994" w:rsidRPr="005D71A4" w:rsidRDefault="00E10994" w:rsidP="006B3FBB">
            <w:pPr>
              <w:pStyle w:val="051Tabletext228pt"/>
              <w:rPr>
                <w:sz w:val="18"/>
                <w:szCs w:val="18"/>
              </w:rPr>
            </w:pPr>
            <w:r w:rsidRPr="005D71A4">
              <w:rPr>
                <w:sz w:val="18"/>
                <w:szCs w:val="18"/>
              </w:rPr>
              <w:t>6.1</w:t>
            </w:r>
          </w:p>
        </w:tc>
      </w:tr>
      <w:tr w:rsidR="00852A44" w:rsidRPr="00B0485F" w14:paraId="4ADF92AD" w14:textId="41C4841B" w:rsidTr="00E76D0D">
        <w:tc>
          <w:tcPr>
            <w:tcW w:w="2070" w:type="dxa"/>
          </w:tcPr>
          <w:p w14:paraId="1EB618BB" w14:textId="6604C7CE" w:rsidR="00E10994" w:rsidRPr="005D71A4" w:rsidRDefault="00E10994" w:rsidP="00EE44CC">
            <w:pPr>
              <w:pStyle w:val="031Tablesubheading8pt"/>
              <w:rPr>
                <w:sz w:val="18"/>
                <w:szCs w:val="18"/>
              </w:rPr>
            </w:pPr>
            <w:r w:rsidRPr="005D71A4">
              <w:rPr>
                <w:sz w:val="18"/>
                <w:szCs w:val="18"/>
              </w:rPr>
              <w:t>De novo urge incontinence</w:t>
            </w:r>
          </w:p>
        </w:tc>
        <w:tc>
          <w:tcPr>
            <w:tcW w:w="1332" w:type="dxa"/>
          </w:tcPr>
          <w:p w14:paraId="0F4105A9" w14:textId="70EB7F1B" w:rsidR="00E10994" w:rsidRPr="005D71A4" w:rsidRDefault="00E10994" w:rsidP="00673693">
            <w:pPr>
              <w:pStyle w:val="051Tabletext228pt"/>
              <w:rPr>
                <w:sz w:val="18"/>
                <w:szCs w:val="18"/>
              </w:rPr>
            </w:pPr>
            <w:r w:rsidRPr="005D71A4">
              <w:rPr>
                <w:sz w:val="18"/>
                <w:szCs w:val="18"/>
              </w:rPr>
              <w:t>12 (1409)</w:t>
            </w:r>
          </w:p>
        </w:tc>
        <w:tc>
          <w:tcPr>
            <w:tcW w:w="648" w:type="dxa"/>
          </w:tcPr>
          <w:p w14:paraId="53D03683" w14:textId="578D86A5" w:rsidR="00E10994" w:rsidRPr="005D71A4" w:rsidRDefault="00E10994" w:rsidP="00673693">
            <w:pPr>
              <w:pStyle w:val="051Tabletext228pt"/>
              <w:rPr>
                <w:sz w:val="18"/>
                <w:szCs w:val="18"/>
              </w:rPr>
            </w:pPr>
            <w:r w:rsidRPr="005D71A4">
              <w:rPr>
                <w:sz w:val="18"/>
                <w:szCs w:val="18"/>
              </w:rPr>
              <w:t>14.1</w:t>
            </w:r>
          </w:p>
        </w:tc>
        <w:tc>
          <w:tcPr>
            <w:tcW w:w="1337" w:type="dxa"/>
          </w:tcPr>
          <w:p w14:paraId="1A5BA646" w14:textId="638416EF" w:rsidR="00E10994" w:rsidRPr="005D71A4" w:rsidRDefault="00E10994" w:rsidP="00673693">
            <w:pPr>
              <w:pStyle w:val="051Tabletext228pt"/>
              <w:rPr>
                <w:sz w:val="18"/>
                <w:szCs w:val="18"/>
              </w:rPr>
            </w:pPr>
            <w:r w:rsidRPr="005D71A4">
              <w:rPr>
                <w:sz w:val="18"/>
                <w:szCs w:val="18"/>
              </w:rPr>
              <w:t>6 (851)</w:t>
            </w:r>
          </w:p>
        </w:tc>
        <w:tc>
          <w:tcPr>
            <w:tcW w:w="643" w:type="dxa"/>
          </w:tcPr>
          <w:p w14:paraId="43FE1A0C" w14:textId="19955C3D" w:rsidR="00E10994" w:rsidRPr="005D71A4" w:rsidRDefault="00E10994" w:rsidP="00673693">
            <w:pPr>
              <w:pStyle w:val="051Tabletext228pt"/>
              <w:rPr>
                <w:sz w:val="18"/>
                <w:szCs w:val="18"/>
              </w:rPr>
            </w:pPr>
            <w:r w:rsidRPr="005D71A4">
              <w:rPr>
                <w:sz w:val="18"/>
                <w:szCs w:val="18"/>
              </w:rPr>
              <w:t>8.7</w:t>
            </w:r>
          </w:p>
        </w:tc>
        <w:tc>
          <w:tcPr>
            <w:tcW w:w="1483" w:type="dxa"/>
          </w:tcPr>
          <w:p w14:paraId="41C39A77" w14:textId="34DE29B4" w:rsidR="00E10994" w:rsidRPr="005D71A4" w:rsidRDefault="00E10994" w:rsidP="006B3FBB">
            <w:pPr>
              <w:pStyle w:val="051Tabletext228pt"/>
              <w:rPr>
                <w:sz w:val="18"/>
                <w:szCs w:val="18"/>
              </w:rPr>
            </w:pPr>
            <w:r w:rsidRPr="005D71A4">
              <w:rPr>
                <w:sz w:val="18"/>
                <w:szCs w:val="18"/>
              </w:rPr>
              <w:t>1 (109)</w:t>
            </w:r>
          </w:p>
        </w:tc>
        <w:tc>
          <w:tcPr>
            <w:tcW w:w="677" w:type="dxa"/>
          </w:tcPr>
          <w:p w14:paraId="01087885" w14:textId="07FC9989" w:rsidR="00E10994" w:rsidRPr="005D71A4" w:rsidRDefault="00E10994" w:rsidP="006B3FBB">
            <w:pPr>
              <w:pStyle w:val="051Tabletext228pt"/>
              <w:rPr>
                <w:sz w:val="18"/>
                <w:szCs w:val="18"/>
              </w:rPr>
            </w:pPr>
            <w:r w:rsidRPr="005D71A4">
              <w:rPr>
                <w:sz w:val="18"/>
                <w:szCs w:val="18"/>
              </w:rPr>
              <w:t>7.3</w:t>
            </w:r>
          </w:p>
        </w:tc>
        <w:tc>
          <w:tcPr>
            <w:tcW w:w="1591" w:type="dxa"/>
          </w:tcPr>
          <w:p w14:paraId="3D41886C" w14:textId="009ABFB1" w:rsidR="00E10994" w:rsidRPr="005D71A4" w:rsidRDefault="00E10994" w:rsidP="006B3FBB">
            <w:pPr>
              <w:pStyle w:val="051Tabletext228pt"/>
              <w:rPr>
                <w:sz w:val="18"/>
                <w:szCs w:val="18"/>
              </w:rPr>
            </w:pPr>
            <w:r w:rsidRPr="005D71A4">
              <w:rPr>
                <w:sz w:val="18"/>
                <w:szCs w:val="18"/>
              </w:rPr>
              <w:t>-</w:t>
            </w:r>
          </w:p>
        </w:tc>
        <w:tc>
          <w:tcPr>
            <w:tcW w:w="569" w:type="dxa"/>
          </w:tcPr>
          <w:p w14:paraId="40E9AC83" w14:textId="02582782" w:rsidR="00E10994" w:rsidRPr="005D71A4" w:rsidRDefault="00E10994" w:rsidP="006B3FBB">
            <w:pPr>
              <w:pStyle w:val="051Tabletext228pt"/>
              <w:rPr>
                <w:sz w:val="18"/>
                <w:szCs w:val="18"/>
              </w:rPr>
            </w:pPr>
            <w:r w:rsidRPr="005D71A4">
              <w:rPr>
                <w:sz w:val="18"/>
                <w:szCs w:val="18"/>
              </w:rPr>
              <w:t>-</w:t>
            </w:r>
          </w:p>
        </w:tc>
        <w:tc>
          <w:tcPr>
            <w:tcW w:w="1557" w:type="dxa"/>
          </w:tcPr>
          <w:p w14:paraId="5B492956" w14:textId="5E5DDCE2" w:rsidR="00E10994" w:rsidRPr="005D71A4" w:rsidRDefault="00E10994" w:rsidP="006B3FBB">
            <w:pPr>
              <w:pStyle w:val="051Tabletext228pt"/>
              <w:rPr>
                <w:sz w:val="18"/>
                <w:szCs w:val="18"/>
              </w:rPr>
            </w:pPr>
            <w:r w:rsidRPr="005D71A4">
              <w:rPr>
                <w:sz w:val="18"/>
                <w:szCs w:val="18"/>
              </w:rPr>
              <w:t>1 (50)</w:t>
            </w:r>
          </w:p>
        </w:tc>
        <w:tc>
          <w:tcPr>
            <w:tcW w:w="601" w:type="dxa"/>
          </w:tcPr>
          <w:p w14:paraId="0FD54E23" w14:textId="399AC2B5" w:rsidR="00E10994" w:rsidRPr="005D71A4" w:rsidRDefault="00E10994" w:rsidP="006B3FBB">
            <w:pPr>
              <w:pStyle w:val="051Tabletext228pt"/>
              <w:rPr>
                <w:sz w:val="18"/>
                <w:szCs w:val="18"/>
              </w:rPr>
            </w:pPr>
            <w:r w:rsidRPr="005D71A4">
              <w:rPr>
                <w:sz w:val="18"/>
                <w:szCs w:val="18"/>
              </w:rPr>
              <w:t>4.0</w:t>
            </w:r>
          </w:p>
        </w:tc>
        <w:tc>
          <w:tcPr>
            <w:tcW w:w="1242" w:type="dxa"/>
          </w:tcPr>
          <w:p w14:paraId="50C5506D" w14:textId="1B1AEF7D" w:rsidR="00E10994" w:rsidRPr="005D71A4" w:rsidRDefault="00E10994" w:rsidP="006B3FBB">
            <w:pPr>
              <w:pStyle w:val="051Tabletext228pt"/>
              <w:rPr>
                <w:sz w:val="18"/>
                <w:szCs w:val="18"/>
              </w:rPr>
            </w:pPr>
            <w:r w:rsidRPr="005D71A4">
              <w:rPr>
                <w:sz w:val="18"/>
                <w:szCs w:val="18"/>
              </w:rPr>
              <w:t>1 (37)</w:t>
            </w:r>
          </w:p>
        </w:tc>
        <w:tc>
          <w:tcPr>
            <w:tcW w:w="820" w:type="dxa"/>
          </w:tcPr>
          <w:p w14:paraId="2B0CE676" w14:textId="7CD63F41" w:rsidR="00E10994" w:rsidRPr="005D71A4" w:rsidRDefault="00E10994" w:rsidP="006B3FBB">
            <w:pPr>
              <w:pStyle w:val="051Tabletext228pt"/>
              <w:rPr>
                <w:sz w:val="18"/>
                <w:szCs w:val="18"/>
              </w:rPr>
            </w:pPr>
            <w:r w:rsidRPr="005D71A4">
              <w:rPr>
                <w:sz w:val="18"/>
                <w:szCs w:val="18"/>
              </w:rPr>
              <w:t>8.1</w:t>
            </w:r>
          </w:p>
        </w:tc>
      </w:tr>
      <w:tr w:rsidR="00852A44" w:rsidRPr="00B0485F" w14:paraId="7B0A94C0" w14:textId="1742BE85" w:rsidTr="00E76D0D">
        <w:tc>
          <w:tcPr>
            <w:tcW w:w="2070" w:type="dxa"/>
          </w:tcPr>
          <w:p w14:paraId="0275C4C6" w14:textId="13ECC0DB" w:rsidR="00E10994" w:rsidRPr="005D71A4" w:rsidRDefault="00E10994" w:rsidP="00EE44CC">
            <w:pPr>
              <w:pStyle w:val="031Tablesubheading8pt"/>
              <w:rPr>
                <w:sz w:val="18"/>
                <w:szCs w:val="18"/>
              </w:rPr>
            </w:pPr>
            <w:r w:rsidRPr="005D71A4">
              <w:rPr>
                <w:sz w:val="18"/>
                <w:szCs w:val="18"/>
              </w:rPr>
              <w:t>De novo frequency</w:t>
            </w:r>
          </w:p>
        </w:tc>
        <w:tc>
          <w:tcPr>
            <w:tcW w:w="1332" w:type="dxa"/>
          </w:tcPr>
          <w:p w14:paraId="4463CF79" w14:textId="15FE6EAF" w:rsidR="00E10994" w:rsidRPr="005D71A4" w:rsidRDefault="00E10994" w:rsidP="00673693">
            <w:pPr>
              <w:pStyle w:val="051Tabletext228pt"/>
              <w:rPr>
                <w:sz w:val="18"/>
                <w:szCs w:val="18"/>
              </w:rPr>
            </w:pPr>
            <w:r w:rsidRPr="005D71A4">
              <w:rPr>
                <w:sz w:val="18"/>
                <w:szCs w:val="18"/>
              </w:rPr>
              <w:t>-</w:t>
            </w:r>
          </w:p>
        </w:tc>
        <w:tc>
          <w:tcPr>
            <w:tcW w:w="648" w:type="dxa"/>
          </w:tcPr>
          <w:p w14:paraId="72D9F805" w14:textId="6D1EDE1C" w:rsidR="00E10994" w:rsidRPr="005D71A4" w:rsidRDefault="00E10994" w:rsidP="00673693">
            <w:pPr>
              <w:pStyle w:val="051Tabletext228pt"/>
              <w:rPr>
                <w:sz w:val="18"/>
                <w:szCs w:val="18"/>
              </w:rPr>
            </w:pPr>
            <w:r w:rsidRPr="005D71A4">
              <w:rPr>
                <w:sz w:val="18"/>
                <w:szCs w:val="18"/>
              </w:rPr>
              <w:t>-</w:t>
            </w:r>
          </w:p>
        </w:tc>
        <w:tc>
          <w:tcPr>
            <w:tcW w:w="1337" w:type="dxa"/>
          </w:tcPr>
          <w:p w14:paraId="04E4F8A0" w14:textId="543BBB60" w:rsidR="00E10994" w:rsidRPr="005D71A4" w:rsidRDefault="00E10994" w:rsidP="00673693">
            <w:pPr>
              <w:pStyle w:val="051Tabletext228pt"/>
              <w:rPr>
                <w:sz w:val="18"/>
                <w:szCs w:val="18"/>
              </w:rPr>
            </w:pPr>
            <w:r w:rsidRPr="005D71A4">
              <w:rPr>
                <w:sz w:val="18"/>
                <w:szCs w:val="18"/>
              </w:rPr>
              <w:t>-</w:t>
            </w:r>
          </w:p>
        </w:tc>
        <w:tc>
          <w:tcPr>
            <w:tcW w:w="643" w:type="dxa"/>
          </w:tcPr>
          <w:p w14:paraId="34ADF46A" w14:textId="42BE3C90" w:rsidR="00E10994" w:rsidRPr="005D71A4" w:rsidRDefault="00E10994" w:rsidP="00673693">
            <w:pPr>
              <w:pStyle w:val="051Tabletext228pt"/>
              <w:rPr>
                <w:sz w:val="18"/>
                <w:szCs w:val="18"/>
              </w:rPr>
            </w:pPr>
            <w:r w:rsidRPr="005D71A4">
              <w:rPr>
                <w:sz w:val="18"/>
                <w:szCs w:val="18"/>
              </w:rPr>
              <w:t>-</w:t>
            </w:r>
          </w:p>
        </w:tc>
        <w:tc>
          <w:tcPr>
            <w:tcW w:w="1483" w:type="dxa"/>
          </w:tcPr>
          <w:p w14:paraId="7B026E89" w14:textId="79B745CE" w:rsidR="00E10994" w:rsidRPr="005D71A4" w:rsidRDefault="00E10994" w:rsidP="006B3FBB">
            <w:pPr>
              <w:pStyle w:val="051Tabletext228pt"/>
              <w:rPr>
                <w:sz w:val="18"/>
                <w:szCs w:val="18"/>
              </w:rPr>
            </w:pPr>
            <w:r w:rsidRPr="005D71A4">
              <w:rPr>
                <w:sz w:val="18"/>
                <w:szCs w:val="18"/>
              </w:rPr>
              <w:t>-</w:t>
            </w:r>
          </w:p>
        </w:tc>
        <w:tc>
          <w:tcPr>
            <w:tcW w:w="677" w:type="dxa"/>
          </w:tcPr>
          <w:p w14:paraId="005E48E5" w14:textId="53062E62" w:rsidR="00E10994" w:rsidRPr="005D71A4" w:rsidRDefault="00E10994" w:rsidP="006B3FBB">
            <w:pPr>
              <w:pStyle w:val="051Tabletext228pt"/>
              <w:rPr>
                <w:sz w:val="18"/>
                <w:szCs w:val="18"/>
              </w:rPr>
            </w:pPr>
            <w:r w:rsidRPr="005D71A4">
              <w:rPr>
                <w:sz w:val="18"/>
                <w:szCs w:val="18"/>
              </w:rPr>
              <w:t>-</w:t>
            </w:r>
          </w:p>
        </w:tc>
        <w:tc>
          <w:tcPr>
            <w:tcW w:w="1591" w:type="dxa"/>
          </w:tcPr>
          <w:p w14:paraId="360BC008" w14:textId="2F2E54A6" w:rsidR="00E10994" w:rsidRPr="005D71A4" w:rsidRDefault="00E10994" w:rsidP="006B3FBB">
            <w:pPr>
              <w:pStyle w:val="051Tabletext228pt"/>
              <w:rPr>
                <w:sz w:val="18"/>
                <w:szCs w:val="18"/>
              </w:rPr>
            </w:pPr>
            <w:r w:rsidRPr="005D71A4">
              <w:rPr>
                <w:sz w:val="18"/>
                <w:szCs w:val="18"/>
              </w:rPr>
              <w:t>-</w:t>
            </w:r>
          </w:p>
        </w:tc>
        <w:tc>
          <w:tcPr>
            <w:tcW w:w="569" w:type="dxa"/>
          </w:tcPr>
          <w:p w14:paraId="61D5858A" w14:textId="7820D8A7" w:rsidR="00E10994" w:rsidRPr="005D71A4" w:rsidRDefault="00E10994" w:rsidP="006B3FBB">
            <w:pPr>
              <w:pStyle w:val="051Tabletext228pt"/>
              <w:rPr>
                <w:sz w:val="18"/>
                <w:szCs w:val="18"/>
              </w:rPr>
            </w:pPr>
            <w:r w:rsidRPr="005D71A4">
              <w:rPr>
                <w:sz w:val="18"/>
                <w:szCs w:val="18"/>
              </w:rPr>
              <w:t>-</w:t>
            </w:r>
          </w:p>
        </w:tc>
        <w:tc>
          <w:tcPr>
            <w:tcW w:w="1557" w:type="dxa"/>
          </w:tcPr>
          <w:p w14:paraId="673B1E36" w14:textId="22A7CCF6" w:rsidR="00E10994" w:rsidRPr="005D71A4" w:rsidRDefault="00E10994" w:rsidP="006B3FBB">
            <w:pPr>
              <w:pStyle w:val="051Tabletext228pt"/>
              <w:rPr>
                <w:sz w:val="18"/>
                <w:szCs w:val="18"/>
              </w:rPr>
            </w:pPr>
            <w:r w:rsidRPr="005D71A4">
              <w:rPr>
                <w:sz w:val="18"/>
                <w:szCs w:val="18"/>
              </w:rPr>
              <w:t>1 (94)</w:t>
            </w:r>
          </w:p>
        </w:tc>
        <w:tc>
          <w:tcPr>
            <w:tcW w:w="601" w:type="dxa"/>
          </w:tcPr>
          <w:p w14:paraId="64888E8C" w14:textId="7764834E" w:rsidR="00E10994" w:rsidRPr="005D71A4" w:rsidRDefault="00E10994" w:rsidP="006B3FBB">
            <w:pPr>
              <w:pStyle w:val="051Tabletext228pt"/>
              <w:rPr>
                <w:sz w:val="18"/>
                <w:szCs w:val="18"/>
              </w:rPr>
            </w:pPr>
            <w:r w:rsidRPr="005D71A4">
              <w:rPr>
                <w:sz w:val="18"/>
                <w:szCs w:val="18"/>
              </w:rPr>
              <w:t>37.2</w:t>
            </w:r>
          </w:p>
        </w:tc>
        <w:tc>
          <w:tcPr>
            <w:tcW w:w="1242" w:type="dxa"/>
          </w:tcPr>
          <w:p w14:paraId="6A4E3247" w14:textId="57DE768A" w:rsidR="00E10994" w:rsidRPr="005D71A4" w:rsidRDefault="00E10994" w:rsidP="006B3FBB">
            <w:pPr>
              <w:pStyle w:val="051Tabletext228pt"/>
              <w:rPr>
                <w:sz w:val="18"/>
                <w:szCs w:val="18"/>
              </w:rPr>
            </w:pPr>
            <w:r w:rsidRPr="005D71A4">
              <w:rPr>
                <w:sz w:val="18"/>
                <w:szCs w:val="18"/>
              </w:rPr>
              <w:t>-</w:t>
            </w:r>
          </w:p>
        </w:tc>
        <w:tc>
          <w:tcPr>
            <w:tcW w:w="820" w:type="dxa"/>
          </w:tcPr>
          <w:p w14:paraId="7693A551" w14:textId="38B68AA7" w:rsidR="00E10994" w:rsidRPr="005D71A4" w:rsidRDefault="00E10994" w:rsidP="006B3FBB">
            <w:pPr>
              <w:pStyle w:val="051Tabletext228pt"/>
              <w:rPr>
                <w:sz w:val="18"/>
                <w:szCs w:val="18"/>
              </w:rPr>
            </w:pPr>
            <w:r w:rsidRPr="005D71A4">
              <w:rPr>
                <w:sz w:val="18"/>
                <w:szCs w:val="18"/>
              </w:rPr>
              <w:t>-</w:t>
            </w:r>
          </w:p>
        </w:tc>
      </w:tr>
      <w:tr w:rsidR="00852A44" w:rsidRPr="00B0485F" w14:paraId="1E165874" w14:textId="65A3A3BE" w:rsidTr="00E76D0D">
        <w:tc>
          <w:tcPr>
            <w:tcW w:w="2070" w:type="dxa"/>
          </w:tcPr>
          <w:p w14:paraId="03819AA5" w14:textId="4512FEA5" w:rsidR="00E10994" w:rsidRPr="005D71A4" w:rsidRDefault="00E10994" w:rsidP="00EE44CC">
            <w:pPr>
              <w:pStyle w:val="031Tablesubheading8pt"/>
              <w:rPr>
                <w:sz w:val="18"/>
                <w:szCs w:val="18"/>
              </w:rPr>
            </w:pPr>
            <w:r w:rsidRPr="005D71A4">
              <w:rPr>
                <w:sz w:val="18"/>
                <w:szCs w:val="18"/>
              </w:rPr>
              <w:t>De novo urgency</w:t>
            </w:r>
          </w:p>
        </w:tc>
        <w:tc>
          <w:tcPr>
            <w:tcW w:w="1332" w:type="dxa"/>
          </w:tcPr>
          <w:p w14:paraId="1BF1F6FD" w14:textId="3DE2308A" w:rsidR="00E10994" w:rsidRPr="005D71A4" w:rsidRDefault="00E10994" w:rsidP="00673693">
            <w:pPr>
              <w:pStyle w:val="051Tabletext228pt"/>
              <w:rPr>
                <w:sz w:val="18"/>
                <w:szCs w:val="18"/>
              </w:rPr>
            </w:pPr>
            <w:r w:rsidRPr="005D71A4">
              <w:rPr>
                <w:sz w:val="18"/>
                <w:szCs w:val="18"/>
              </w:rPr>
              <w:t>11 (1448)</w:t>
            </w:r>
          </w:p>
        </w:tc>
        <w:tc>
          <w:tcPr>
            <w:tcW w:w="648" w:type="dxa"/>
          </w:tcPr>
          <w:p w14:paraId="52C0D413" w14:textId="0BC7804C" w:rsidR="00E10994" w:rsidRPr="005D71A4" w:rsidRDefault="00E10994" w:rsidP="00673693">
            <w:pPr>
              <w:pStyle w:val="051Tabletext228pt"/>
              <w:rPr>
                <w:sz w:val="18"/>
                <w:szCs w:val="18"/>
              </w:rPr>
            </w:pPr>
            <w:r w:rsidRPr="005D71A4">
              <w:rPr>
                <w:sz w:val="18"/>
                <w:szCs w:val="18"/>
              </w:rPr>
              <w:t>13.7</w:t>
            </w:r>
          </w:p>
        </w:tc>
        <w:tc>
          <w:tcPr>
            <w:tcW w:w="1337" w:type="dxa"/>
          </w:tcPr>
          <w:p w14:paraId="7A2DB07D" w14:textId="7E11A3DA" w:rsidR="00E10994" w:rsidRPr="005D71A4" w:rsidRDefault="00E10994" w:rsidP="00673693">
            <w:pPr>
              <w:pStyle w:val="051Tabletext228pt"/>
              <w:rPr>
                <w:sz w:val="18"/>
                <w:szCs w:val="18"/>
              </w:rPr>
            </w:pPr>
            <w:r w:rsidRPr="005D71A4">
              <w:rPr>
                <w:sz w:val="18"/>
                <w:szCs w:val="18"/>
              </w:rPr>
              <w:t>2 (633)</w:t>
            </w:r>
          </w:p>
        </w:tc>
        <w:tc>
          <w:tcPr>
            <w:tcW w:w="643" w:type="dxa"/>
          </w:tcPr>
          <w:p w14:paraId="0D4D22E4" w14:textId="511B06B7" w:rsidR="00E10994" w:rsidRPr="005D71A4" w:rsidRDefault="00E10994" w:rsidP="00673693">
            <w:pPr>
              <w:pStyle w:val="051Tabletext228pt"/>
              <w:rPr>
                <w:sz w:val="18"/>
                <w:szCs w:val="18"/>
              </w:rPr>
            </w:pPr>
            <w:r w:rsidRPr="005D71A4">
              <w:rPr>
                <w:sz w:val="18"/>
                <w:szCs w:val="18"/>
              </w:rPr>
              <w:t>4.0</w:t>
            </w:r>
          </w:p>
        </w:tc>
        <w:tc>
          <w:tcPr>
            <w:tcW w:w="1483" w:type="dxa"/>
          </w:tcPr>
          <w:p w14:paraId="68160782" w14:textId="08BB97FC" w:rsidR="00E10994" w:rsidRPr="005D71A4" w:rsidRDefault="00E10994" w:rsidP="006B3FBB">
            <w:pPr>
              <w:pStyle w:val="051Tabletext228pt"/>
              <w:rPr>
                <w:sz w:val="18"/>
                <w:szCs w:val="18"/>
              </w:rPr>
            </w:pPr>
            <w:r w:rsidRPr="005D71A4">
              <w:rPr>
                <w:sz w:val="18"/>
                <w:szCs w:val="18"/>
              </w:rPr>
              <w:t>1 (109)</w:t>
            </w:r>
          </w:p>
        </w:tc>
        <w:tc>
          <w:tcPr>
            <w:tcW w:w="677" w:type="dxa"/>
          </w:tcPr>
          <w:p w14:paraId="135778D7" w14:textId="65EB4983" w:rsidR="00E10994" w:rsidRPr="005D71A4" w:rsidRDefault="00E10994" w:rsidP="006B3FBB">
            <w:pPr>
              <w:pStyle w:val="051Tabletext228pt"/>
              <w:rPr>
                <w:sz w:val="18"/>
                <w:szCs w:val="18"/>
              </w:rPr>
            </w:pPr>
            <w:r w:rsidRPr="005D71A4">
              <w:rPr>
                <w:sz w:val="18"/>
                <w:szCs w:val="18"/>
              </w:rPr>
              <w:t>8.3</w:t>
            </w:r>
          </w:p>
        </w:tc>
        <w:tc>
          <w:tcPr>
            <w:tcW w:w="1591" w:type="dxa"/>
          </w:tcPr>
          <w:p w14:paraId="26101B4C" w14:textId="21081CC0" w:rsidR="00E10994" w:rsidRPr="005D71A4" w:rsidRDefault="00E10994" w:rsidP="006B3FBB">
            <w:pPr>
              <w:pStyle w:val="051Tabletext228pt"/>
              <w:rPr>
                <w:sz w:val="18"/>
                <w:szCs w:val="18"/>
              </w:rPr>
            </w:pPr>
            <w:r w:rsidRPr="005D71A4">
              <w:rPr>
                <w:sz w:val="18"/>
                <w:szCs w:val="18"/>
              </w:rPr>
              <w:t>-</w:t>
            </w:r>
          </w:p>
        </w:tc>
        <w:tc>
          <w:tcPr>
            <w:tcW w:w="569" w:type="dxa"/>
          </w:tcPr>
          <w:p w14:paraId="18E52DE3" w14:textId="7317BD5E" w:rsidR="00E10994" w:rsidRPr="005D71A4" w:rsidRDefault="00E10994" w:rsidP="006B3FBB">
            <w:pPr>
              <w:pStyle w:val="051Tabletext228pt"/>
              <w:rPr>
                <w:sz w:val="18"/>
                <w:szCs w:val="18"/>
              </w:rPr>
            </w:pPr>
            <w:r w:rsidRPr="005D71A4">
              <w:rPr>
                <w:sz w:val="18"/>
                <w:szCs w:val="18"/>
              </w:rPr>
              <w:t>-</w:t>
            </w:r>
          </w:p>
        </w:tc>
        <w:tc>
          <w:tcPr>
            <w:tcW w:w="1557" w:type="dxa"/>
          </w:tcPr>
          <w:p w14:paraId="1B90A10E" w14:textId="673BB1FF" w:rsidR="00E10994" w:rsidRPr="005D71A4" w:rsidRDefault="00E10994" w:rsidP="006B3FBB">
            <w:pPr>
              <w:pStyle w:val="051Tabletext228pt"/>
              <w:rPr>
                <w:sz w:val="18"/>
                <w:szCs w:val="18"/>
              </w:rPr>
            </w:pPr>
            <w:r w:rsidRPr="005D71A4">
              <w:rPr>
                <w:sz w:val="18"/>
                <w:szCs w:val="18"/>
              </w:rPr>
              <w:t>1 (96)</w:t>
            </w:r>
          </w:p>
        </w:tc>
        <w:tc>
          <w:tcPr>
            <w:tcW w:w="601" w:type="dxa"/>
          </w:tcPr>
          <w:p w14:paraId="358C3FCF" w14:textId="5C71EEAD" w:rsidR="00E10994" w:rsidRPr="005D71A4" w:rsidRDefault="00E10994" w:rsidP="006B3FBB">
            <w:pPr>
              <w:pStyle w:val="051Tabletext228pt"/>
              <w:rPr>
                <w:sz w:val="18"/>
                <w:szCs w:val="18"/>
              </w:rPr>
            </w:pPr>
            <w:r w:rsidRPr="005D71A4">
              <w:rPr>
                <w:sz w:val="18"/>
                <w:szCs w:val="18"/>
              </w:rPr>
              <w:t>10.4</w:t>
            </w:r>
          </w:p>
        </w:tc>
        <w:tc>
          <w:tcPr>
            <w:tcW w:w="1242" w:type="dxa"/>
          </w:tcPr>
          <w:p w14:paraId="48C3F747" w14:textId="50682171" w:rsidR="00E10994" w:rsidRPr="005D71A4" w:rsidRDefault="00E10994" w:rsidP="006B3FBB">
            <w:pPr>
              <w:pStyle w:val="051Tabletext228pt"/>
              <w:rPr>
                <w:sz w:val="18"/>
                <w:szCs w:val="18"/>
              </w:rPr>
            </w:pPr>
            <w:r w:rsidRPr="005D71A4">
              <w:rPr>
                <w:sz w:val="18"/>
                <w:szCs w:val="18"/>
              </w:rPr>
              <w:t>2 (93)</w:t>
            </w:r>
          </w:p>
        </w:tc>
        <w:tc>
          <w:tcPr>
            <w:tcW w:w="820" w:type="dxa"/>
          </w:tcPr>
          <w:p w14:paraId="51CD9F24" w14:textId="186F71D2" w:rsidR="00E10994" w:rsidRPr="005D71A4" w:rsidRDefault="00E10994" w:rsidP="006B3FBB">
            <w:pPr>
              <w:pStyle w:val="051Tabletext228pt"/>
              <w:rPr>
                <w:sz w:val="18"/>
                <w:szCs w:val="18"/>
              </w:rPr>
            </w:pPr>
            <w:r w:rsidRPr="005D71A4">
              <w:rPr>
                <w:sz w:val="18"/>
                <w:szCs w:val="18"/>
              </w:rPr>
              <w:t>6.5</w:t>
            </w:r>
          </w:p>
        </w:tc>
      </w:tr>
      <w:tr w:rsidR="00852A44" w:rsidRPr="00B0485F" w14:paraId="5DA08DD5" w14:textId="28B58E81" w:rsidTr="00E76D0D">
        <w:tc>
          <w:tcPr>
            <w:tcW w:w="2070" w:type="dxa"/>
          </w:tcPr>
          <w:p w14:paraId="3217FF0E" w14:textId="6F40974F" w:rsidR="00E10994" w:rsidRPr="005D71A4" w:rsidRDefault="00E10994" w:rsidP="00EE44CC">
            <w:pPr>
              <w:pStyle w:val="031Tablesubheading8pt"/>
              <w:rPr>
                <w:sz w:val="18"/>
                <w:szCs w:val="18"/>
              </w:rPr>
            </w:pPr>
            <w:r w:rsidRPr="005D71A4">
              <w:rPr>
                <w:sz w:val="18"/>
                <w:szCs w:val="18"/>
              </w:rPr>
              <w:t>De novo nocturia</w:t>
            </w:r>
          </w:p>
        </w:tc>
        <w:tc>
          <w:tcPr>
            <w:tcW w:w="1332" w:type="dxa"/>
          </w:tcPr>
          <w:p w14:paraId="493355AD" w14:textId="7B0B9CD0" w:rsidR="00E10994" w:rsidRPr="005D71A4" w:rsidRDefault="00E10994" w:rsidP="00673693">
            <w:pPr>
              <w:pStyle w:val="051Tabletext228pt"/>
              <w:rPr>
                <w:sz w:val="18"/>
                <w:szCs w:val="18"/>
              </w:rPr>
            </w:pPr>
            <w:r w:rsidRPr="005D71A4">
              <w:rPr>
                <w:sz w:val="18"/>
                <w:szCs w:val="18"/>
              </w:rPr>
              <w:t>-</w:t>
            </w:r>
          </w:p>
        </w:tc>
        <w:tc>
          <w:tcPr>
            <w:tcW w:w="648" w:type="dxa"/>
          </w:tcPr>
          <w:p w14:paraId="189EA5E3" w14:textId="1A8B0FD5" w:rsidR="00E10994" w:rsidRPr="005D71A4" w:rsidRDefault="00E10994" w:rsidP="00673693">
            <w:pPr>
              <w:pStyle w:val="051Tabletext228pt"/>
              <w:rPr>
                <w:sz w:val="18"/>
                <w:szCs w:val="18"/>
              </w:rPr>
            </w:pPr>
            <w:r w:rsidRPr="005D71A4">
              <w:rPr>
                <w:sz w:val="18"/>
                <w:szCs w:val="18"/>
              </w:rPr>
              <w:t>-</w:t>
            </w:r>
          </w:p>
        </w:tc>
        <w:tc>
          <w:tcPr>
            <w:tcW w:w="1337" w:type="dxa"/>
          </w:tcPr>
          <w:p w14:paraId="5B1051B2" w14:textId="63EB20EA" w:rsidR="00E10994" w:rsidRPr="005D71A4" w:rsidRDefault="00E10994" w:rsidP="00673693">
            <w:pPr>
              <w:pStyle w:val="051Tabletext228pt"/>
              <w:rPr>
                <w:sz w:val="18"/>
                <w:szCs w:val="18"/>
              </w:rPr>
            </w:pPr>
            <w:r w:rsidRPr="005D71A4">
              <w:rPr>
                <w:sz w:val="18"/>
                <w:szCs w:val="18"/>
              </w:rPr>
              <w:t>-</w:t>
            </w:r>
          </w:p>
        </w:tc>
        <w:tc>
          <w:tcPr>
            <w:tcW w:w="643" w:type="dxa"/>
          </w:tcPr>
          <w:p w14:paraId="07A8C9EF" w14:textId="044264DA" w:rsidR="00E10994" w:rsidRPr="005D71A4" w:rsidRDefault="00E10994" w:rsidP="00673693">
            <w:pPr>
              <w:pStyle w:val="051Tabletext228pt"/>
              <w:rPr>
                <w:sz w:val="18"/>
                <w:szCs w:val="18"/>
              </w:rPr>
            </w:pPr>
            <w:r w:rsidRPr="005D71A4">
              <w:rPr>
                <w:sz w:val="18"/>
                <w:szCs w:val="18"/>
              </w:rPr>
              <w:t>-</w:t>
            </w:r>
          </w:p>
        </w:tc>
        <w:tc>
          <w:tcPr>
            <w:tcW w:w="1483" w:type="dxa"/>
          </w:tcPr>
          <w:p w14:paraId="346CD9AB" w14:textId="3C547C42" w:rsidR="00E10994" w:rsidRPr="005D71A4" w:rsidRDefault="00E10994" w:rsidP="006B3FBB">
            <w:pPr>
              <w:pStyle w:val="051Tabletext228pt"/>
              <w:rPr>
                <w:sz w:val="18"/>
                <w:szCs w:val="18"/>
              </w:rPr>
            </w:pPr>
            <w:r w:rsidRPr="005D71A4">
              <w:rPr>
                <w:sz w:val="18"/>
                <w:szCs w:val="18"/>
              </w:rPr>
              <w:t>-</w:t>
            </w:r>
          </w:p>
        </w:tc>
        <w:tc>
          <w:tcPr>
            <w:tcW w:w="677" w:type="dxa"/>
          </w:tcPr>
          <w:p w14:paraId="2C98A64F" w14:textId="14192BB4" w:rsidR="00E10994" w:rsidRPr="005D71A4" w:rsidRDefault="00E10994" w:rsidP="006B3FBB">
            <w:pPr>
              <w:pStyle w:val="051Tabletext228pt"/>
              <w:rPr>
                <w:sz w:val="18"/>
                <w:szCs w:val="18"/>
              </w:rPr>
            </w:pPr>
            <w:r w:rsidRPr="005D71A4">
              <w:rPr>
                <w:sz w:val="18"/>
                <w:szCs w:val="18"/>
              </w:rPr>
              <w:t>-</w:t>
            </w:r>
          </w:p>
        </w:tc>
        <w:tc>
          <w:tcPr>
            <w:tcW w:w="1591" w:type="dxa"/>
          </w:tcPr>
          <w:p w14:paraId="5EECD50D" w14:textId="24AE6199" w:rsidR="00E10994" w:rsidRPr="005D71A4" w:rsidRDefault="00E10994" w:rsidP="006B3FBB">
            <w:pPr>
              <w:pStyle w:val="051Tabletext228pt"/>
              <w:rPr>
                <w:sz w:val="18"/>
                <w:szCs w:val="18"/>
              </w:rPr>
            </w:pPr>
            <w:r w:rsidRPr="005D71A4">
              <w:rPr>
                <w:sz w:val="18"/>
                <w:szCs w:val="18"/>
              </w:rPr>
              <w:t>-</w:t>
            </w:r>
          </w:p>
        </w:tc>
        <w:tc>
          <w:tcPr>
            <w:tcW w:w="569" w:type="dxa"/>
          </w:tcPr>
          <w:p w14:paraId="645E1F9B" w14:textId="2D16F879" w:rsidR="00E10994" w:rsidRPr="005D71A4" w:rsidRDefault="00E10994" w:rsidP="006B3FBB">
            <w:pPr>
              <w:pStyle w:val="051Tabletext228pt"/>
              <w:rPr>
                <w:sz w:val="18"/>
                <w:szCs w:val="18"/>
              </w:rPr>
            </w:pPr>
            <w:r w:rsidRPr="005D71A4">
              <w:rPr>
                <w:sz w:val="18"/>
                <w:szCs w:val="18"/>
              </w:rPr>
              <w:t>-</w:t>
            </w:r>
          </w:p>
        </w:tc>
        <w:tc>
          <w:tcPr>
            <w:tcW w:w="1557" w:type="dxa"/>
          </w:tcPr>
          <w:p w14:paraId="741F10B3" w14:textId="4C4457FB" w:rsidR="00E10994" w:rsidRPr="005D71A4" w:rsidRDefault="00E10994" w:rsidP="006B3FBB">
            <w:pPr>
              <w:pStyle w:val="051Tabletext228pt"/>
              <w:rPr>
                <w:sz w:val="18"/>
                <w:szCs w:val="18"/>
              </w:rPr>
            </w:pPr>
            <w:r w:rsidRPr="005D71A4">
              <w:rPr>
                <w:sz w:val="18"/>
                <w:szCs w:val="18"/>
              </w:rPr>
              <w:t>1 (170)</w:t>
            </w:r>
          </w:p>
        </w:tc>
        <w:tc>
          <w:tcPr>
            <w:tcW w:w="601" w:type="dxa"/>
          </w:tcPr>
          <w:p w14:paraId="2F66D27A" w14:textId="7C1D1075" w:rsidR="00E10994" w:rsidRPr="005D71A4" w:rsidRDefault="00E10994" w:rsidP="006B3FBB">
            <w:pPr>
              <w:pStyle w:val="051Tabletext228pt"/>
              <w:rPr>
                <w:sz w:val="18"/>
                <w:szCs w:val="18"/>
              </w:rPr>
            </w:pPr>
            <w:r w:rsidRPr="005D71A4">
              <w:rPr>
                <w:sz w:val="18"/>
                <w:szCs w:val="18"/>
              </w:rPr>
              <w:t>11.8</w:t>
            </w:r>
          </w:p>
        </w:tc>
        <w:tc>
          <w:tcPr>
            <w:tcW w:w="1242" w:type="dxa"/>
          </w:tcPr>
          <w:p w14:paraId="4B08FB0F" w14:textId="5C0F9C9B" w:rsidR="00E10994" w:rsidRPr="005D71A4" w:rsidRDefault="00E10994" w:rsidP="006B3FBB">
            <w:pPr>
              <w:pStyle w:val="051Tabletext228pt"/>
              <w:rPr>
                <w:sz w:val="18"/>
                <w:szCs w:val="18"/>
              </w:rPr>
            </w:pPr>
            <w:r w:rsidRPr="005D71A4">
              <w:rPr>
                <w:sz w:val="18"/>
                <w:szCs w:val="18"/>
              </w:rPr>
              <w:t>-</w:t>
            </w:r>
          </w:p>
        </w:tc>
        <w:tc>
          <w:tcPr>
            <w:tcW w:w="820" w:type="dxa"/>
          </w:tcPr>
          <w:p w14:paraId="5828B3EB" w14:textId="06734DE2" w:rsidR="00E10994" w:rsidRPr="005D71A4" w:rsidRDefault="00E10994" w:rsidP="006B3FBB">
            <w:pPr>
              <w:pStyle w:val="051Tabletext228pt"/>
              <w:rPr>
                <w:sz w:val="18"/>
                <w:szCs w:val="18"/>
              </w:rPr>
            </w:pPr>
            <w:r w:rsidRPr="005D71A4">
              <w:rPr>
                <w:sz w:val="18"/>
                <w:szCs w:val="18"/>
              </w:rPr>
              <w:t>-</w:t>
            </w:r>
          </w:p>
        </w:tc>
      </w:tr>
      <w:tr w:rsidR="00852A44" w:rsidRPr="00B0485F" w14:paraId="69967B67" w14:textId="163B85B3" w:rsidTr="00E76D0D">
        <w:tc>
          <w:tcPr>
            <w:tcW w:w="2070" w:type="dxa"/>
          </w:tcPr>
          <w:p w14:paraId="5EB890C3" w14:textId="1BF9B14E" w:rsidR="00E10994" w:rsidRPr="005D71A4" w:rsidRDefault="00E10994" w:rsidP="00EE44CC">
            <w:pPr>
              <w:pStyle w:val="031Tablesubheading8pt"/>
              <w:rPr>
                <w:sz w:val="18"/>
                <w:szCs w:val="18"/>
              </w:rPr>
            </w:pPr>
            <w:r w:rsidRPr="005D71A4">
              <w:rPr>
                <w:sz w:val="18"/>
                <w:szCs w:val="18"/>
              </w:rPr>
              <w:t>POP occurrence</w:t>
            </w:r>
          </w:p>
        </w:tc>
        <w:tc>
          <w:tcPr>
            <w:tcW w:w="1332" w:type="dxa"/>
          </w:tcPr>
          <w:p w14:paraId="5C7C1BFE" w14:textId="6791883F" w:rsidR="00E10994" w:rsidRPr="005D71A4" w:rsidRDefault="00E10994" w:rsidP="00673693">
            <w:pPr>
              <w:pStyle w:val="051Tabletext228pt"/>
              <w:rPr>
                <w:sz w:val="18"/>
                <w:szCs w:val="18"/>
              </w:rPr>
            </w:pPr>
            <w:r w:rsidRPr="005D71A4">
              <w:rPr>
                <w:sz w:val="18"/>
                <w:szCs w:val="18"/>
              </w:rPr>
              <w:t>8 (638)</w:t>
            </w:r>
          </w:p>
        </w:tc>
        <w:tc>
          <w:tcPr>
            <w:tcW w:w="648" w:type="dxa"/>
          </w:tcPr>
          <w:p w14:paraId="7AE992D0" w14:textId="26D442B7" w:rsidR="00E10994" w:rsidRPr="005D71A4" w:rsidRDefault="00E10994" w:rsidP="00673693">
            <w:pPr>
              <w:pStyle w:val="051Tabletext228pt"/>
              <w:rPr>
                <w:sz w:val="18"/>
                <w:szCs w:val="18"/>
              </w:rPr>
            </w:pPr>
            <w:r w:rsidRPr="005D71A4">
              <w:rPr>
                <w:sz w:val="18"/>
                <w:szCs w:val="18"/>
              </w:rPr>
              <w:t>4.7</w:t>
            </w:r>
          </w:p>
        </w:tc>
        <w:tc>
          <w:tcPr>
            <w:tcW w:w="1337" w:type="dxa"/>
          </w:tcPr>
          <w:p w14:paraId="09503A99" w14:textId="53A7557B" w:rsidR="00E10994" w:rsidRPr="005D71A4" w:rsidRDefault="00E10994" w:rsidP="00673693">
            <w:pPr>
              <w:pStyle w:val="051Tabletext228pt"/>
              <w:rPr>
                <w:sz w:val="18"/>
                <w:szCs w:val="18"/>
              </w:rPr>
            </w:pPr>
            <w:r w:rsidRPr="005D71A4">
              <w:rPr>
                <w:sz w:val="18"/>
                <w:szCs w:val="18"/>
              </w:rPr>
              <w:t>2 (200)</w:t>
            </w:r>
          </w:p>
        </w:tc>
        <w:tc>
          <w:tcPr>
            <w:tcW w:w="643" w:type="dxa"/>
          </w:tcPr>
          <w:p w14:paraId="0C8F2FC9" w14:textId="3BFACBDA" w:rsidR="00E10994" w:rsidRPr="005D71A4" w:rsidRDefault="00E10994" w:rsidP="00673693">
            <w:pPr>
              <w:pStyle w:val="051Tabletext228pt"/>
              <w:rPr>
                <w:sz w:val="18"/>
                <w:szCs w:val="18"/>
              </w:rPr>
            </w:pPr>
            <w:r w:rsidRPr="005D71A4">
              <w:rPr>
                <w:sz w:val="18"/>
                <w:szCs w:val="18"/>
              </w:rPr>
              <w:t>0.5</w:t>
            </w:r>
          </w:p>
        </w:tc>
        <w:tc>
          <w:tcPr>
            <w:tcW w:w="1483" w:type="dxa"/>
          </w:tcPr>
          <w:p w14:paraId="3D08E703" w14:textId="286484DA" w:rsidR="00E10994" w:rsidRPr="005D71A4" w:rsidRDefault="00E10994" w:rsidP="006B3FBB">
            <w:pPr>
              <w:pStyle w:val="051Tabletext228pt"/>
              <w:rPr>
                <w:sz w:val="18"/>
                <w:szCs w:val="18"/>
              </w:rPr>
            </w:pPr>
            <w:r w:rsidRPr="005D71A4">
              <w:rPr>
                <w:sz w:val="18"/>
                <w:szCs w:val="18"/>
              </w:rPr>
              <w:t>1 (109)</w:t>
            </w:r>
          </w:p>
        </w:tc>
        <w:tc>
          <w:tcPr>
            <w:tcW w:w="677" w:type="dxa"/>
          </w:tcPr>
          <w:p w14:paraId="0D8472EF" w14:textId="6C18C442" w:rsidR="00E10994" w:rsidRPr="005D71A4" w:rsidRDefault="00E10994" w:rsidP="006B3FBB">
            <w:pPr>
              <w:pStyle w:val="051Tabletext228pt"/>
              <w:rPr>
                <w:sz w:val="18"/>
                <w:szCs w:val="18"/>
              </w:rPr>
            </w:pPr>
            <w:r w:rsidRPr="005D71A4">
              <w:rPr>
                <w:sz w:val="18"/>
                <w:szCs w:val="18"/>
              </w:rPr>
              <w:t>21.1</w:t>
            </w:r>
          </w:p>
        </w:tc>
        <w:tc>
          <w:tcPr>
            <w:tcW w:w="1591" w:type="dxa"/>
          </w:tcPr>
          <w:p w14:paraId="58E2286D" w14:textId="527EE0AD" w:rsidR="00E10994" w:rsidRPr="005D71A4" w:rsidRDefault="00E10994" w:rsidP="006B3FBB">
            <w:pPr>
              <w:pStyle w:val="051Tabletext228pt"/>
              <w:rPr>
                <w:sz w:val="18"/>
                <w:szCs w:val="18"/>
              </w:rPr>
            </w:pPr>
            <w:r w:rsidRPr="005D71A4">
              <w:rPr>
                <w:sz w:val="18"/>
                <w:szCs w:val="18"/>
              </w:rPr>
              <w:t>-</w:t>
            </w:r>
          </w:p>
        </w:tc>
        <w:tc>
          <w:tcPr>
            <w:tcW w:w="569" w:type="dxa"/>
          </w:tcPr>
          <w:p w14:paraId="4A564168" w14:textId="4A79A14A" w:rsidR="00E10994" w:rsidRPr="005D71A4" w:rsidRDefault="00E10994" w:rsidP="006B3FBB">
            <w:pPr>
              <w:pStyle w:val="051Tabletext228pt"/>
              <w:rPr>
                <w:sz w:val="18"/>
                <w:szCs w:val="18"/>
              </w:rPr>
            </w:pPr>
            <w:r w:rsidRPr="005D71A4">
              <w:rPr>
                <w:sz w:val="18"/>
                <w:szCs w:val="18"/>
              </w:rPr>
              <w:t>-</w:t>
            </w:r>
          </w:p>
        </w:tc>
        <w:tc>
          <w:tcPr>
            <w:tcW w:w="1557" w:type="dxa"/>
          </w:tcPr>
          <w:p w14:paraId="1B82934C" w14:textId="6BCF8FE8" w:rsidR="00E10994" w:rsidRPr="005D71A4" w:rsidRDefault="00E10994" w:rsidP="006B3FBB">
            <w:pPr>
              <w:pStyle w:val="051Tabletext228pt"/>
              <w:rPr>
                <w:sz w:val="18"/>
                <w:szCs w:val="18"/>
              </w:rPr>
            </w:pPr>
            <w:r w:rsidRPr="005D71A4">
              <w:rPr>
                <w:sz w:val="18"/>
                <w:szCs w:val="18"/>
              </w:rPr>
              <w:t>1 (50)</w:t>
            </w:r>
          </w:p>
        </w:tc>
        <w:tc>
          <w:tcPr>
            <w:tcW w:w="601" w:type="dxa"/>
          </w:tcPr>
          <w:p w14:paraId="4E64EBC1" w14:textId="6672D4BC" w:rsidR="00E10994" w:rsidRPr="005D71A4" w:rsidRDefault="00E10994" w:rsidP="006B3FBB">
            <w:pPr>
              <w:pStyle w:val="051Tabletext228pt"/>
              <w:rPr>
                <w:sz w:val="18"/>
                <w:szCs w:val="18"/>
              </w:rPr>
            </w:pPr>
            <w:r w:rsidRPr="005D71A4">
              <w:rPr>
                <w:sz w:val="18"/>
                <w:szCs w:val="18"/>
              </w:rPr>
              <w:t>4.0</w:t>
            </w:r>
          </w:p>
        </w:tc>
        <w:tc>
          <w:tcPr>
            <w:tcW w:w="1242" w:type="dxa"/>
          </w:tcPr>
          <w:p w14:paraId="0C3EB9EF" w14:textId="667EE250" w:rsidR="00E10994" w:rsidRPr="005D71A4" w:rsidRDefault="00E10994" w:rsidP="006B3FBB">
            <w:pPr>
              <w:pStyle w:val="051Tabletext228pt"/>
              <w:rPr>
                <w:sz w:val="18"/>
                <w:szCs w:val="18"/>
              </w:rPr>
            </w:pPr>
            <w:r w:rsidRPr="005D71A4">
              <w:rPr>
                <w:sz w:val="18"/>
                <w:szCs w:val="18"/>
              </w:rPr>
              <w:t>-</w:t>
            </w:r>
          </w:p>
        </w:tc>
        <w:tc>
          <w:tcPr>
            <w:tcW w:w="820" w:type="dxa"/>
          </w:tcPr>
          <w:p w14:paraId="0484DF00" w14:textId="6BCDED69" w:rsidR="00E10994" w:rsidRPr="005D71A4" w:rsidRDefault="00E10994" w:rsidP="006B3FBB">
            <w:pPr>
              <w:pStyle w:val="051Tabletext228pt"/>
              <w:rPr>
                <w:sz w:val="18"/>
                <w:szCs w:val="18"/>
              </w:rPr>
            </w:pPr>
            <w:r w:rsidRPr="005D71A4">
              <w:rPr>
                <w:sz w:val="18"/>
                <w:szCs w:val="18"/>
              </w:rPr>
              <w:t>-</w:t>
            </w:r>
          </w:p>
        </w:tc>
      </w:tr>
      <w:tr w:rsidR="00852A44" w:rsidRPr="00B0485F" w14:paraId="20FE7BEA" w14:textId="2A448D79" w:rsidTr="00E76D0D">
        <w:tc>
          <w:tcPr>
            <w:tcW w:w="2070" w:type="dxa"/>
          </w:tcPr>
          <w:p w14:paraId="7058FD68" w14:textId="5513BDB3" w:rsidR="00E10994" w:rsidRPr="005D71A4" w:rsidRDefault="00E10994" w:rsidP="00EE44CC">
            <w:pPr>
              <w:pStyle w:val="031Tablesubheading8pt"/>
              <w:rPr>
                <w:sz w:val="18"/>
                <w:szCs w:val="18"/>
              </w:rPr>
            </w:pPr>
            <w:r w:rsidRPr="005D71A4">
              <w:rPr>
                <w:sz w:val="18"/>
                <w:szCs w:val="18"/>
              </w:rPr>
              <w:t>Wound complications</w:t>
            </w:r>
          </w:p>
        </w:tc>
        <w:tc>
          <w:tcPr>
            <w:tcW w:w="1332" w:type="dxa"/>
          </w:tcPr>
          <w:p w14:paraId="0145B514" w14:textId="7512D9BE" w:rsidR="00E10994" w:rsidRPr="005D71A4" w:rsidRDefault="00E10994" w:rsidP="00673693">
            <w:pPr>
              <w:pStyle w:val="051Tabletext228pt"/>
              <w:rPr>
                <w:sz w:val="18"/>
                <w:szCs w:val="18"/>
              </w:rPr>
            </w:pPr>
            <w:r w:rsidRPr="005D71A4">
              <w:rPr>
                <w:sz w:val="18"/>
                <w:szCs w:val="18"/>
              </w:rPr>
              <w:t>-</w:t>
            </w:r>
          </w:p>
        </w:tc>
        <w:tc>
          <w:tcPr>
            <w:tcW w:w="648" w:type="dxa"/>
          </w:tcPr>
          <w:p w14:paraId="50663A7E" w14:textId="5B85D69D" w:rsidR="00E10994" w:rsidRPr="005D71A4" w:rsidRDefault="00E10994" w:rsidP="00673693">
            <w:pPr>
              <w:pStyle w:val="051Tabletext228pt"/>
              <w:rPr>
                <w:sz w:val="18"/>
                <w:szCs w:val="18"/>
              </w:rPr>
            </w:pPr>
            <w:r w:rsidRPr="005D71A4">
              <w:rPr>
                <w:sz w:val="18"/>
                <w:szCs w:val="18"/>
              </w:rPr>
              <w:t>-</w:t>
            </w:r>
          </w:p>
        </w:tc>
        <w:tc>
          <w:tcPr>
            <w:tcW w:w="1337" w:type="dxa"/>
          </w:tcPr>
          <w:p w14:paraId="4D7232E9" w14:textId="38873DBF" w:rsidR="00E10994" w:rsidRPr="005D71A4" w:rsidRDefault="00E10994" w:rsidP="00673693">
            <w:pPr>
              <w:pStyle w:val="051Tabletext228pt"/>
              <w:rPr>
                <w:sz w:val="18"/>
                <w:szCs w:val="18"/>
              </w:rPr>
            </w:pPr>
            <w:r w:rsidRPr="005D71A4">
              <w:rPr>
                <w:sz w:val="18"/>
                <w:szCs w:val="18"/>
              </w:rPr>
              <w:t>-</w:t>
            </w:r>
          </w:p>
        </w:tc>
        <w:tc>
          <w:tcPr>
            <w:tcW w:w="643" w:type="dxa"/>
          </w:tcPr>
          <w:p w14:paraId="73803E87" w14:textId="5C2995B3" w:rsidR="00E10994" w:rsidRPr="005D71A4" w:rsidRDefault="00E10994" w:rsidP="00673693">
            <w:pPr>
              <w:pStyle w:val="051Tabletext228pt"/>
              <w:rPr>
                <w:sz w:val="18"/>
                <w:szCs w:val="18"/>
              </w:rPr>
            </w:pPr>
            <w:r w:rsidRPr="005D71A4">
              <w:rPr>
                <w:sz w:val="18"/>
                <w:szCs w:val="18"/>
              </w:rPr>
              <w:t>-</w:t>
            </w:r>
          </w:p>
        </w:tc>
        <w:tc>
          <w:tcPr>
            <w:tcW w:w="1483" w:type="dxa"/>
          </w:tcPr>
          <w:p w14:paraId="7676985A" w14:textId="68865C21" w:rsidR="00E10994" w:rsidRPr="005D71A4" w:rsidRDefault="00E10994" w:rsidP="006B3FBB">
            <w:pPr>
              <w:pStyle w:val="051Tabletext228pt"/>
              <w:rPr>
                <w:sz w:val="18"/>
                <w:szCs w:val="18"/>
              </w:rPr>
            </w:pPr>
            <w:r w:rsidRPr="005D71A4">
              <w:rPr>
                <w:sz w:val="18"/>
                <w:szCs w:val="18"/>
              </w:rPr>
              <w:t>1 (225)</w:t>
            </w:r>
          </w:p>
        </w:tc>
        <w:tc>
          <w:tcPr>
            <w:tcW w:w="677" w:type="dxa"/>
          </w:tcPr>
          <w:p w14:paraId="66CFF94C" w14:textId="2C7DAD2E" w:rsidR="00E10994" w:rsidRPr="005D71A4" w:rsidRDefault="00E10994" w:rsidP="006B3FBB">
            <w:pPr>
              <w:pStyle w:val="051Tabletext228pt"/>
              <w:rPr>
                <w:sz w:val="18"/>
                <w:szCs w:val="18"/>
              </w:rPr>
            </w:pPr>
            <w:r w:rsidRPr="005D71A4">
              <w:rPr>
                <w:sz w:val="18"/>
                <w:szCs w:val="18"/>
              </w:rPr>
              <w:t>0.4</w:t>
            </w:r>
          </w:p>
        </w:tc>
        <w:tc>
          <w:tcPr>
            <w:tcW w:w="1591" w:type="dxa"/>
          </w:tcPr>
          <w:p w14:paraId="4A24F368" w14:textId="42D7118E" w:rsidR="00E10994" w:rsidRPr="005D71A4" w:rsidRDefault="00E10994" w:rsidP="006B3FBB">
            <w:pPr>
              <w:pStyle w:val="051Tabletext228pt"/>
              <w:rPr>
                <w:sz w:val="18"/>
                <w:szCs w:val="18"/>
              </w:rPr>
            </w:pPr>
            <w:r w:rsidRPr="005D71A4">
              <w:rPr>
                <w:sz w:val="18"/>
                <w:szCs w:val="18"/>
              </w:rPr>
              <w:t>-</w:t>
            </w:r>
          </w:p>
        </w:tc>
        <w:tc>
          <w:tcPr>
            <w:tcW w:w="569" w:type="dxa"/>
          </w:tcPr>
          <w:p w14:paraId="71C0889A" w14:textId="7922F9A5" w:rsidR="00E10994" w:rsidRPr="005D71A4" w:rsidRDefault="00E10994" w:rsidP="006B3FBB">
            <w:pPr>
              <w:pStyle w:val="051Tabletext228pt"/>
              <w:rPr>
                <w:sz w:val="18"/>
                <w:szCs w:val="18"/>
              </w:rPr>
            </w:pPr>
            <w:r w:rsidRPr="005D71A4">
              <w:rPr>
                <w:sz w:val="18"/>
                <w:szCs w:val="18"/>
              </w:rPr>
              <w:t>-</w:t>
            </w:r>
          </w:p>
        </w:tc>
        <w:tc>
          <w:tcPr>
            <w:tcW w:w="1557" w:type="dxa"/>
          </w:tcPr>
          <w:p w14:paraId="68024E15" w14:textId="7F5DFCDE" w:rsidR="00E10994" w:rsidRPr="005D71A4" w:rsidRDefault="00E10994" w:rsidP="006B3FBB">
            <w:pPr>
              <w:pStyle w:val="051Tabletext228pt"/>
              <w:rPr>
                <w:sz w:val="18"/>
                <w:szCs w:val="18"/>
              </w:rPr>
            </w:pPr>
            <w:r w:rsidRPr="005D71A4">
              <w:rPr>
                <w:sz w:val="18"/>
                <w:szCs w:val="18"/>
              </w:rPr>
              <w:t>-</w:t>
            </w:r>
          </w:p>
        </w:tc>
        <w:tc>
          <w:tcPr>
            <w:tcW w:w="601" w:type="dxa"/>
          </w:tcPr>
          <w:p w14:paraId="52D08776" w14:textId="42217EFA" w:rsidR="00E10994" w:rsidRPr="005D71A4" w:rsidRDefault="00E10994" w:rsidP="006B3FBB">
            <w:pPr>
              <w:pStyle w:val="051Tabletext228pt"/>
              <w:rPr>
                <w:sz w:val="18"/>
                <w:szCs w:val="18"/>
              </w:rPr>
            </w:pPr>
            <w:r w:rsidRPr="005D71A4">
              <w:rPr>
                <w:sz w:val="18"/>
                <w:szCs w:val="18"/>
              </w:rPr>
              <w:t>-</w:t>
            </w:r>
          </w:p>
        </w:tc>
        <w:tc>
          <w:tcPr>
            <w:tcW w:w="1242" w:type="dxa"/>
          </w:tcPr>
          <w:p w14:paraId="74B7848E" w14:textId="1A11061A" w:rsidR="00E10994" w:rsidRPr="005D71A4" w:rsidRDefault="00E10994" w:rsidP="006B3FBB">
            <w:pPr>
              <w:pStyle w:val="051Tabletext228pt"/>
              <w:rPr>
                <w:sz w:val="18"/>
                <w:szCs w:val="18"/>
              </w:rPr>
            </w:pPr>
            <w:r w:rsidRPr="005D71A4">
              <w:rPr>
                <w:sz w:val="18"/>
                <w:szCs w:val="18"/>
              </w:rPr>
              <w:t>-</w:t>
            </w:r>
          </w:p>
        </w:tc>
        <w:tc>
          <w:tcPr>
            <w:tcW w:w="820" w:type="dxa"/>
          </w:tcPr>
          <w:p w14:paraId="22F426C9" w14:textId="6D47B2BA" w:rsidR="00E10994" w:rsidRPr="005D71A4" w:rsidRDefault="00E10994" w:rsidP="006B3FBB">
            <w:pPr>
              <w:pStyle w:val="051Tabletext228pt"/>
              <w:rPr>
                <w:sz w:val="18"/>
                <w:szCs w:val="18"/>
              </w:rPr>
            </w:pPr>
            <w:r w:rsidRPr="005D71A4">
              <w:rPr>
                <w:sz w:val="18"/>
                <w:szCs w:val="18"/>
              </w:rPr>
              <w:t>-</w:t>
            </w:r>
          </w:p>
        </w:tc>
      </w:tr>
    </w:tbl>
    <w:p w14:paraId="5DF63B9B" w14:textId="7825471B" w:rsidR="00B34A50" w:rsidRDefault="00B03741" w:rsidP="002C4FA7">
      <w:pPr>
        <w:pStyle w:val="101Tablefootnotes8pt"/>
      </w:pPr>
      <w:r w:rsidRPr="00EC796F">
        <w:t xml:space="preserve">Source:  </w:t>
      </w:r>
      <w:r w:rsidR="00245CE2">
        <w:rPr>
          <w:noProof/>
        </w:rPr>
        <w:t>(NICE 2019b)</w:t>
      </w:r>
      <w:r w:rsidR="00EC796F" w:rsidRPr="00EC796F">
        <w:t xml:space="preserve"> </w:t>
      </w:r>
      <w:r w:rsidRPr="00EC796F">
        <w:t>Table 13</w:t>
      </w:r>
      <w:r w:rsidR="00EC796F" w:rsidRPr="00EC796F">
        <w:t>,</w:t>
      </w:r>
      <w:r w:rsidRPr="00EC796F">
        <w:t xml:space="preserve"> p</w:t>
      </w:r>
      <w:r w:rsidR="00E503A6" w:rsidRPr="00EC796F">
        <w:t>48</w:t>
      </w:r>
    </w:p>
    <w:p w14:paraId="68CB6FAB" w14:textId="409D2CFE" w:rsidR="002C4FA7" w:rsidRPr="002C4FA7" w:rsidRDefault="002C4FA7" w:rsidP="002C4FA7">
      <w:pPr>
        <w:pStyle w:val="111Tablefootnoteslast-nostick8pt"/>
      </w:pPr>
      <w:r>
        <w:t xml:space="preserve">Abbreviations: </w:t>
      </w:r>
      <w:r w:rsidR="006732F5">
        <w:t xml:space="preserve">No., number; </w:t>
      </w:r>
      <w:r w:rsidR="00351280">
        <w:t xml:space="preserve">POP, pelvic organ prolapse; </w:t>
      </w:r>
      <w:r w:rsidR="00863A52">
        <w:t xml:space="preserve">RP-MUS, retropubic mid-urethral sling; TO-MUS, </w:t>
      </w:r>
      <w:proofErr w:type="spellStart"/>
      <w:r w:rsidR="00863A52">
        <w:t>transobturator</w:t>
      </w:r>
      <w:proofErr w:type="spellEnd"/>
      <w:r w:rsidR="00863A52">
        <w:t xml:space="preserve"> mid-urethral </w:t>
      </w:r>
      <w:r w:rsidR="008C7615">
        <w:t>sling.</w:t>
      </w:r>
    </w:p>
    <w:p w14:paraId="684AEC4A" w14:textId="77777777" w:rsidR="00F239AF" w:rsidRDefault="00F239AF" w:rsidP="006F5A10">
      <w:pPr>
        <w:pStyle w:val="Heading3"/>
        <w:sectPr w:rsidR="00F239AF" w:rsidSect="003E0819">
          <w:pgSz w:w="16838" w:h="11906" w:orient="landscape"/>
          <w:pgMar w:top="1134" w:right="1134" w:bottom="1134" w:left="1134" w:header="850" w:footer="709" w:gutter="0"/>
          <w:cols w:space="708"/>
          <w:docGrid w:linePitch="360"/>
        </w:sectPr>
      </w:pPr>
    </w:p>
    <w:p w14:paraId="7FA82313" w14:textId="2DC43C35" w:rsidR="006F5A10" w:rsidRDefault="0015008D" w:rsidP="006F5A10">
      <w:pPr>
        <w:pStyle w:val="Heading3"/>
      </w:pPr>
      <w:bookmarkStart w:id="75" w:name="_Toc165627826"/>
      <w:r>
        <w:lastRenderedPageBreak/>
        <w:t>Primary studies</w:t>
      </w:r>
      <w:bookmarkEnd w:id="75"/>
    </w:p>
    <w:p w14:paraId="293396EE" w14:textId="4200F205" w:rsidR="0074418E" w:rsidRPr="0074418E" w:rsidRDefault="0074418E" w:rsidP="0074418E">
      <w:pPr>
        <w:pStyle w:val="BodyText"/>
      </w:pPr>
      <w:r>
        <w:t>Two primary studies reporting on long-term complications</w:t>
      </w:r>
      <w:r w:rsidR="00897244">
        <w:t xml:space="preserve"> were identified through stakeholder feedback. </w:t>
      </w:r>
    </w:p>
    <w:p w14:paraId="3096826D" w14:textId="25D3B219" w:rsidR="00044E39" w:rsidRDefault="00C12E1F" w:rsidP="0074418E">
      <w:pPr>
        <w:pStyle w:val="BodyText"/>
      </w:pPr>
      <w:r>
        <w:t>Karmakar</w:t>
      </w:r>
      <w:r w:rsidR="004425D8">
        <w:t xml:space="preserve"> and colleagues</w:t>
      </w:r>
      <w:r w:rsidR="006A200C">
        <w:t xml:space="preserve"> from </w:t>
      </w:r>
      <w:r w:rsidR="00152B4D">
        <w:t>the Department of Urogynaecology</w:t>
      </w:r>
      <w:r w:rsidR="00B86641">
        <w:t xml:space="preserve"> at</w:t>
      </w:r>
      <w:r w:rsidR="00152B4D">
        <w:t xml:space="preserve"> </w:t>
      </w:r>
      <w:r w:rsidR="006A200C">
        <w:t>Mercy Health</w:t>
      </w:r>
      <w:r w:rsidR="00152B4D">
        <w:t xml:space="preserve">, </w:t>
      </w:r>
      <w:r w:rsidR="00B86641">
        <w:t>Melbourne,</w:t>
      </w:r>
      <w:r>
        <w:t xml:space="preserve"> conducted</w:t>
      </w:r>
      <w:r w:rsidR="00F95BF1">
        <w:t xml:space="preserve"> a matched </w:t>
      </w:r>
      <w:r w:rsidR="00733582">
        <w:t xml:space="preserve">(1:3) </w:t>
      </w:r>
      <w:r w:rsidR="00F95BF1">
        <w:t xml:space="preserve">cohort study of </w:t>
      </w:r>
      <w:r w:rsidR="00EC362A">
        <w:t xml:space="preserve">1344 women </w:t>
      </w:r>
      <w:r w:rsidR="00DD3C22">
        <w:t xml:space="preserve">who underwent </w:t>
      </w:r>
      <w:r w:rsidR="0092734B">
        <w:t xml:space="preserve">Burch </w:t>
      </w:r>
      <w:proofErr w:type="spellStart"/>
      <w:r w:rsidR="0092734B">
        <w:t>colposuspension</w:t>
      </w:r>
      <w:proofErr w:type="spellEnd"/>
      <w:r w:rsidR="0092734B">
        <w:t xml:space="preserve"> </w:t>
      </w:r>
      <w:r w:rsidR="00965FE1">
        <w:t>(n=</w:t>
      </w:r>
      <w:r w:rsidR="00B85AB7">
        <w:t xml:space="preserve">336) </w:t>
      </w:r>
      <w:r w:rsidR="0092734B">
        <w:t>or RP-MUS</w:t>
      </w:r>
      <w:r w:rsidR="00B85AB7">
        <w:t xml:space="preserve"> (n=</w:t>
      </w:r>
      <w:r w:rsidR="00B80F97">
        <w:t>1,008)</w:t>
      </w:r>
      <w:r w:rsidR="005D37DC">
        <w:t xml:space="preserve"> for the treatment of SUI</w:t>
      </w:r>
      <w:r w:rsidR="004425D8">
        <w:t xml:space="preserve"> </w:t>
      </w:r>
      <w:r w:rsidR="00245CE2">
        <w:rPr>
          <w:noProof/>
        </w:rPr>
        <w:t>(Karmakar 2021)</w:t>
      </w:r>
      <w:r w:rsidR="005D37DC">
        <w:t xml:space="preserve">. </w:t>
      </w:r>
      <w:r w:rsidR="00030924">
        <w:t xml:space="preserve">Mean follow-up was 13.1 years for the Burch </w:t>
      </w:r>
      <w:proofErr w:type="spellStart"/>
      <w:r w:rsidR="00030924">
        <w:t>colposuspension</w:t>
      </w:r>
      <w:proofErr w:type="spellEnd"/>
      <w:r w:rsidR="00030924">
        <w:t xml:space="preserve"> group and </w:t>
      </w:r>
      <w:r w:rsidR="009D4CA6">
        <w:t xml:space="preserve">10.1 years for the RP-MUS group. </w:t>
      </w:r>
      <w:r w:rsidR="001D73BD">
        <w:t xml:space="preserve">The study reported </w:t>
      </w:r>
      <w:r w:rsidR="00996F4F">
        <w:t xml:space="preserve">similar rates of long-term complications for both procedures, </w:t>
      </w:r>
      <w:r w:rsidR="00E7517C">
        <w:t>except for</w:t>
      </w:r>
      <w:r w:rsidR="00996F4F">
        <w:t xml:space="preserve"> </w:t>
      </w:r>
      <w:r w:rsidR="0008619D">
        <w:t xml:space="preserve">the requirement for </w:t>
      </w:r>
      <w:r w:rsidR="00F45666">
        <w:t>prolapse surgery</w:t>
      </w:r>
      <w:r w:rsidR="0046435E">
        <w:t xml:space="preserve"> during follow-up</w:t>
      </w:r>
      <w:r w:rsidR="00EF0420">
        <w:t>,</w:t>
      </w:r>
      <w:r w:rsidR="00B93AFB">
        <w:t xml:space="preserve"> </w:t>
      </w:r>
      <w:r w:rsidR="00585A94">
        <w:t xml:space="preserve">which was higher in the Burch </w:t>
      </w:r>
      <w:proofErr w:type="spellStart"/>
      <w:r w:rsidR="00585A94">
        <w:t>colposuspension</w:t>
      </w:r>
      <w:proofErr w:type="spellEnd"/>
      <w:r w:rsidR="00585A94">
        <w:t xml:space="preserve"> group </w:t>
      </w:r>
      <w:r w:rsidR="00B93AFB">
        <w:t xml:space="preserve">(3.3% </w:t>
      </w:r>
      <w:r w:rsidR="00C037BD">
        <w:t>vs</w:t>
      </w:r>
      <w:r w:rsidR="0059607E">
        <w:t xml:space="preserve">. </w:t>
      </w:r>
      <w:r w:rsidR="007168FE">
        <w:t>1.1%</w:t>
      </w:r>
      <w:r w:rsidR="00C037BD">
        <w:t>,</w:t>
      </w:r>
      <w:r w:rsidR="007168FE">
        <w:t xml:space="preserve"> p=0.01). </w:t>
      </w:r>
      <w:r w:rsidR="00AE51AE">
        <w:t>The mesh exposure rate in the RP-MUS group was 1.0%</w:t>
      </w:r>
      <w:r w:rsidR="00EB5267">
        <w:t xml:space="preserve"> (n=10)</w:t>
      </w:r>
      <w:r w:rsidR="00276E28">
        <w:t>.</w:t>
      </w:r>
      <w:r w:rsidR="00C97ACE">
        <w:t xml:space="preserve"> Of the 10 women with mesh exposure, </w:t>
      </w:r>
      <w:r w:rsidR="00590C20">
        <w:t xml:space="preserve">4 required </w:t>
      </w:r>
      <w:proofErr w:type="gramStart"/>
      <w:r w:rsidR="00590C20">
        <w:t>excision</w:t>
      </w:r>
      <w:proofErr w:type="gramEnd"/>
      <w:r w:rsidR="00590C20">
        <w:t xml:space="preserve"> of the </w:t>
      </w:r>
      <w:r w:rsidR="00853279">
        <w:t xml:space="preserve">vaginal portion of the MUS. </w:t>
      </w:r>
      <w:r w:rsidR="00F21B06">
        <w:t xml:space="preserve">Five patients </w:t>
      </w:r>
      <w:r w:rsidR="00837915">
        <w:t xml:space="preserve">(n=2 in Burch </w:t>
      </w:r>
      <w:proofErr w:type="spellStart"/>
      <w:r w:rsidR="00837915">
        <w:t>colposuspension</w:t>
      </w:r>
      <w:proofErr w:type="spellEnd"/>
      <w:r w:rsidR="00837915">
        <w:t xml:space="preserve"> group, n=3 in RP-MUS group)</w:t>
      </w:r>
      <w:r w:rsidR="00F21B06">
        <w:t xml:space="preserve"> reported </w:t>
      </w:r>
      <w:r w:rsidR="00654688">
        <w:t>long-standing pain (</w:t>
      </w:r>
      <w:r w:rsidR="00654688">
        <w:rPr>
          <w:rFonts w:cs="Calibri"/>
        </w:rPr>
        <w:t xml:space="preserve">≥ </w:t>
      </w:r>
      <w:r w:rsidR="00654688">
        <w:t>6 months post-operatively)</w:t>
      </w:r>
      <w:r w:rsidR="00FA2890">
        <w:t xml:space="preserve">, which was </w:t>
      </w:r>
      <w:r w:rsidR="00007B32">
        <w:t xml:space="preserve">therefore </w:t>
      </w:r>
      <w:r w:rsidR="00D75121">
        <w:t>considered a rare outcome by the authors (0.4%)</w:t>
      </w:r>
      <w:r w:rsidR="00251714">
        <w:t>.</w:t>
      </w:r>
    </w:p>
    <w:p w14:paraId="41219101" w14:textId="6E8E6DEC" w:rsidR="0008370B" w:rsidRDefault="00044E39" w:rsidP="0074418E">
      <w:pPr>
        <w:pStyle w:val="BodyText"/>
      </w:pPr>
      <w:r>
        <w:t xml:space="preserve">Chughtai </w:t>
      </w:r>
      <w:r w:rsidR="00693316">
        <w:t>and colleagues</w:t>
      </w:r>
      <w:r>
        <w:t xml:space="preserve"> </w:t>
      </w:r>
      <w:r w:rsidR="00124202">
        <w:t>reported on long-terms risks</w:t>
      </w:r>
      <w:r w:rsidR="00716252">
        <w:t xml:space="preserve"> </w:t>
      </w:r>
      <w:r w:rsidR="007B6E78">
        <w:t>following MU</w:t>
      </w:r>
      <w:r w:rsidR="007A7361">
        <w:t>S</w:t>
      </w:r>
      <w:r w:rsidR="00B84B18">
        <w:t xml:space="preserve"> procedure</w:t>
      </w:r>
      <w:r w:rsidR="00E41775">
        <w:t xml:space="preserve"> for SUI</w:t>
      </w:r>
      <w:r w:rsidR="00B84B18">
        <w:t xml:space="preserve"> in a </w:t>
      </w:r>
      <w:r w:rsidR="00E6797D">
        <w:t xml:space="preserve">retrospective </w:t>
      </w:r>
      <w:r w:rsidR="00B84B18">
        <w:t xml:space="preserve">cohort </w:t>
      </w:r>
      <w:r w:rsidR="00E6797D">
        <w:t xml:space="preserve">study </w:t>
      </w:r>
      <w:r w:rsidR="00B84B18">
        <w:t xml:space="preserve">of </w:t>
      </w:r>
      <w:r w:rsidR="00833F71">
        <w:t>36,195 women</w:t>
      </w:r>
      <w:r w:rsidR="00744811">
        <w:t xml:space="preserve"> in the United States</w:t>
      </w:r>
      <w:r w:rsidR="00693316">
        <w:t xml:space="preserve"> </w:t>
      </w:r>
      <w:r w:rsidR="00245CE2">
        <w:rPr>
          <w:noProof/>
        </w:rPr>
        <w:t>(Chughtai 2021)</w:t>
      </w:r>
      <w:r w:rsidR="007A7361">
        <w:t>.</w:t>
      </w:r>
      <w:r w:rsidR="00B84B18">
        <w:t xml:space="preserve"> </w:t>
      </w:r>
      <w:r w:rsidR="007A04F9">
        <w:t>Of the total cohort, 76.8% had isolated MUS procedures</w:t>
      </w:r>
      <w:r w:rsidR="00BC32F3">
        <w:t>, 20.1% had</w:t>
      </w:r>
      <w:r w:rsidR="007A04F9">
        <w:t xml:space="preserve"> </w:t>
      </w:r>
      <w:r w:rsidR="00652C4D">
        <w:t xml:space="preserve">MUS and concurrent </w:t>
      </w:r>
      <w:r w:rsidR="00F15C28">
        <w:t>transvaginal POP repair</w:t>
      </w:r>
      <w:r w:rsidR="001A6CE0">
        <w:t xml:space="preserve"> with native tissue</w:t>
      </w:r>
      <w:r w:rsidR="00005D6A">
        <w:t>,</w:t>
      </w:r>
      <w:r w:rsidR="001A6CE0">
        <w:t xml:space="preserve"> and </w:t>
      </w:r>
      <w:r w:rsidR="00A5159A">
        <w:t>3.2% had</w:t>
      </w:r>
      <w:r w:rsidR="007A7361">
        <w:t xml:space="preserve"> </w:t>
      </w:r>
      <w:r w:rsidR="009946D5">
        <w:t xml:space="preserve">MUS and concurrent </w:t>
      </w:r>
      <w:r w:rsidR="0046073E">
        <w:t xml:space="preserve">abdominal POP repair. </w:t>
      </w:r>
      <w:r w:rsidR="009A481F">
        <w:t>Median follow-up was 4.8 years</w:t>
      </w:r>
      <w:r w:rsidR="00CF458D">
        <w:t>, and Kaplan-Mei</w:t>
      </w:r>
      <w:r w:rsidR="004A1056">
        <w:t xml:space="preserve">er analysis was performed to estimate risks of erosion and reoperation. </w:t>
      </w:r>
      <w:r w:rsidR="00663E22">
        <w:t>At 7 years,</w:t>
      </w:r>
      <w:r w:rsidR="007D7537">
        <w:t xml:space="preserve"> estimated risk of erosion was</w:t>
      </w:r>
      <w:r w:rsidR="007A7361">
        <w:t xml:space="preserve"> </w:t>
      </w:r>
      <w:r w:rsidR="00B64B3C">
        <w:t xml:space="preserve">3.7% </w:t>
      </w:r>
      <w:r w:rsidR="00D40C0D">
        <w:t>and estimated risk of</w:t>
      </w:r>
      <w:r w:rsidR="007A7361">
        <w:t xml:space="preserve"> </w:t>
      </w:r>
      <w:r w:rsidR="00D81028">
        <w:t>reoperation was 6.7% in the total cohort.</w:t>
      </w:r>
      <w:r w:rsidR="00112345">
        <w:t xml:space="preserve"> At the same timepoint</w:t>
      </w:r>
      <w:r w:rsidR="00AD4E8B">
        <w:t>,</w:t>
      </w:r>
      <w:r w:rsidR="00112345">
        <w:t xml:space="preserve"> estimated </w:t>
      </w:r>
      <w:r w:rsidR="00DE68AD">
        <w:t>risk of reoperation for repeat SUI</w:t>
      </w:r>
      <w:r w:rsidR="00BF2163">
        <w:t xml:space="preserve"> was 2.4% and </w:t>
      </w:r>
      <w:r w:rsidR="00527664">
        <w:t>for mesh complications was 1.9%.</w:t>
      </w:r>
    </w:p>
    <w:p w14:paraId="71D2B729" w14:textId="270D3F9A" w:rsidR="00000022" w:rsidRPr="0074418E" w:rsidRDefault="0008370B" w:rsidP="0074418E">
      <w:pPr>
        <w:pStyle w:val="BodyText"/>
      </w:pPr>
      <w:r>
        <w:t>The potential biases associated with the retrospective nature of these studies may l</w:t>
      </w:r>
      <w:r w:rsidR="003F78CB">
        <w:t>imit th</w:t>
      </w:r>
      <w:r w:rsidR="009C5CC3">
        <w:t xml:space="preserve">e generalisability </w:t>
      </w:r>
      <w:r w:rsidR="002B15BE">
        <w:t>of the findings.</w:t>
      </w:r>
    </w:p>
    <w:p w14:paraId="42B9DA1D" w14:textId="7AE115EB" w:rsidR="00DD1B5C" w:rsidRDefault="008549A0" w:rsidP="00C84C06">
      <w:pPr>
        <w:pStyle w:val="Heading3"/>
      </w:pPr>
      <w:bookmarkStart w:id="76" w:name="_Toc165627827"/>
      <w:r>
        <w:t xml:space="preserve">Health Canada </w:t>
      </w:r>
      <w:r w:rsidR="00EC7BAF">
        <w:t>summary safety review</w:t>
      </w:r>
      <w:r w:rsidR="00C9432C">
        <w:t xml:space="preserve"> (2022)</w:t>
      </w:r>
      <w:bookmarkEnd w:id="76"/>
    </w:p>
    <w:p w14:paraId="3EB96155" w14:textId="38D9F848" w:rsidR="00EC7BAF" w:rsidRPr="00EC7BAF" w:rsidRDefault="003E644F" w:rsidP="00EC7BAF">
      <w:pPr>
        <w:pStyle w:val="BodyText"/>
      </w:pPr>
      <w:r w:rsidRPr="00B0485F">
        <w:t>In November 2022</w:t>
      </w:r>
      <w:r w:rsidR="00933F28">
        <w:t>,</w:t>
      </w:r>
      <w:r w:rsidRPr="00B0485F">
        <w:t xml:space="preserve"> Health Canada released a </w:t>
      </w:r>
      <w:r w:rsidR="00AC2AAA">
        <w:t>S</w:t>
      </w:r>
      <w:r w:rsidRPr="00B0485F">
        <w:t xml:space="preserve">ummary </w:t>
      </w:r>
      <w:r w:rsidR="00AC2AAA">
        <w:t>S</w:t>
      </w:r>
      <w:r w:rsidRPr="00B0485F">
        <w:t xml:space="preserve">afety </w:t>
      </w:r>
      <w:r w:rsidR="00AC2AAA">
        <w:t>R</w:t>
      </w:r>
      <w:r w:rsidRPr="00B0485F">
        <w:t>eview</w:t>
      </w:r>
      <w:r w:rsidR="006478B2">
        <w:t xml:space="preserve"> on </w:t>
      </w:r>
      <w:r w:rsidR="00CB6BDB">
        <w:rPr>
          <w:noProof/>
        </w:rPr>
        <w:t>MUS</w:t>
      </w:r>
      <w:r w:rsidR="006478B2" w:rsidRPr="006478B2">
        <w:rPr>
          <w:noProof/>
        </w:rPr>
        <w:t xml:space="preserve"> made from non-absorbable synthetic material</w:t>
      </w:r>
      <w:bookmarkStart w:id="77" w:name="_Ref134177357"/>
      <w:r w:rsidR="00A6259F">
        <w:rPr>
          <w:rStyle w:val="FootnoteReference"/>
          <w:noProof/>
        </w:rPr>
        <w:footnoteReference w:id="5"/>
      </w:r>
      <w:bookmarkEnd w:id="77"/>
      <w:r w:rsidR="00442C24">
        <w:rPr>
          <w:noProof/>
        </w:rPr>
        <w:t>.</w:t>
      </w:r>
      <w:r w:rsidR="00EA573E" w:rsidRPr="006478B2">
        <w:t xml:space="preserve"> </w:t>
      </w:r>
      <w:r w:rsidR="00750428">
        <w:t>F</w:t>
      </w:r>
      <w:r w:rsidR="00113759">
        <w:t xml:space="preserve">urther </w:t>
      </w:r>
      <w:r w:rsidR="004F12D2">
        <w:t>information regarding</w:t>
      </w:r>
      <w:r w:rsidR="00113759">
        <w:t xml:space="preserve"> this review is provided in</w:t>
      </w:r>
      <w:r w:rsidR="001E6F49">
        <w:t xml:space="preserve"> </w:t>
      </w:r>
      <w:r w:rsidR="0029666C" w:rsidRPr="0029666C">
        <w:rPr>
          <w:b/>
          <w:bCs/>
        </w:rPr>
        <w:fldChar w:fldCharType="begin"/>
      </w:r>
      <w:r w:rsidR="0029666C" w:rsidRPr="0029666C">
        <w:rPr>
          <w:b/>
          <w:bCs/>
        </w:rPr>
        <w:instrText xml:space="preserve"> REF _Ref133829493 \n \h </w:instrText>
      </w:r>
      <w:r w:rsidR="0029666C">
        <w:rPr>
          <w:b/>
          <w:bCs/>
        </w:rPr>
        <w:instrText xml:space="preserve"> \* MERGEFORMAT </w:instrText>
      </w:r>
      <w:r w:rsidR="0029666C" w:rsidRPr="0029666C">
        <w:rPr>
          <w:b/>
          <w:bCs/>
        </w:rPr>
      </w:r>
      <w:r w:rsidR="0029666C" w:rsidRPr="0029666C">
        <w:rPr>
          <w:b/>
          <w:bCs/>
        </w:rPr>
        <w:fldChar w:fldCharType="separate"/>
      </w:r>
      <w:r w:rsidR="007105D3">
        <w:rPr>
          <w:b/>
          <w:bCs/>
        </w:rPr>
        <w:t>Appendix F</w:t>
      </w:r>
      <w:r w:rsidR="0029666C" w:rsidRPr="0029666C">
        <w:rPr>
          <w:b/>
          <w:bCs/>
        </w:rPr>
        <w:fldChar w:fldCharType="end"/>
      </w:r>
      <w:r w:rsidRPr="00B0485F">
        <w:t>.</w:t>
      </w:r>
      <w:r w:rsidR="00C856AB">
        <w:t xml:space="preserve"> Whil</w:t>
      </w:r>
      <w:r w:rsidR="006D5932">
        <w:t>e</w:t>
      </w:r>
      <w:r w:rsidR="00C856AB">
        <w:t xml:space="preserve"> the data used to inform the review is not publicly available, </w:t>
      </w:r>
      <w:r w:rsidR="00C54610">
        <w:t>findings relating to long term complications include the following:</w:t>
      </w:r>
    </w:p>
    <w:p w14:paraId="3E6C3E3B" w14:textId="08C37E77" w:rsidR="0009552A" w:rsidRPr="00B0485F" w:rsidRDefault="0068058C" w:rsidP="00713A63">
      <w:pPr>
        <w:pStyle w:val="BodyText"/>
        <w:numPr>
          <w:ilvl w:val="0"/>
          <w:numId w:val="11"/>
        </w:numPr>
      </w:pPr>
      <w:r>
        <w:t>T</w:t>
      </w:r>
      <w:r w:rsidR="0009552A" w:rsidRPr="00B0485F">
        <w:t>here were no new (not previously known) or increased risks of complications associated with the long-term (</w:t>
      </w:r>
      <w:r w:rsidR="0009552A" w:rsidRPr="00B0485F">
        <w:rPr>
          <w:rFonts w:cs="Calibri"/>
        </w:rPr>
        <w:t>≥ 5 years) use of MUS compared to previous reviews</w:t>
      </w:r>
      <w:r>
        <w:rPr>
          <w:rFonts w:cs="Calibri"/>
        </w:rPr>
        <w:t>.</w:t>
      </w:r>
    </w:p>
    <w:p w14:paraId="599C32A0" w14:textId="19E58C94" w:rsidR="0009552A" w:rsidRPr="00B0485F" w:rsidRDefault="0068058C" w:rsidP="00713A63">
      <w:pPr>
        <w:pStyle w:val="BodyText"/>
        <w:numPr>
          <w:ilvl w:val="0"/>
          <w:numId w:val="11"/>
        </w:numPr>
      </w:pPr>
      <w:r>
        <w:t>T</w:t>
      </w:r>
      <w:r w:rsidR="0009552A" w:rsidRPr="00B0485F">
        <w:t>he risk of developing chronic pain and/or mesh erosion is lower over the longer term (≥ 5 years)</w:t>
      </w:r>
      <w:r>
        <w:t>.</w:t>
      </w:r>
    </w:p>
    <w:p w14:paraId="0997FDAE" w14:textId="430C9C1B" w:rsidR="0009552A" w:rsidRPr="00EC7BAF" w:rsidRDefault="0068058C" w:rsidP="00713A63">
      <w:pPr>
        <w:pStyle w:val="BodyText"/>
        <w:numPr>
          <w:ilvl w:val="0"/>
          <w:numId w:val="11"/>
        </w:numPr>
      </w:pPr>
      <w:r>
        <w:t>L</w:t>
      </w:r>
      <w:r w:rsidR="0009552A" w:rsidRPr="00B0485F">
        <w:t>ong-term (≥ 5 years) safety and effectiveness of MUS for SUI is equivalent to surgical alternatives that do not use vaginal surgical mesh</w:t>
      </w:r>
      <w:r w:rsidR="00FD3DDF">
        <w:t>.</w:t>
      </w:r>
    </w:p>
    <w:p w14:paraId="57E92D0F" w14:textId="77777777" w:rsidR="00736E9A" w:rsidRDefault="00736E9A" w:rsidP="00736E9A">
      <w:pPr>
        <w:pStyle w:val="BodyText"/>
      </w:pPr>
    </w:p>
    <w:p w14:paraId="47C74912" w14:textId="00FF2989" w:rsidR="00DD1B5C" w:rsidRPr="00D16D04" w:rsidRDefault="00DD1B5C" w:rsidP="00D16D04">
      <w:pPr>
        <w:pStyle w:val="BodyText"/>
        <w:sectPr w:rsidR="00DD1B5C" w:rsidRPr="00D16D04" w:rsidSect="003E0819">
          <w:pgSz w:w="11906" w:h="16838"/>
          <w:pgMar w:top="1134" w:right="1134" w:bottom="1134" w:left="1134" w:header="850" w:footer="709" w:gutter="0"/>
          <w:cols w:space="708"/>
          <w:docGrid w:linePitch="360"/>
        </w:sectPr>
      </w:pPr>
    </w:p>
    <w:p w14:paraId="45774B84" w14:textId="291AD068" w:rsidR="00147D43" w:rsidRPr="00B0485F" w:rsidRDefault="00147D43" w:rsidP="00147D43">
      <w:pPr>
        <w:pStyle w:val="Heading1"/>
      </w:pPr>
      <w:bookmarkStart w:id="78" w:name="_Toc165627828"/>
      <w:r w:rsidRPr="00B0485F">
        <w:lastRenderedPageBreak/>
        <w:t>Clinical practice guidelines and regulatory advice</w:t>
      </w:r>
      <w:bookmarkEnd w:id="78"/>
    </w:p>
    <w:p w14:paraId="44331FD5" w14:textId="77777777" w:rsidR="00772106" w:rsidRDefault="00772106" w:rsidP="00147D43">
      <w:pPr>
        <w:pStyle w:val="Heading2"/>
      </w:pPr>
      <w:bookmarkStart w:id="79" w:name="_Toc165627829"/>
      <w:r>
        <w:t>Methodology</w:t>
      </w:r>
      <w:bookmarkEnd w:id="79"/>
    </w:p>
    <w:p w14:paraId="79B82FB0" w14:textId="7D5F7C41" w:rsidR="00BA2D3F" w:rsidRPr="00BA2D3F" w:rsidRDefault="00BA2D3F" w:rsidP="00BA2D3F">
      <w:pPr>
        <w:pStyle w:val="BodyText"/>
      </w:pPr>
      <w:r>
        <w:t xml:space="preserve">Clinical practices guidelines, </w:t>
      </w:r>
      <w:r w:rsidR="000A257F">
        <w:t>HTAs and regulatory advi</w:t>
      </w:r>
      <w:r w:rsidR="00550A27">
        <w:t>c</w:t>
      </w:r>
      <w:r w:rsidR="000A257F">
        <w:t>e w</w:t>
      </w:r>
      <w:r w:rsidR="00550A27">
        <w:t>as</w:t>
      </w:r>
      <w:r w:rsidR="000A257F">
        <w:t xml:space="preserve"> identified from the evidence search described in </w:t>
      </w:r>
      <w:r w:rsidR="00550A27" w:rsidRPr="009D1420">
        <w:rPr>
          <w:b/>
        </w:rPr>
        <w:t xml:space="preserve">Section </w:t>
      </w:r>
      <w:r w:rsidR="00550A27" w:rsidRPr="009D1420">
        <w:rPr>
          <w:b/>
          <w:bCs/>
        </w:rPr>
        <w:fldChar w:fldCharType="begin"/>
      </w:r>
      <w:r w:rsidR="00550A27" w:rsidRPr="009D1420">
        <w:rPr>
          <w:b/>
          <w:bCs/>
        </w:rPr>
        <w:instrText xml:space="preserve"> REF _Ref132708080 \r \h </w:instrText>
      </w:r>
      <w:r w:rsidR="009D1420">
        <w:rPr>
          <w:b/>
          <w:bCs/>
        </w:rPr>
        <w:instrText xml:space="preserve"> \* MERGEFORMAT </w:instrText>
      </w:r>
      <w:r w:rsidR="00550A27" w:rsidRPr="009D1420">
        <w:rPr>
          <w:b/>
          <w:bCs/>
        </w:rPr>
      </w:r>
      <w:r w:rsidR="00550A27" w:rsidRPr="009D1420">
        <w:rPr>
          <w:b/>
          <w:bCs/>
        </w:rPr>
        <w:fldChar w:fldCharType="separate"/>
      </w:r>
      <w:r w:rsidR="007105D3">
        <w:rPr>
          <w:b/>
          <w:bCs/>
        </w:rPr>
        <w:t>2</w:t>
      </w:r>
      <w:r w:rsidR="00550A27" w:rsidRPr="009D1420">
        <w:rPr>
          <w:b/>
          <w:bCs/>
        </w:rPr>
        <w:fldChar w:fldCharType="end"/>
      </w:r>
      <w:r w:rsidR="006E3CA7">
        <w:t xml:space="preserve"> including </w:t>
      </w:r>
      <w:r w:rsidR="00F27E1F">
        <w:t xml:space="preserve">information provided by sponsors and stakeholders. Due to the volume of </w:t>
      </w:r>
      <w:r w:rsidR="00E37CAB">
        <w:t xml:space="preserve">potentially relevant </w:t>
      </w:r>
      <w:r w:rsidR="00197BFC">
        <w:t>guidelines, position statement</w:t>
      </w:r>
      <w:r w:rsidR="009D1420">
        <w:t>s</w:t>
      </w:r>
      <w:r w:rsidR="00197BFC">
        <w:t xml:space="preserve">, HTAs and regulatory advice, </w:t>
      </w:r>
      <w:r w:rsidR="00B50F2A">
        <w:t xml:space="preserve">only </w:t>
      </w:r>
      <w:r w:rsidR="00732CE2">
        <w:t xml:space="preserve">those </w:t>
      </w:r>
      <w:r w:rsidR="00A04ACE">
        <w:t xml:space="preserve">that </w:t>
      </w:r>
      <w:r w:rsidR="00732CE2">
        <w:t>are recent</w:t>
      </w:r>
      <w:r w:rsidR="00B50F2A">
        <w:t>, comprehensive and/or</w:t>
      </w:r>
      <w:r w:rsidR="000B30FF">
        <w:t xml:space="preserve"> from Australian jurisdictions</w:t>
      </w:r>
      <w:r w:rsidR="00B50F2A">
        <w:t xml:space="preserve"> were </w:t>
      </w:r>
      <w:r w:rsidR="00B1036B">
        <w:t>considered</w:t>
      </w:r>
      <w:r w:rsidR="000B30FF">
        <w:t>.</w:t>
      </w:r>
      <w:r w:rsidR="008F4510">
        <w:t xml:space="preserve"> </w:t>
      </w:r>
      <w:r w:rsidR="008F4510" w:rsidRPr="00B0485F">
        <w:t xml:space="preserve">The key recommendations and advice contained in these documents are summarised in </w:t>
      </w:r>
      <w:r w:rsidR="00F32B9A">
        <w:fldChar w:fldCharType="begin"/>
      </w:r>
      <w:r w:rsidR="00F32B9A">
        <w:instrText xml:space="preserve"> REF _Ref129788540 \n \h </w:instrText>
      </w:r>
      <w:r w:rsidR="00F32B9A">
        <w:fldChar w:fldCharType="separate"/>
      </w:r>
      <w:r w:rsidR="007105D3">
        <w:t>Appendix E</w:t>
      </w:r>
      <w:r w:rsidR="00F32B9A">
        <w:fldChar w:fldCharType="end"/>
      </w:r>
      <w:r w:rsidR="008F4510" w:rsidRPr="00B0485F">
        <w:t xml:space="preserve"> </w:t>
      </w:r>
      <w:r w:rsidR="008222AC">
        <w:t>(</w:t>
      </w:r>
      <w:r w:rsidR="008F4510" w:rsidRPr="00B0485F">
        <w:rPr>
          <w:b/>
          <w:bCs/>
        </w:rPr>
        <w:fldChar w:fldCharType="begin"/>
      </w:r>
      <w:r w:rsidR="008F4510" w:rsidRPr="00B0485F">
        <w:rPr>
          <w:b/>
          <w:bCs/>
        </w:rPr>
        <w:instrText xml:space="preserve"> REF _Ref129788520 \h  \* MERGEFORMAT </w:instrText>
      </w:r>
      <w:r w:rsidR="008F4510" w:rsidRPr="00B0485F">
        <w:rPr>
          <w:b/>
          <w:bCs/>
        </w:rPr>
      </w:r>
      <w:r w:rsidR="008F4510" w:rsidRPr="00B0485F">
        <w:rPr>
          <w:b/>
          <w:bCs/>
        </w:rPr>
        <w:fldChar w:fldCharType="separate"/>
      </w:r>
      <w:r w:rsidR="007105D3" w:rsidRPr="007105D3">
        <w:rPr>
          <w:b/>
          <w:bCs/>
        </w:rPr>
        <w:t xml:space="preserve">Table App. </w:t>
      </w:r>
      <w:r w:rsidR="007105D3" w:rsidRPr="007105D3">
        <w:rPr>
          <w:b/>
          <w:bCs/>
          <w:noProof/>
        </w:rPr>
        <w:t>11</w:t>
      </w:r>
      <w:r w:rsidR="008F4510" w:rsidRPr="00B0485F">
        <w:rPr>
          <w:b/>
          <w:bCs/>
        </w:rPr>
        <w:fldChar w:fldCharType="end"/>
      </w:r>
      <w:r w:rsidR="008222AC" w:rsidRPr="008222AC">
        <w:t>)</w:t>
      </w:r>
      <w:r w:rsidR="008F4510" w:rsidRPr="00B0485F">
        <w:t>.</w:t>
      </w:r>
    </w:p>
    <w:p w14:paraId="0C98E883" w14:textId="4234675C" w:rsidR="00147D43" w:rsidRPr="00B0485F" w:rsidRDefault="00147D43" w:rsidP="00147D43">
      <w:pPr>
        <w:pStyle w:val="Heading2"/>
      </w:pPr>
      <w:bookmarkStart w:id="80" w:name="_Ref132794672"/>
      <w:bookmarkStart w:id="81" w:name="_Toc165627830"/>
      <w:r w:rsidRPr="00B0485F">
        <w:t>Clinical practice guidelines and position statements</w:t>
      </w:r>
      <w:bookmarkEnd w:id="80"/>
      <w:bookmarkEnd w:id="81"/>
    </w:p>
    <w:p w14:paraId="34FC1DDB" w14:textId="55CD7D6A" w:rsidR="00505B38" w:rsidRPr="00B0485F" w:rsidRDefault="00505B38" w:rsidP="00147D43">
      <w:pPr>
        <w:pStyle w:val="BodyText"/>
      </w:pPr>
      <w:r w:rsidRPr="00B0485F">
        <w:t xml:space="preserve">The consensus across all guidelines, position statements and care pathways </w:t>
      </w:r>
      <w:r w:rsidR="006F78C0">
        <w:t xml:space="preserve">reviewed </w:t>
      </w:r>
      <w:r w:rsidRPr="00B0485F">
        <w:t xml:space="preserve">is that MUS is an appropriate surgical treatment option for </w:t>
      </w:r>
      <w:r w:rsidR="00D3027A">
        <w:t>SUI</w:t>
      </w:r>
      <w:r w:rsidRPr="00B0485F">
        <w:t xml:space="preserve">, with some advice noting the importance of appropriate patient selection and </w:t>
      </w:r>
      <w:r w:rsidR="00642865">
        <w:t>other</w:t>
      </w:r>
      <w:r w:rsidR="00FA0A20">
        <w:t xml:space="preserve"> additional</w:t>
      </w:r>
      <w:r w:rsidRPr="00B0485F">
        <w:t xml:space="preserve"> </w:t>
      </w:r>
      <w:r w:rsidR="002371C0">
        <w:t>considerations or requirements</w:t>
      </w:r>
      <w:r w:rsidRPr="00B0485F">
        <w:t xml:space="preserve">. </w:t>
      </w:r>
      <w:r w:rsidR="00A14784">
        <w:t>Examples of a</w:t>
      </w:r>
      <w:r w:rsidR="00FA0A20">
        <w:t>dditional</w:t>
      </w:r>
      <w:r w:rsidRPr="00B0485F">
        <w:t xml:space="preserve"> requirements include</w:t>
      </w:r>
      <w:r w:rsidR="00B12F7F">
        <w:t xml:space="preserve"> </w:t>
      </w:r>
      <w:r w:rsidRPr="00B0485F">
        <w:t>appropriate surgeon training in the procedure and management of complications, and appropriate informed consent</w:t>
      </w:r>
      <w:r w:rsidR="001A0BA7">
        <w:t>,</w:t>
      </w:r>
      <w:r w:rsidRPr="00B0485F">
        <w:t xml:space="preserve"> including a discussion of alternative treatment options and the risks and benefits (advantages and disadvantages) of each option.</w:t>
      </w:r>
    </w:p>
    <w:p w14:paraId="2FC68790" w14:textId="0CA7F979" w:rsidR="00A87837" w:rsidRPr="00A87837" w:rsidRDefault="009046E0" w:rsidP="00A87837">
      <w:pPr>
        <w:pStyle w:val="BodyText"/>
      </w:pPr>
      <w:r>
        <w:t xml:space="preserve">The key Australian </w:t>
      </w:r>
      <w:r w:rsidR="002102B1">
        <w:t>documents were the</w:t>
      </w:r>
      <w:r w:rsidR="00A87837">
        <w:t xml:space="preserve"> </w:t>
      </w:r>
      <w:r w:rsidR="00A87837" w:rsidRPr="00A87837">
        <w:t>Royal Australian and New Zealand College of Obstetricians and Gynaecologists (RANZOG)</w:t>
      </w:r>
      <w:r w:rsidR="00A87837">
        <w:t xml:space="preserve"> </w:t>
      </w:r>
      <w:r w:rsidR="00A87837" w:rsidRPr="00A87837">
        <w:t xml:space="preserve">Position </w:t>
      </w:r>
      <w:r w:rsidR="004E5ACF">
        <w:t>S</w:t>
      </w:r>
      <w:r w:rsidR="00A87837" w:rsidRPr="00A87837">
        <w:t xml:space="preserve">tatement on </w:t>
      </w:r>
      <w:proofErr w:type="spellStart"/>
      <w:r w:rsidR="00A87837" w:rsidRPr="00A87837">
        <w:t>midurethral</w:t>
      </w:r>
      <w:proofErr w:type="spellEnd"/>
      <w:r w:rsidR="00A87837" w:rsidRPr="00A87837">
        <w:t xml:space="preserve"> slings </w:t>
      </w:r>
      <w:r w:rsidR="00245CE2">
        <w:rPr>
          <w:noProof/>
        </w:rPr>
        <w:t>(RANZCOG 2020, amended 2022)</w:t>
      </w:r>
      <w:r w:rsidR="00A87837" w:rsidRPr="00A87837">
        <w:t xml:space="preserve"> </w:t>
      </w:r>
      <w:r w:rsidR="008B2395">
        <w:t>and the ACSQHC</w:t>
      </w:r>
      <w:r w:rsidR="00A87837" w:rsidRPr="00A87837">
        <w:t xml:space="preserve"> </w:t>
      </w:r>
      <w:r w:rsidR="00A734D0" w:rsidRPr="00A734D0">
        <w:t xml:space="preserve">Care pathway for the </w:t>
      </w:r>
      <w:r w:rsidR="004E5ACF">
        <w:t>m</w:t>
      </w:r>
      <w:r w:rsidR="00A734D0" w:rsidRPr="00A734D0">
        <w:t>anagement of SUI</w:t>
      </w:r>
      <w:r w:rsidR="00A734D0">
        <w:t xml:space="preserve"> </w:t>
      </w:r>
      <w:r w:rsidR="00245CE2">
        <w:rPr>
          <w:noProof/>
        </w:rPr>
        <w:t>(ACSQHC 2018a)</w:t>
      </w:r>
      <w:r w:rsidR="00A734D0">
        <w:t xml:space="preserve">. </w:t>
      </w:r>
      <w:r w:rsidR="00002AA3">
        <w:t xml:space="preserve">Both documents support the use of MUS for the treatment of SUI, with </w:t>
      </w:r>
      <w:r w:rsidR="0040284C">
        <w:t>both recommending that</w:t>
      </w:r>
      <w:r w:rsidR="00002AA3">
        <w:t xml:space="preserve"> the TO-MUS approach </w:t>
      </w:r>
      <w:r w:rsidR="00BE424E">
        <w:t xml:space="preserve">be </w:t>
      </w:r>
      <w:r w:rsidR="00002AA3">
        <w:t xml:space="preserve">reserved </w:t>
      </w:r>
      <w:r w:rsidR="00B43961">
        <w:t xml:space="preserve">for specific clinical circumstances (see </w:t>
      </w:r>
      <w:r w:rsidR="003E0CEC">
        <w:fldChar w:fldCharType="begin"/>
      </w:r>
      <w:r w:rsidR="003E0CEC">
        <w:instrText xml:space="preserve"> REF _Ref129788540 \n \h </w:instrText>
      </w:r>
      <w:r w:rsidR="003E0CEC">
        <w:fldChar w:fldCharType="separate"/>
      </w:r>
      <w:r w:rsidR="007105D3">
        <w:t>Appendix E</w:t>
      </w:r>
      <w:r w:rsidR="003E0CEC">
        <w:fldChar w:fldCharType="end"/>
      </w:r>
      <w:r w:rsidR="00B278A8">
        <w:t>,</w:t>
      </w:r>
      <w:r w:rsidR="00B43961">
        <w:t xml:space="preserve"> </w:t>
      </w:r>
      <w:r w:rsidR="00660982" w:rsidRPr="005954BD">
        <w:rPr>
          <w:b/>
          <w:bCs/>
        </w:rPr>
        <w:fldChar w:fldCharType="begin"/>
      </w:r>
      <w:r w:rsidR="00660982" w:rsidRPr="005954BD">
        <w:rPr>
          <w:b/>
          <w:bCs/>
        </w:rPr>
        <w:instrText xml:space="preserve"> REF _Ref129788520 \h </w:instrText>
      </w:r>
      <w:r w:rsidR="005954BD">
        <w:rPr>
          <w:b/>
          <w:bCs/>
        </w:rPr>
        <w:instrText xml:space="preserve"> \* MERGEFORMAT </w:instrText>
      </w:r>
      <w:r w:rsidR="00660982" w:rsidRPr="005954BD">
        <w:rPr>
          <w:b/>
          <w:bCs/>
        </w:rPr>
      </w:r>
      <w:r w:rsidR="00660982" w:rsidRPr="005954BD">
        <w:rPr>
          <w:b/>
          <w:bCs/>
        </w:rPr>
        <w:fldChar w:fldCharType="separate"/>
      </w:r>
      <w:r w:rsidR="007105D3" w:rsidRPr="007105D3">
        <w:rPr>
          <w:b/>
          <w:bCs/>
        </w:rPr>
        <w:t xml:space="preserve">Table App. </w:t>
      </w:r>
      <w:r w:rsidR="007105D3" w:rsidRPr="007105D3">
        <w:rPr>
          <w:b/>
          <w:bCs/>
          <w:noProof/>
        </w:rPr>
        <w:t>11</w:t>
      </w:r>
      <w:r w:rsidR="00660982" w:rsidRPr="005954BD">
        <w:rPr>
          <w:b/>
          <w:bCs/>
        </w:rPr>
        <w:fldChar w:fldCharType="end"/>
      </w:r>
      <w:r w:rsidR="001E4486">
        <w:t xml:space="preserve"> for specific recommendations).</w:t>
      </w:r>
    </w:p>
    <w:p w14:paraId="249C8600" w14:textId="1359C7BC" w:rsidR="00147D43" w:rsidRPr="00B0485F" w:rsidRDefault="0042373F" w:rsidP="00147D43">
      <w:pPr>
        <w:pStyle w:val="BodyText"/>
      </w:pPr>
      <w:r>
        <w:t>Recommendations from t</w:t>
      </w:r>
      <w:r w:rsidR="00147D43" w:rsidRPr="00B0485F">
        <w:t xml:space="preserve">he </w:t>
      </w:r>
      <w:r w:rsidR="00D263B4">
        <w:t xml:space="preserve">included </w:t>
      </w:r>
      <w:r w:rsidR="00147D43" w:rsidRPr="00B0485F">
        <w:t>clinical guidelines</w:t>
      </w:r>
      <w:r w:rsidR="004D7760">
        <w:t xml:space="preserve"> </w:t>
      </w:r>
      <w:r>
        <w:t xml:space="preserve">addressing </w:t>
      </w:r>
      <w:r w:rsidR="00801C7B">
        <w:t xml:space="preserve">the use of </w:t>
      </w:r>
      <w:r w:rsidR="005D71A4">
        <w:t>MUS</w:t>
      </w:r>
      <w:r w:rsidR="00DB69BE">
        <w:t xml:space="preserve"> for the treatment of SUI </w:t>
      </w:r>
      <w:r w:rsidR="004D7760">
        <w:t xml:space="preserve">are </w:t>
      </w:r>
      <w:r w:rsidR="00F17164">
        <w:t>summarised</w:t>
      </w:r>
      <w:r w:rsidR="004D7760">
        <w:t xml:space="preserve"> </w:t>
      </w:r>
      <w:r w:rsidR="003C0DF0">
        <w:t>below</w:t>
      </w:r>
      <w:r w:rsidR="00B87D32">
        <w:t>.</w:t>
      </w:r>
    </w:p>
    <w:p w14:paraId="4D32944F" w14:textId="3DF7062D" w:rsidR="000D46E7" w:rsidRPr="00B0485F" w:rsidRDefault="000D46E7" w:rsidP="000D46E7">
      <w:pPr>
        <w:pStyle w:val="Heading3"/>
      </w:pPr>
      <w:bookmarkStart w:id="82" w:name="_Toc165627831"/>
      <w:r w:rsidRPr="00B0485F">
        <w:t>EA</w:t>
      </w:r>
      <w:r w:rsidR="0089153E">
        <w:t>U</w:t>
      </w:r>
      <w:r w:rsidRPr="00B0485F">
        <w:t xml:space="preserve"> Guidelines on </w:t>
      </w:r>
      <w:r w:rsidR="00033C3B">
        <w:t>m</w:t>
      </w:r>
      <w:r w:rsidRPr="00B0485F">
        <w:t xml:space="preserve">anagement of </w:t>
      </w:r>
      <w:r w:rsidR="00033C3B">
        <w:t>n</w:t>
      </w:r>
      <w:r w:rsidRPr="00B0485F">
        <w:t>on-</w:t>
      </w:r>
      <w:r w:rsidR="00033C3B">
        <w:t>n</w:t>
      </w:r>
      <w:r w:rsidRPr="00B0485F">
        <w:t xml:space="preserve">eurogenic </w:t>
      </w:r>
      <w:r w:rsidR="00033C3B">
        <w:t>f</w:t>
      </w:r>
      <w:r w:rsidRPr="00B0485F">
        <w:t xml:space="preserve">emale </w:t>
      </w:r>
      <w:r w:rsidR="00033C3B">
        <w:t>l</w:t>
      </w:r>
      <w:r w:rsidRPr="00B0485F">
        <w:t xml:space="preserve">ower </w:t>
      </w:r>
      <w:r w:rsidR="00033C3B">
        <w:t>u</w:t>
      </w:r>
      <w:r w:rsidRPr="00B0485F">
        <w:t xml:space="preserve">rinary </w:t>
      </w:r>
      <w:r w:rsidR="00033C3B">
        <w:t>t</w:t>
      </w:r>
      <w:r w:rsidRPr="00B0485F">
        <w:t xml:space="preserve">ract </w:t>
      </w:r>
      <w:r w:rsidR="00033C3B">
        <w:t>s</w:t>
      </w:r>
      <w:r w:rsidRPr="00B0485F">
        <w:t>ymptoms</w:t>
      </w:r>
      <w:r w:rsidR="000D0D7C">
        <w:t xml:space="preserve"> (2023)</w:t>
      </w:r>
      <w:bookmarkEnd w:id="82"/>
    </w:p>
    <w:p w14:paraId="23CD7C74" w14:textId="1CAB1F05" w:rsidR="00147D43" w:rsidRPr="00B0485F" w:rsidRDefault="00147D43" w:rsidP="00147D43">
      <w:pPr>
        <w:pStyle w:val="BodyText"/>
      </w:pPr>
      <w:r w:rsidRPr="00B0485F">
        <w:t xml:space="preserve">The </w:t>
      </w:r>
      <w:r w:rsidR="0089153E">
        <w:t>European Association of Urology</w:t>
      </w:r>
      <w:r w:rsidRPr="00B0485F">
        <w:t xml:space="preserve"> </w:t>
      </w:r>
      <w:r w:rsidR="001F1539">
        <w:t>(</w:t>
      </w:r>
      <w:r w:rsidRPr="00B0485F">
        <w:t>EA</w:t>
      </w:r>
      <w:r w:rsidR="0089153E">
        <w:t>U</w:t>
      </w:r>
      <w:r w:rsidR="001F1539">
        <w:t>)</w:t>
      </w:r>
      <w:r w:rsidRPr="00B0485F">
        <w:t xml:space="preserve"> Guidelines </w:t>
      </w:r>
      <w:r w:rsidR="00245CE2">
        <w:rPr>
          <w:noProof/>
        </w:rPr>
        <w:t>(Harding 2023)</w:t>
      </w:r>
      <w:r w:rsidRPr="00B0485F">
        <w:t xml:space="preserve"> strongly recommend that patients with SUI who have explored/failed conservative treatment are offered a choice of surgical procedures (where appropriate) and participate in shared decision-making to decide on </w:t>
      </w:r>
      <w:r w:rsidR="00C56FAF">
        <w:t>an</w:t>
      </w:r>
      <w:r w:rsidRPr="00B0485F">
        <w:t xml:space="preserve"> appropriate treatment. It is strongly recommended that </w:t>
      </w:r>
      <w:proofErr w:type="spellStart"/>
      <w:r w:rsidRPr="00B0485F">
        <w:t>colposuspension</w:t>
      </w:r>
      <w:proofErr w:type="spellEnd"/>
      <w:r w:rsidRPr="00B0485F">
        <w:t xml:space="preserve"> (open or </w:t>
      </w:r>
      <w:r w:rsidR="001F323F" w:rsidRPr="00B0485F">
        <w:t>laparoscopic</w:t>
      </w:r>
      <w:r w:rsidRPr="00B0485F">
        <w:t>), autologous sling placement</w:t>
      </w:r>
      <w:r w:rsidR="0011201F">
        <w:t>, urethral bulking agents</w:t>
      </w:r>
      <w:r w:rsidRPr="00B0485F">
        <w:t xml:space="preserve"> and </w:t>
      </w:r>
      <w:r w:rsidR="00BF0A38">
        <w:t>MUS</w:t>
      </w:r>
      <w:r w:rsidRPr="00B0485F">
        <w:t xml:space="preserve"> are offered as surgical options for the treatment of SUI, with a thorough discussion of the relative risks and benefits (advantages and disadvantages) of each approach. The guideline recommends that urethral bulking agents be offered “to women with SUI who request a low-risk procedure with the understanding that efficacy is lower than other surgical procedures, repeat injections are likely, and long-term durability and safety are not established” (strong recommendation, p 49). In relation to MUS route, the </w:t>
      </w:r>
      <w:r w:rsidR="00C56FAF">
        <w:t>g</w:t>
      </w:r>
      <w:r w:rsidRPr="00B0485F">
        <w:t xml:space="preserve">uideline recommends that </w:t>
      </w:r>
      <w:r w:rsidR="00C56FAF">
        <w:t>RP-</w:t>
      </w:r>
      <w:r w:rsidRPr="00B0485F">
        <w:t xml:space="preserve">MUS is superior to </w:t>
      </w:r>
      <w:r w:rsidR="00073615">
        <w:t>TO-MUS</w:t>
      </w:r>
      <w:r w:rsidRPr="00B0485F">
        <w:t xml:space="preserve"> in terms of long-term outcomes, and that patients should be informed as such (strong recommendation). </w:t>
      </w:r>
      <w:r w:rsidR="00835A98">
        <w:t xml:space="preserve">In response to publicity regarding </w:t>
      </w:r>
      <w:r w:rsidR="003B6143">
        <w:t xml:space="preserve">surgical mesh, </w:t>
      </w:r>
      <w:r w:rsidR="00835A98">
        <w:t>the</w:t>
      </w:r>
      <w:r w:rsidR="003B6143">
        <w:t xml:space="preserve"> guideline strongly recommends </w:t>
      </w:r>
      <w:r w:rsidR="00BB331B">
        <w:t xml:space="preserve">informing women </w:t>
      </w:r>
      <w:r w:rsidR="008442B3">
        <w:t xml:space="preserve">of the complications associated with MUS procedures </w:t>
      </w:r>
      <w:r w:rsidR="002E3124">
        <w:t>and discussing all alternative treatment options.</w:t>
      </w:r>
    </w:p>
    <w:p w14:paraId="4BCCA466" w14:textId="5D18C728" w:rsidR="004E748A" w:rsidRDefault="004E748A" w:rsidP="004E748A">
      <w:pPr>
        <w:pStyle w:val="Heading3"/>
      </w:pPr>
      <w:bookmarkStart w:id="83" w:name="_Toc165627832"/>
      <w:r>
        <w:lastRenderedPageBreak/>
        <w:t>FIGO recommendations</w:t>
      </w:r>
      <w:r w:rsidRPr="00B0485F">
        <w:t xml:space="preserve">: use of </w:t>
      </w:r>
      <w:proofErr w:type="spellStart"/>
      <w:r w:rsidRPr="00B0485F">
        <w:t>midurethral</w:t>
      </w:r>
      <w:proofErr w:type="spellEnd"/>
      <w:r w:rsidRPr="00B0485F">
        <w:t xml:space="preserve"> slings for the treatment of stress urinary incontinence</w:t>
      </w:r>
      <w:r w:rsidR="000D0D7C">
        <w:t xml:space="preserve"> (2023)</w:t>
      </w:r>
      <w:bookmarkEnd w:id="83"/>
    </w:p>
    <w:p w14:paraId="1D2C2870" w14:textId="7CDEDB97" w:rsidR="00147D43" w:rsidRPr="00B0485F" w:rsidRDefault="00147D43" w:rsidP="00147D43">
      <w:pPr>
        <w:pStyle w:val="BodyText"/>
      </w:pPr>
      <w:r w:rsidRPr="00B0485F">
        <w:t xml:space="preserve">The </w:t>
      </w:r>
      <w:r w:rsidR="006D70B0">
        <w:t xml:space="preserve">International Federation of </w:t>
      </w:r>
      <w:proofErr w:type="spellStart"/>
      <w:r w:rsidR="006D70B0">
        <w:t>Gynecology</w:t>
      </w:r>
      <w:proofErr w:type="spellEnd"/>
      <w:r w:rsidR="006D70B0">
        <w:t xml:space="preserve"> and Obstetrics (</w:t>
      </w:r>
      <w:r w:rsidRPr="00B0485F">
        <w:t>FIGO</w:t>
      </w:r>
      <w:r w:rsidR="006D70B0">
        <w:t>)</w:t>
      </w:r>
      <w:r w:rsidRPr="00B0485F">
        <w:t xml:space="preserve"> Guidelines </w:t>
      </w:r>
      <w:r w:rsidR="00245CE2">
        <w:rPr>
          <w:noProof/>
        </w:rPr>
        <w:t>(Lau 2023)</w:t>
      </w:r>
      <w:r w:rsidRPr="00B0485F">
        <w:t xml:space="preserve"> highlight MUS as the surgical gold standard for the treatment of SUI. The guideline recommends MUS as the preferred approach over Burch </w:t>
      </w:r>
      <w:proofErr w:type="spellStart"/>
      <w:r w:rsidRPr="00B0485F">
        <w:t>colposuspension</w:t>
      </w:r>
      <w:proofErr w:type="spellEnd"/>
      <w:r w:rsidRPr="00B0485F">
        <w:t xml:space="preserve"> or pubovaginal sling “</w:t>
      </w:r>
      <w:r w:rsidRPr="00B0485F">
        <w:rPr>
          <w:bCs/>
        </w:rPr>
        <w:t xml:space="preserve">due to similar or superior cure rates but reduced morbidity, and shorter operative time and length of hospital stay” (p 7). No recommendations are provided in the guideline on the use of bulking agents. In relation to MUS route, the guideline highlights the different risk profiles of the </w:t>
      </w:r>
      <w:r w:rsidR="009A737C">
        <w:rPr>
          <w:bCs/>
        </w:rPr>
        <w:t>RP</w:t>
      </w:r>
      <w:r w:rsidRPr="00B0485F">
        <w:rPr>
          <w:bCs/>
        </w:rPr>
        <w:t xml:space="preserve"> and </w:t>
      </w:r>
      <w:r w:rsidR="009A737C">
        <w:rPr>
          <w:bCs/>
        </w:rPr>
        <w:t>TO</w:t>
      </w:r>
      <w:r w:rsidRPr="00B0485F">
        <w:rPr>
          <w:bCs/>
        </w:rPr>
        <w:t xml:space="preserve"> approaches and advises that the </w:t>
      </w:r>
      <w:r w:rsidR="00754B68">
        <w:rPr>
          <w:bCs/>
        </w:rPr>
        <w:t>RP-MUS</w:t>
      </w:r>
      <w:r w:rsidRPr="00B0485F">
        <w:rPr>
          <w:bCs/>
        </w:rPr>
        <w:t xml:space="preserve"> results in higher subjective and objective cure rates than </w:t>
      </w:r>
      <w:r w:rsidR="00754B68">
        <w:rPr>
          <w:bCs/>
        </w:rPr>
        <w:t>TO-MUS</w:t>
      </w:r>
      <w:r w:rsidRPr="00B0485F">
        <w:rPr>
          <w:bCs/>
        </w:rPr>
        <w:t>, particularly for patients with more severe SUI and intrinsic sphincter deficiency.</w:t>
      </w:r>
    </w:p>
    <w:p w14:paraId="08C17CA7" w14:textId="07A782BD" w:rsidR="00DC0DCD" w:rsidRDefault="00DC0DCD" w:rsidP="00DC0DCD">
      <w:pPr>
        <w:pStyle w:val="Heading3"/>
      </w:pPr>
      <w:bookmarkStart w:id="84" w:name="_Toc165627833"/>
      <w:r>
        <w:t>NICE Guideline [NG123]</w:t>
      </w:r>
      <w:bookmarkEnd w:id="84"/>
    </w:p>
    <w:p w14:paraId="6E99263E" w14:textId="1C58B490" w:rsidR="00160B03" w:rsidRDefault="00B71CCB" w:rsidP="00DC0DCD">
      <w:pPr>
        <w:pStyle w:val="BodyText"/>
      </w:pPr>
      <w:r>
        <w:t>Consistent with the EAU Guideline, the NICE Guideline</w:t>
      </w:r>
      <w:r w:rsidR="007F35D9">
        <w:t xml:space="preserve"> </w:t>
      </w:r>
      <w:r w:rsidR="00245CE2">
        <w:rPr>
          <w:noProof/>
        </w:rPr>
        <w:t>(NICE 2019c)</w:t>
      </w:r>
      <w:r>
        <w:t xml:space="preserve"> </w:t>
      </w:r>
      <w:r w:rsidR="0027582F">
        <w:t>recommends</w:t>
      </w:r>
      <w:r>
        <w:t xml:space="preserve"> </w:t>
      </w:r>
      <w:r w:rsidR="0073112B">
        <w:t xml:space="preserve">patient participation in shared </w:t>
      </w:r>
      <w:r w:rsidR="004844A4">
        <w:t xml:space="preserve">and </w:t>
      </w:r>
      <w:r w:rsidR="00E616AA">
        <w:t>informed</w:t>
      </w:r>
      <w:r w:rsidR="00043BAC">
        <w:t xml:space="preserve"> decision</w:t>
      </w:r>
      <w:r w:rsidR="00E879F0">
        <w:t>-</w:t>
      </w:r>
      <w:r w:rsidR="00043BAC">
        <w:t xml:space="preserve">making </w:t>
      </w:r>
      <w:r w:rsidR="00342F61">
        <w:t xml:space="preserve">regarding SUI surgery </w:t>
      </w:r>
      <w:r w:rsidR="00B368F3">
        <w:t xml:space="preserve">(Recommendation 1.5.1). </w:t>
      </w:r>
      <w:r w:rsidR="0034244F">
        <w:t xml:space="preserve">For women who have failed conservative treatment </w:t>
      </w:r>
      <w:r w:rsidR="00F552D2">
        <w:t xml:space="preserve">for SUI </w:t>
      </w:r>
      <w:r w:rsidR="0034244F">
        <w:t xml:space="preserve">and wish to </w:t>
      </w:r>
      <w:r w:rsidR="00F552D2">
        <w:t xml:space="preserve">consider surgical options, </w:t>
      </w:r>
      <w:r w:rsidR="00C02051">
        <w:t xml:space="preserve">NICE recommend offering the choice of </w:t>
      </w:r>
      <w:proofErr w:type="spellStart"/>
      <w:r w:rsidR="00FB5949">
        <w:t>colposuspension</w:t>
      </w:r>
      <w:proofErr w:type="spellEnd"/>
      <w:r w:rsidR="00FB5949">
        <w:t xml:space="preserve"> (open or lapar</w:t>
      </w:r>
      <w:r w:rsidR="00E60143">
        <w:t>o</w:t>
      </w:r>
      <w:r w:rsidR="00FB5949">
        <w:t xml:space="preserve">scopic), </w:t>
      </w:r>
      <w:r w:rsidR="0017365E">
        <w:t>autologous rectus fascial sling</w:t>
      </w:r>
      <w:r w:rsidR="004C4D5F">
        <w:t xml:space="preserve"> or RP</w:t>
      </w:r>
      <w:r w:rsidR="00066ED5">
        <w:t>-</w:t>
      </w:r>
      <w:r w:rsidR="004C4D5F">
        <w:t>MUS</w:t>
      </w:r>
      <w:r w:rsidR="00D5749D">
        <w:t xml:space="preserve"> (Recommendation 1.5.2)</w:t>
      </w:r>
      <w:r w:rsidR="0073112B">
        <w:t>.</w:t>
      </w:r>
      <w:r w:rsidR="00450054">
        <w:t xml:space="preserve"> </w:t>
      </w:r>
      <w:r w:rsidR="00160B03">
        <w:t xml:space="preserve">In </w:t>
      </w:r>
      <w:r w:rsidR="00A307BA">
        <w:t>determining</w:t>
      </w:r>
      <w:r w:rsidR="00160B03">
        <w:t xml:space="preserve"> whether to include RP</w:t>
      </w:r>
      <w:r w:rsidR="00066ED5">
        <w:t>-</w:t>
      </w:r>
      <w:r w:rsidR="00160B03">
        <w:t>MUS sling</w:t>
      </w:r>
      <w:r w:rsidR="000F5A29">
        <w:t xml:space="preserve"> amongst the options </w:t>
      </w:r>
      <w:r w:rsidR="003436B4">
        <w:t>in the recommendation</w:t>
      </w:r>
      <w:r w:rsidR="000F5A29">
        <w:t xml:space="preserve">, the </w:t>
      </w:r>
      <w:r w:rsidR="00945C5F">
        <w:t>NICE g</w:t>
      </w:r>
      <w:r w:rsidR="00F03B88">
        <w:t xml:space="preserve">uideline </w:t>
      </w:r>
      <w:r w:rsidR="000F5A29">
        <w:t>committee</w:t>
      </w:r>
      <w:r w:rsidR="00A307BA">
        <w:t xml:space="preserve"> </w:t>
      </w:r>
      <w:r w:rsidR="003B038E">
        <w:t>acknowledged the evidence of life-changing adverse events for some women related to RP</w:t>
      </w:r>
      <w:r w:rsidR="00945C5F">
        <w:t>-</w:t>
      </w:r>
      <w:r w:rsidR="003B038E">
        <w:t xml:space="preserve">MUS, noting that the incidence of these is uncertain. They also </w:t>
      </w:r>
      <w:r w:rsidR="001F24E0">
        <w:t xml:space="preserve">considered the </w:t>
      </w:r>
      <w:r w:rsidR="00BE3BA3">
        <w:t>length of hospital stay</w:t>
      </w:r>
      <w:r w:rsidR="00513B9A">
        <w:t>, anaesthesia requirements</w:t>
      </w:r>
      <w:r w:rsidR="00BE3BA3">
        <w:t xml:space="preserve"> and </w:t>
      </w:r>
      <w:r w:rsidR="00E813E8">
        <w:t>recovery period</w:t>
      </w:r>
      <w:r w:rsidR="00522173">
        <w:t>, noting these</w:t>
      </w:r>
      <w:r w:rsidR="00B82167">
        <w:t xml:space="preserve"> to be </w:t>
      </w:r>
      <w:r w:rsidR="00513B9A">
        <w:t>more favourable</w:t>
      </w:r>
      <w:r w:rsidR="00B82167">
        <w:t xml:space="preserve"> for RP</w:t>
      </w:r>
      <w:r w:rsidR="00945C5F">
        <w:t>-</w:t>
      </w:r>
      <w:r w:rsidR="00B82167">
        <w:t xml:space="preserve">MUS than </w:t>
      </w:r>
      <w:proofErr w:type="spellStart"/>
      <w:r w:rsidR="00B82167">
        <w:t>colposuspension</w:t>
      </w:r>
      <w:proofErr w:type="spellEnd"/>
      <w:r w:rsidR="00B82167">
        <w:t xml:space="preserve"> or autologous rectus fascial sling.</w:t>
      </w:r>
      <w:r w:rsidR="00A05B21">
        <w:t xml:space="preserve"> </w:t>
      </w:r>
      <w:r w:rsidR="00887482">
        <w:t xml:space="preserve">Considering </w:t>
      </w:r>
      <w:proofErr w:type="gramStart"/>
      <w:r w:rsidR="00887482">
        <w:t>all of</w:t>
      </w:r>
      <w:proofErr w:type="gramEnd"/>
      <w:r w:rsidR="00887482">
        <w:t xml:space="preserve"> this information, the committee agreed that some women</w:t>
      </w:r>
      <w:r w:rsidR="002D39C8">
        <w:t xml:space="preserve">, when fully informed of the risks, may </w:t>
      </w:r>
      <w:r w:rsidR="00D42AC7">
        <w:t>prefer to have a RP</w:t>
      </w:r>
      <w:r w:rsidR="00945C5F">
        <w:t>-</w:t>
      </w:r>
      <w:r w:rsidR="00D42AC7">
        <w:t>MUS</w:t>
      </w:r>
      <w:r w:rsidR="00632205">
        <w:t>, and</w:t>
      </w:r>
      <w:r w:rsidR="00E0251B">
        <w:t xml:space="preserve"> </w:t>
      </w:r>
      <w:r w:rsidR="00E92F40">
        <w:t xml:space="preserve">that </w:t>
      </w:r>
      <w:r w:rsidR="00E0251B">
        <w:t xml:space="preserve">these women would be significantly disadvantaged if this option </w:t>
      </w:r>
      <w:r w:rsidR="00C61158">
        <w:t>were</w:t>
      </w:r>
      <w:r w:rsidR="00E0251B">
        <w:t xml:space="preserve"> not available</w:t>
      </w:r>
      <w:r w:rsidR="00FD5C22">
        <w:t xml:space="preserve"> </w:t>
      </w:r>
      <w:r w:rsidR="00245CE2">
        <w:rPr>
          <w:noProof/>
        </w:rPr>
        <w:t>(NICE 2019b)</w:t>
      </w:r>
      <w:r w:rsidR="00E0251B">
        <w:t>.</w:t>
      </w:r>
    </w:p>
    <w:p w14:paraId="625B421E" w14:textId="0C9B2306" w:rsidR="00903644" w:rsidRDefault="0070386C" w:rsidP="00565F3B">
      <w:pPr>
        <w:pStyle w:val="BodyText"/>
      </w:pPr>
      <w:r>
        <w:t xml:space="preserve">A ’do not offer’ recommendation is made for </w:t>
      </w:r>
      <w:r w:rsidR="00CD11B5">
        <w:t>TO</w:t>
      </w:r>
      <w:r w:rsidR="00945C5F">
        <w:t>-</w:t>
      </w:r>
      <w:r>
        <w:t>MUS</w:t>
      </w:r>
      <w:r w:rsidR="00E57CAE">
        <w:t xml:space="preserve"> (Recommendation 1.5.10)</w:t>
      </w:r>
      <w:r w:rsidR="00CD11B5">
        <w:t>, advising that TO</w:t>
      </w:r>
      <w:r w:rsidR="00065C9F">
        <w:t>-</w:t>
      </w:r>
      <w:r w:rsidR="00CD11B5">
        <w:t>MUS</w:t>
      </w:r>
      <w:r w:rsidR="00D263BE">
        <w:t xml:space="preserve"> should be used only in specific clinical circumstances where RP</w:t>
      </w:r>
      <w:r w:rsidR="00BB64A2">
        <w:t>-</w:t>
      </w:r>
      <w:r w:rsidR="00D263BE">
        <w:t>MUS</w:t>
      </w:r>
      <w:r w:rsidR="00290F17">
        <w:t xml:space="preserve"> is not appropriate. </w:t>
      </w:r>
      <w:r w:rsidR="00633811">
        <w:t xml:space="preserve">This recommendation was made </w:t>
      </w:r>
      <w:r w:rsidR="004D6C1D">
        <w:t xml:space="preserve">based </w:t>
      </w:r>
      <w:r w:rsidR="00633811">
        <w:t xml:space="preserve">on the </w:t>
      </w:r>
      <w:r w:rsidR="00903644">
        <w:t>evidence</w:t>
      </w:r>
      <w:r w:rsidR="00863787">
        <w:t>,</w:t>
      </w:r>
      <w:r w:rsidR="00903644">
        <w:t xml:space="preserve"> combined with the knowledge and experience of the committee.</w:t>
      </w:r>
    </w:p>
    <w:p w14:paraId="732DFB72" w14:textId="369B57B3" w:rsidR="00565F3B" w:rsidRPr="00DC0DCD" w:rsidRDefault="00565F3B" w:rsidP="00565F3B">
      <w:pPr>
        <w:pStyle w:val="BodyText"/>
      </w:pPr>
      <w:r>
        <w:t>A ‘do not use’ recommendation is made for the ‘top-down’ RP</w:t>
      </w:r>
      <w:r w:rsidR="00952B4C">
        <w:t>-</w:t>
      </w:r>
      <w:r>
        <w:t>MUS approach (</w:t>
      </w:r>
      <w:r w:rsidR="00952B4C">
        <w:t xml:space="preserve">Recommendation </w:t>
      </w:r>
      <w:r>
        <w:t xml:space="preserve">1.5.11), except as part of a clinical trial. </w:t>
      </w:r>
      <w:r w:rsidR="00873A5E">
        <w:t>T</w:t>
      </w:r>
      <w:r>
        <w:t>here is currently no top-down RP</w:t>
      </w:r>
      <w:r w:rsidR="00952B4C">
        <w:t>-</w:t>
      </w:r>
      <w:r>
        <w:t xml:space="preserve">MUS device </w:t>
      </w:r>
      <w:r w:rsidR="00873A5E">
        <w:t>listed on the PL</w:t>
      </w:r>
      <w:r>
        <w:t>.</w:t>
      </w:r>
    </w:p>
    <w:p w14:paraId="38858B60" w14:textId="4D61674A" w:rsidR="00DC0DCD" w:rsidRPr="00DC0DCD" w:rsidRDefault="00D336BA" w:rsidP="00DC0DCD">
      <w:pPr>
        <w:pStyle w:val="BodyText"/>
      </w:pPr>
      <w:r>
        <w:t>Regarding</w:t>
      </w:r>
      <w:r w:rsidR="00B92F37">
        <w:t xml:space="preserve"> bulking agents, NICE </w:t>
      </w:r>
      <w:r w:rsidR="00D01878">
        <w:t>recommend</w:t>
      </w:r>
      <w:r w:rsidR="00D85B34">
        <w:t>s</w:t>
      </w:r>
      <w:r w:rsidR="0070380C">
        <w:t xml:space="preserve"> considering these only if</w:t>
      </w:r>
      <w:r w:rsidR="0073112B">
        <w:t xml:space="preserve"> </w:t>
      </w:r>
      <w:r w:rsidR="00A16BAD">
        <w:t xml:space="preserve">alternative surgical procedures are not suitable </w:t>
      </w:r>
      <w:r w:rsidR="0099267A">
        <w:t>or acceptable to the patient</w:t>
      </w:r>
      <w:r w:rsidR="0073112B">
        <w:t xml:space="preserve"> </w:t>
      </w:r>
      <w:r w:rsidR="00B6795D">
        <w:t>(Recommendation 1.5.3)</w:t>
      </w:r>
      <w:r w:rsidR="007850AC">
        <w:t>.</w:t>
      </w:r>
      <w:r w:rsidR="0081496C">
        <w:t xml:space="preserve"> </w:t>
      </w:r>
      <w:r w:rsidR="004705E0">
        <w:t>Given</w:t>
      </w:r>
      <w:r w:rsidR="00424FB7">
        <w:t xml:space="preserve"> </w:t>
      </w:r>
      <w:r>
        <w:t>the</w:t>
      </w:r>
      <w:r w:rsidR="00424FB7">
        <w:t xml:space="preserve"> lack of evidence, t</w:t>
      </w:r>
      <w:r w:rsidR="0081496C">
        <w:t xml:space="preserve">his recommendation was made </w:t>
      </w:r>
      <w:r w:rsidR="006D2BA0">
        <w:t xml:space="preserve">by consensus, based on the </w:t>
      </w:r>
      <w:r w:rsidR="00C06ED7">
        <w:t>knowledge and experience of the committee</w:t>
      </w:r>
      <w:r w:rsidR="00A453F1">
        <w:t>.</w:t>
      </w:r>
    </w:p>
    <w:p w14:paraId="4218104D" w14:textId="4601CF54" w:rsidR="00147D43" w:rsidRPr="00B0485F" w:rsidRDefault="00A60388" w:rsidP="00147D43">
      <w:pPr>
        <w:pStyle w:val="BodyText"/>
      </w:pPr>
      <w:r>
        <w:t xml:space="preserve">For </w:t>
      </w:r>
      <w:r w:rsidR="00FE4217">
        <w:t>a list of</w:t>
      </w:r>
      <w:r>
        <w:t xml:space="preserve"> the </w:t>
      </w:r>
      <w:r w:rsidR="00054D51">
        <w:t>NICE Guideline</w:t>
      </w:r>
      <w:r>
        <w:t xml:space="preserve"> recommendations </w:t>
      </w:r>
      <w:r w:rsidR="00FE4217">
        <w:t xml:space="preserve">relevant to this post-listing review </w:t>
      </w:r>
      <w:r>
        <w:t xml:space="preserve">see </w:t>
      </w:r>
      <w:r w:rsidRPr="00A60388">
        <w:rPr>
          <w:b/>
          <w:bCs/>
        </w:rPr>
        <w:fldChar w:fldCharType="begin"/>
      </w:r>
      <w:r w:rsidRPr="00A60388">
        <w:rPr>
          <w:b/>
          <w:bCs/>
        </w:rPr>
        <w:instrText xml:space="preserve"> REF _Ref129788540 \n \h </w:instrText>
      </w:r>
      <w:r>
        <w:rPr>
          <w:b/>
          <w:bCs/>
        </w:rPr>
        <w:instrText xml:space="preserve"> \* MERGEFORMAT </w:instrText>
      </w:r>
      <w:r w:rsidRPr="00A60388">
        <w:rPr>
          <w:b/>
          <w:bCs/>
        </w:rPr>
      </w:r>
      <w:r w:rsidRPr="00A60388">
        <w:rPr>
          <w:b/>
          <w:bCs/>
        </w:rPr>
        <w:fldChar w:fldCharType="separate"/>
      </w:r>
      <w:r w:rsidR="007105D3">
        <w:rPr>
          <w:b/>
          <w:bCs/>
        </w:rPr>
        <w:t>Appendix E</w:t>
      </w:r>
      <w:r w:rsidRPr="00A60388">
        <w:rPr>
          <w:b/>
          <w:bCs/>
        </w:rPr>
        <w:fldChar w:fldCharType="end"/>
      </w:r>
      <w:r>
        <w:t>.</w:t>
      </w:r>
    </w:p>
    <w:p w14:paraId="4965F2F6" w14:textId="14CB95C1" w:rsidR="000C2D24" w:rsidRPr="000C2D24" w:rsidRDefault="00CE3699" w:rsidP="008810DD">
      <w:pPr>
        <w:pStyle w:val="Heading2"/>
      </w:pPr>
      <w:bookmarkStart w:id="85" w:name="_Toc165627834"/>
      <w:r>
        <w:lastRenderedPageBreak/>
        <w:t>Regulatory advice</w:t>
      </w:r>
      <w:bookmarkEnd w:id="85"/>
    </w:p>
    <w:p w14:paraId="4D3F75DA" w14:textId="2770A7D7" w:rsidR="00661486" w:rsidRPr="00661486" w:rsidRDefault="00661486" w:rsidP="008810DD">
      <w:pPr>
        <w:pStyle w:val="Heading3"/>
      </w:pPr>
      <w:bookmarkStart w:id="86" w:name="_Toc165627835"/>
      <w:r>
        <w:t>Health Canada</w:t>
      </w:r>
      <w:bookmarkEnd w:id="86"/>
    </w:p>
    <w:p w14:paraId="2BA7D624" w14:textId="41D0B765" w:rsidR="00147D43" w:rsidRPr="00B0485F" w:rsidRDefault="00147D43" w:rsidP="008810DD">
      <w:pPr>
        <w:pStyle w:val="BodyText"/>
        <w:keepNext/>
      </w:pPr>
      <w:r w:rsidRPr="00B0485F">
        <w:t>In November 2022</w:t>
      </w:r>
      <w:r w:rsidR="001452C4">
        <w:t>,</w:t>
      </w:r>
      <w:r w:rsidRPr="00B0485F">
        <w:t xml:space="preserve"> Health Canada released a </w:t>
      </w:r>
      <w:r w:rsidR="005A0D2D">
        <w:t>S</w:t>
      </w:r>
      <w:r w:rsidRPr="00B0485F">
        <w:t xml:space="preserve">ummary </w:t>
      </w:r>
      <w:r w:rsidR="005A0D2D">
        <w:t>S</w:t>
      </w:r>
      <w:r w:rsidRPr="00B0485F">
        <w:t xml:space="preserve">afety </w:t>
      </w:r>
      <w:r w:rsidR="005A0D2D">
        <w:t>R</w:t>
      </w:r>
      <w:r w:rsidRPr="00B0485F">
        <w:t>eview</w:t>
      </w:r>
      <w:r w:rsidR="006149B9">
        <w:t xml:space="preserve"> </w:t>
      </w:r>
      <w:r w:rsidR="005A0D2D">
        <w:t>on non-absorbable synthetic MUS</w:t>
      </w:r>
      <w:r w:rsidR="00F416A8" w:rsidRPr="00F416A8">
        <w:rPr>
          <w:vertAlign w:val="superscript"/>
        </w:rPr>
        <w:fldChar w:fldCharType="begin"/>
      </w:r>
      <w:r w:rsidR="00F416A8" w:rsidRPr="00F416A8">
        <w:rPr>
          <w:vertAlign w:val="superscript"/>
        </w:rPr>
        <w:instrText xml:space="preserve"> NOTEREF _Ref134177357 \h </w:instrText>
      </w:r>
      <w:r w:rsidR="00F416A8">
        <w:rPr>
          <w:vertAlign w:val="superscript"/>
        </w:rPr>
        <w:instrText xml:space="preserve"> \* MERGEFORMAT </w:instrText>
      </w:r>
      <w:r w:rsidR="00F416A8" w:rsidRPr="00F416A8">
        <w:rPr>
          <w:vertAlign w:val="superscript"/>
        </w:rPr>
      </w:r>
      <w:r w:rsidR="00F416A8" w:rsidRPr="00F416A8">
        <w:rPr>
          <w:vertAlign w:val="superscript"/>
        </w:rPr>
        <w:fldChar w:fldCharType="separate"/>
      </w:r>
      <w:r w:rsidR="007105D3">
        <w:rPr>
          <w:vertAlign w:val="superscript"/>
        </w:rPr>
        <w:t>4</w:t>
      </w:r>
      <w:r w:rsidR="00F416A8" w:rsidRPr="00F416A8">
        <w:rPr>
          <w:vertAlign w:val="superscript"/>
        </w:rPr>
        <w:fldChar w:fldCharType="end"/>
      </w:r>
      <w:r w:rsidR="00FE17E6">
        <w:t>.</w:t>
      </w:r>
      <w:r w:rsidRPr="00B0485F">
        <w:t xml:space="preserve"> The purpose, methodology, findings, </w:t>
      </w:r>
      <w:proofErr w:type="gramStart"/>
      <w:r w:rsidRPr="00B0485F">
        <w:t>conclusions</w:t>
      </w:r>
      <w:proofErr w:type="gramEnd"/>
      <w:r w:rsidRPr="00B0485F">
        <w:t xml:space="preserve"> and actions from the report are summarised in </w:t>
      </w:r>
      <w:r w:rsidR="002E1C46">
        <w:fldChar w:fldCharType="begin"/>
      </w:r>
      <w:r w:rsidR="002E1C46">
        <w:instrText xml:space="preserve"> REF _Ref133829493 \n \h </w:instrText>
      </w:r>
      <w:r w:rsidR="002E1C46">
        <w:fldChar w:fldCharType="separate"/>
      </w:r>
      <w:r w:rsidR="007105D3">
        <w:t>Appendix F</w:t>
      </w:r>
      <w:r w:rsidR="002E1C46">
        <w:fldChar w:fldCharType="end"/>
      </w:r>
      <w:r w:rsidR="002E1C46">
        <w:t xml:space="preserve"> </w:t>
      </w:r>
      <w:r w:rsidR="00AC68E8">
        <w:t>(</w:t>
      </w:r>
      <w:r w:rsidRPr="00B0485F">
        <w:rPr>
          <w:b/>
          <w:bCs/>
        </w:rPr>
        <w:fldChar w:fldCharType="begin"/>
      </w:r>
      <w:r w:rsidRPr="00B0485F">
        <w:rPr>
          <w:b/>
          <w:bCs/>
        </w:rPr>
        <w:instrText xml:space="preserve"> REF _Ref129763812 \h  \* MERGEFORMAT </w:instrText>
      </w:r>
      <w:r w:rsidRPr="00B0485F">
        <w:rPr>
          <w:b/>
          <w:bCs/>
        </w:rPr>
      </w:r>
      <w:r w:rsidRPr="00B0485F">
        <w:rPr>
          <w:b/>
          <w:bCs/>
        </w:rPr>
        <w:fldChar w:fldCharType="separate"/>
      </w:r>
      <w:r w:rsidR="007105D3" w:rsidRPr="007105D3">
        <w:rPr>
          <w:b/>
          <w:bCs/>
        </w:rPr>
        <w:t xml:space="preserve">Table App. </w:t>
      </w:r>
      <w:r w:rsidR="007105D3" w:rsidRPr="007105D3">
        <w:rPr>
          <w:b/>
          <w:bCs/>
          <w:noProof/>
        </w:rPr>
        <w:t>12</w:t>
      </w:r>
      <w:r w:rsidRPr="00B0485F">
        <w:rPr>
          <w:b/>
          <w:bCs/>
        </w:rPr>
        <w:fldChar w:fldCharType="end"/>
      </w:r>
      <w:r w:rsidR="00AC68E8" w:rsidRPr="00AC68E8">
        <w:t>)</w:t>
      </w:r>
    </w:p>
    <w:p w14:paraId="60CEE144" w14:textId="77777777" w:rsidR="00147D43" w:rsidRPr="00B0485F" w:rsidRDefault="00147D43" w:rsidP="008810DD">
      <w:pPr>
        <w:pStyle w:val="BodyText"/>
        <w:keepNext/>
      </w:pPr>
      <w:r w:rsidRPr="00B0485F">
        <w:t>Key findings from the report include the following:</w:t>
      </w:r>
    </w:p>
    <w:p w14:paraId="7BA4E4C3" w14:textId="2DF006C7" w:rsidR="00147D43" w:rsidRPr="00B0485F" w:rsidRDefault="00DF0F71" w:rsidP="008810DD">
      <w:pPr>
        <w:pStyle w:val="BodyText"/>
        <w:keepNext/>
        <w:numPr>
          <w:ilvl w:val="0"/>
          <w:numId w:val="11"/>
        </w:numPr>
      </w:pPr>
      <w:r>
        <w:t>T</w:t>
      </w:r>
      <w:r w:rsidR="00147D43" w:rsidRPr="00B0485F">
        <w:t>here were no new (not previously known) or increased risks of complications associated with the long-term (</w:t>
      </w:r>
      <w:r w:rsidR="00147D43" w:rsidRPr="00B0485F">
        <w:rPr>
          <w:rFonts w:cs="Calibri"/>
        </w:rPr>
        <w:t>≥ 5 years) use of MUS compared to previous reviews</w:t>
      </w:r>
      <w:r>
        <w:rPr>
          <w:rFonts w:cs="Calibri"/>
        </w:rPr>
        <w:t>.</w:t>
      </w:r>
    </w:p>
    <w:p w14:paraId="7FE8FEBA" w14:textId="666304BF" w:rsidR="00147D43" w:rsidRPr="00B0485F" w:rsidRDefault="00DF0F71" w:rsidP="00713A63">
      <w:pPr>
        <w:pStyle w:val="BodyText"/>
        <w:numPr>
          <w:ilvl w:val="0"/>
          <w:numId w:val="11"/>
        </w:numPr>
      </w:pPr>
      <w:r>
        <w:t>T</w:t>
      </w:r>
      <w:r w:rsidR="00147D43" w:rsidRPr="00B0485F">
        <w:t>he risk of developing chronic pain and/or mesh erosion is lower over the longer term (≥ 5 years)</w:t>
      </w:r>
      <w:r>
        <w:t>.</w:t>
      </w:r>
    </w:p>
    <w:p w14:paraId="2881295F" w14:textId="0DCE1B9D" w:rsidR="00147D43" w:rsidRPr="00B0485F" w:rsidRDefault="00DF0F71" w:rsidP="00713A63">
      <w:pPr>
        <w:pStyle w:val="BodyText"/>
        <w:numPr>
          <w:ilvl w:val="0"/>
          <w:numId w:val="11"/>
        </w:numPr>
      </w:pPr>
      <w:r>
        <w:t>L</w:t>
      </w:r>
      <w:r w:rsidR="00147D43" w:rsidRPr="00B0485F">
        <w:t>ong-term (≥ 5 years) safety and effectiveness of MUS for SUI is equivalent to surgical alternatives that do not use vaginal surgical mesh</w:t>
      </w:r>
      <w:r>
        <w:t>.</w:t>
      </w:r>
    </w:p>
    <w:p w14:paraId="7E1CE877" w14:textId="4C094A52" w:rsidR="00147D43" w:rsidRPr="00B0485F" w:rsidRDefault="00DF0F71" w:rsidP="00713A63">
      <w:pPr>
        <w:pStyle w:val="BodyText"/>
        <w:numPr>
          <w:ilvl w:val="0"/>
          <w:numId w:val="11"/>
        </w:numPr>
      </w:pPr>
      <w:r>
        <w:t>E</w:t>
      </w:r>
      <w:r w:rsidR="00147D43" w:rsidRPr="00B0485F">
        <w:t>ffectiveness and patient satisfaction over the long-term (≥ 5 years) are relatively high in most patients</w:t>
      </w:r>
      <w:r>
        <w:t>.</w:t>
      </w:r>
    </w:p>
    <w:p w14:paraId="360F1DF5" w14:textId="4EB681F1" w:rsidR="00147D43" w:rsidRPr="00B0485F" w:rsidRDefault="00147D43" w:rsidP="00147D43">
      <w:pPr>
        <w:pStyle w:val="BodyText"/>
      </w:pPr>
      <w:r w:rsidRPr="00B0485F">
        <w:t>Following the report, MUS for the treatment of SUI continue to be available in Canada</w:t>
      </w:r>
      <w:r w:rsidR="003C569B">
        <w:t>.</w:t>
      </w:r>
      <w:r w:rsidRPr="00B0485F">
        <w:t xml:space="preserve"> Health Canada continues to monitor the safety of vaginal surgical mesh devices.</w:t>
      </w:r>
    </w:p>
    <w:p w14:paraId="08D40F40" w14:textId="0C010DAB" w:rsidR="00D37D52" w:rsidRPr="00B0485F" w:rsidRDefault="00D37D52" w:rsidP="00D37D52">
      <w:pPr>
        <w:pStyle w:val="Heading3"/>
      </w:pPr>
      <w:bookmarkStart w:id="87" w:name="_Toc165627836"/>
      <w:r>
        <w:t>Therapeutic Goods Association</w:t>
      </w:r>
      <w:bookmarkEnd w:id="87"/>
    </w:p>
    <w:p w14:paraId="28F1BFC9" w14:textId="68A8AE56" w:rsidR="00AC029F" w:rsidRPr="00AC029F" w:rsidRDefault="00615DDD" w:rsidP="00AC029F">
      <w:pPr>
        <w:pStyle w:val="BodyText"/>
      </w:pPr>
      <w:r>
        <w:t>Mid-urethral slings for the treatment of SUI continue to be approved for supply in Australia</w:t>
      </w:r>
      <w:r w:rsidR="0043132A">
        <w:t xml:space="preserve"> </w:t>
      </w:r>
      <w:r w:rsidR="001407F4">
        <w:t>(</w:t>
      </w:r>
      <w:r w:rsidR="0043132A">
        <w:t>see</w:t>
      </w:r>
      <w:r w:rsidR="001407F4">
        <w:t xml:space="preserve"> </w:t>
      </w:r>
      <w:r w:rsidR="001407F4" w:rsidRPr="001407F4">
        <w:rPr>
          <w:b/>
          <w:bCs/>
        </w:rPr>
        <w:t xml:space="preserve">Section </w:t>
      </w:r>
      <w:r w:rsidR="001407F4" w:rsidRPr="001407F4">
        <w:rPr>
          <w:b/>
          <w:bCs/>
        </w:rPr>
        <w:fldChar w:fldCharType="begin"/>
      </w:r>
      <w:r w:rsidR="001407F4" w:rsidRPr="001407F4">
        <w:rPr>
          <w:b/>
          <w:bCs/>
        </w:rPr>
        <w:instrText xml:space="preserve"> REF _Ref129347074 \r \h </w:instrText>
      </w:r>
      <w:r w:rsidR="001407F4">
        <w:rPr>
          <w:b/>
          <w:bCs/>
        </w:rPr>
        <w:instrText xml:space="preserve"> \* MERGEFORMAT </w:instrText>
      </w:r>
      <w:r w:rsidR="001407F4" w:rsidRPr="001407F4">
        <w:rPr>
          <w:b/>
          <w:bCs/>
        </w:rPr>
      </w:r>
      <w:r w:rsidR="001407F4" w:rsidRPr="001407F4">
        <w:rPr>
          <w:b/>
          <w:bCs/>
        </w:rPr>
        <w:fldChar w:fldCharType="separate"/>
      </w:r>
      <w:r w:rsidR="007105D3">
        <w:rPr>
          <w:b/>
          <w:bCs/>
        </w:rPr>
        <w:t>1.2.1</w:t>
      </w:r>
      <w:r w:rsidR="001407F4" w:rsidRPr="001407F4">
        <w:rPr>
          <w:b/>
          <w:bCs/>
        </w:rPr>
        <w:fldChar w:fldCharType="end"/>
      </w:r>
      <w:r w:rsidR="001407F4">
        <w:t>)</w:t>
      </w:r>
      <w:r>
        <w:t>.</w:t>
      </w:r>
    </w:p>
    <w:p w14:paraId="1009FBDC" w14:textId="232DD7F1" w:rsidR="00AA671B" w:rsidRPr="00B0485F" w:rsidRDefault="00AA671B" w:rsidP="00AA671B">
      <w:pPr>
        <w:pStyle w:val="Heading1"/>
      </w:pPr>
      <w:bookmarkStart w:id="88" w:name="_Toc165627837"/>
      <w:r w:rsidRPr="00B0485F">
        <w:lastRenderedPageBreak/>
        <w:t>Comparative cost-effectiveness</w:t>
      </w:r>
      <w:bookmarkEnd w:id="88"/>
    </w:p>
    <w:p w14:paraId="11008963" w14:textId="18810308" w:rsidR="00AB1530" w:rsidRPr="00B0485F" w:rsidRDefault="006C46FE" w:rsidP="00AB1530">
      <w:pPr>
        <w:pStyle w:val="BodyText"/>
        <w:rPr>
          <w:highlight w:val="yellow"/>
        </w:rPr>
      </w:pPr>
      <w:r w:rsidRPr="00B0485F">
        <w:t xml:space="preserve">The scope of this </w:t>
      </w:r>
      <w:r w:rsidR="00D84B20" w:rsidRPr="00B0485F">
        <w:t>review</w:t>
      </w:r>
      <w:r w:rsidRPr="00B0485F">
        <w:t xml:space="preserve"> included a search for economic evaluations of </w:t>
      </w:r>
      <w:r w:rsidR="005D71A4">
        <w:t>MUS</w:t>
      </w:r>
      <w:r w:rsidRPr="00B0485F">
        <w:t>.</w:t>
      </w:r>
      <w:r w:rsidR="004247CD" w:rsidRPr="00B0485F">
        <w:t xml:space="preserve"> </w:t>
      </w:r>
      <w:r w:rsidR="00AB1530" w:rsidRPr="00B0485F">
        <w:t>The research question</w:t>
      </w:r>
      <w:r w:rsidR="00120571" w:rsidRPr="00B0485F">
        <w:t>s</w:t>
      </w:r>
      <w:r w:rsidR="00AB1530" w:rsidRPr="00B0485F">
        <w:t xml:space="preserve"> to focus the review </w:t>
      </w:r>
      <w:r w:rsidR="00120571" w:rsidRPr="00B0485F">
        <w:t>are</w:t>
      </w:r>
      <w:r w:rsidR="00AB1530" w:rsidRPr="00B0485F">
        <w:t>:</w:t>
      </w:r>
    </w:p>
    <w:p w14:paraId="6B595EAD" w14:textId="7DFF7E89" w:rsidR="000D52B6" w:rsidRPr="00B0485F" w:rsidRDefault="000D52B6" w:rsidP="00713A63">
      <w:pPr>
        <w:pStyle w:val="Boxeditalictext"/>
        <w:numPr>
          <w:ilvl w:val="0"/>
          <w:numId w:val="24"/>
        </w:numPr>
      </w:pPr>
      <w:r w:rsidRPr="00B0485F">
        <w:t xml:space="preserve">What </w:t>
      </w:r>
      <w:r w:rsidR="001652B7">
        <w:t>evidence is available on</w:t>
      </w:r>
      <w:r w:rsidRPr="00B0485F">
        <w:t xml:space="preserve"> the cost-effectiveness of mid-urethral sling compared to the use of bulking agents, </w:t>
      </w:r>
      <w:proofErr w:type="spellStart"/>
      <w:r w:rsidRPr="00B0485F">
        <w:t>colposuspension</w:t>
      </w:r>
      <w:proofErr w:type="spellEnd"/>
      <w:r w:rsidRPr="00B0485F">
        <w:t xml:space="preserve"> or pubovaginal sling (native tissue) for women with stress urinary incontinence?</w:t>
      </w:r>
    </w:p>
    <w:p w14:paraId="5E92002B" w14:textId="23784E80" w:rsidR="000D52B6" w:rsidRPr="00B0485F" w:rsidRDefault="000D52B6" w:rsidP="00713A63">
      <w:pPr>
        <w:pStyle w:val="Boxeditalictext"/>
        <w:numPr>
          <w:ilvl w:val="0"/>
          <w:numId w:val="24"/>
        </w:numPr>
      </w:pPr>
      <w:r w:rsidRPr="00B0485F">
        <w:t xml:space="preserve">What </w:t>
      </w:r>
      <w:r w:rsidR="00C079AB">
        <w:t xml:space="preserve">evidence </w:t>
      </w:r>
      <w:r w:rsidRPr="00B0485F">
        <w:t>is</w:t>
      </w:r>
      <w:r w:rsidR="00C079AB">
        <w:t xml:space="preserve"> available on</w:t>
      </w:r>
      <w:r w:rsidRPr="00B0485F">
        <w:t xml:space="preserve"> the cost-effectiveness of retropubic mid-urethral sling compared to a </w:t>
      </w:r>
      <w:proofErr w:type="spellStart"/>
      <w:r w:rsidRPr="00B0485F">
        <w:t>transobturator</w:t>
      </w:r>
      <w:proofErr w:type="spellEnd"/>
      <w:r w:rsidRPr="00B0485F">
        <w:t xml:space="preserve"> mid-urethral sling for women with stress urinary incontinence?</w:t>
      </w:r>
    </w:p>
    <w:p w14:paraId="5CA344D9" w14:textId="6E3BB797" w:rsidR="00AB1530" w:rsidRPr="00B0485F" w:rsidRDefault="00AB1530" w:rsidP="00AB1530">
      <w:pPr>
        <w:pStyle w:val="Boxeditalictext"/>
      </w:pPr>
      <w:r w:rsidRPr="00B0485F">
        <w:t>Can any conclusions be drawn from the evidence base</w:t>
      </w:r>
      <w:r w:rsidR="00C225E1" w:rsidRPr="00B0485F">
        <w:t xml:space="preserve"> for these questions</w:t>
      </w:r>
      <w:r w:rsidRPr="00B0485F">
        <w:t>?</w:t>
      </w:r>
    </w:p>
    <w:p w14:paraId="6BA1E3C9" w14:textId="6036924F" w:rsidR="00737DEF" w:rsidRPr="00B0485F" w:rsidRDefault="00286E9A" w:rsidP="00737DEF">
      <w:pPr>
        <w:pStyle w:val="Heading2"/>
      </w:pPr>
      <w:bookmarkStart w:id="89" w:name="_Toc165627838"/>
      <w:r w:rsidRPr="00B0485F">
        <w:t>Methodology</w:t>
      </w:r>
      <w:bookmarkEnd w:id="89"/>
    </w:p>
    <w:p w14:paraId="7B09D321" w14:textId="0BD55DF5" w:rsidR="00AC260F" w:rsidRPr="00B0485F" w:rsidRDefault="00FB347D" w:rsidP="00AC260F">
      <w:pPr>
        <w:pStyle w:val="BodyText"/>
      </w:pPr>
      <w:r>
        <w:t>The evidence base</w:t>
      </w:r>
      <w:r w:rsidR="00AC260F" w:rsidRPr="00B0485F">
        <w:t xml:space="preserve"> was assessed </w:t>
      </w:r>
      <w:r>
        <w:t>following</w:t>
      </w:r>
      <w:r w:rsidR="00AC260F" w:rsidRPr="00B0485F">
        <w:t xml:space="preserve"> a literature review of existing comparative cost-effectiveness studies and synthesis with any additional evidence provided by </w:t>
      </w:r>
      <w:proofErr w:type="spellStart"/>
      <w:r w:rsidR="00B05B0C" w:rsidRPr="00B0485F">
        <w:t>D</w:t>
      </w:r>
      <w:r w:rsidR="00F375DE">
        <w:t>o</w:t>
      </w:r>
      <w:r w:rsidR="00B05B0C" w:rsidRPr="00B0485F">
        <w:t>HAC</w:t>
      </w:r>
      <w:proofErr w:type="spellEnd"/>
      <w:r w:rsidR="00AC260F" w:rsidRPr="00B0485F">
        <w:t>, sponsors or stakeholder</w:t>
      </w:r>
      <w:r w:rsidR="00B05B0C">
        <w:t>s</w:t>
      </w:r>
      <w:r w:rsidR="00AC260F" w:rsidRPr="00B0485F">
        <w:t>.</w:t>
      </w:r>
    </w:p>
    <w:p w14:paraId="59ECE0C6" w14:textId="13824072" w:rsidR="004477A1" w:rsidRPr="00B0485F" w:rsidRDefault="00CE604F" w:rsidP="00AC260F">
      <w:pPr>
        <w:pStyle w:val="BodyText"/>
      </w:pPr>
      <w:r>
        <w:t>A</w:t>
      </w:r>
      <w:r w:rsidR="004477A1" w:rsidRPr="00B0485F">
        <w:t xml:space="preserve"> literature search was undertaken to identify published comparative economic evaluations that focus on </w:t>
      </w:r>
      <w:r w:rsidR="003E6249" w:rsidRPr="00B0485F">
        <w:t xml:space="preserve">surgical interventions for </w:t>
      </w:r>
      <w:r w:rsidR="006631D8">
        <w:t>SUI</w:t>
      </w:r>
      <w:r w:rsidR="003E6249" w:rsidRPr="00B0485F">
        <w:t xml:space="preserve"> including </w:t>
      </w:r>
      <w:r w:rsidR="005D71A4">
        <w:t>MUS</w:t>
      </w:r>
      <w:r w:rsidR="004477A1" w:rsidRPr="00B0485F">
        <w:t>. The economic evaluations included for assessment were cost-effectiveness analyses, cost-utility analyses, and cost-benefit analyse</w:t>
      </w:r>
      <w:r w:rsidR="004477A1" w:rsidRPr="00F744C4">
        <w:t>s. Studies that included only</w:t>
      </w:r>
      <w:r w:rsidR="001C3E62" w:rsidRPr="00F744C4">
        <w:t xml:space="preserve"> comparative</w:t>
      </w:r>
      <w:r w:rsidR="004477A1" w:rsidRPr="00F744C4">
        <w:t xml:space="preserve"> cost analyses were not included.</w:t>
      </w:r>
    </w:p>
    <w:p w14:paraId="754A25F8" w14:textId="4D8930DA" w:rsidR="00FF73E6" w:rsidRPr="0032096A" w:rsidRDefault="0008570B" w:rsidP="00FF73E6">
      <w:pPr>
        <w:pStyle w:val="BodyText"/>
      </w:pPr>
      <w:r w:rsidRPr="0032096A">
        <w:t>The s</w:t>
      </w:r>
      <w:r w:rsidR="00A171C1" w:rsidRPr="0032096A">
        <w:t>earch strings</w:t>
      </w:r>
      <w:r w:rsidR="00141ED0" w:rsidRPr="0032096A">
        <w:t xml:space="preserve"> and </w:t>
      </w:r>
      <w:r w:rsidR="00E37C52" w:rsidRPr="0032096A">
        <w:t xml:space="preserve">a </w:t>
      </w:r>
      <w:r w:rsidR="00141ED0" w:rsidRPr="0032096A">
        <w:t xml:space="preserve">summary of </w:t>
      </w:r>
      <w:r w:rsidRPr="0032096A">
        <w:t xml:space="preserve">the </w:t>
      </w:r>
      <w:r w:rsidR="00141ED0" w:rsidRPr="0032096A">
        <w:t>search results</w:t>
      </w:r>
      <w:r w:rsidR="006D7561" w:rsidRPr="0032096A">
        <w:t xml:space="preserve"> are presented</w:t>
      </w:r>
      <w:r w:rsidR="00A171C1" w:rsidRPr="0032096A">
        <w:t xml:space="preserve"> in </w:t>
      </w:r>
      <w:r w:rsidR="00437BD8" w:rsidRPr="00437BD8">
        <w:rPr>
          <w:b/>
          <w:bCs/>
        </w:rPr>
        <w:t xml:space="preserve">Appendix </w:t>
      </w:r>
      <w:r w:rsidR="00437BD8" w:rsidRPr="00437BD8">
        <w:rPr>
          <w:b/>
          <w:bCs/>
        </w:rPr>
        <w:fldChar w:fldCharType="begin"/>
      </w:r>
      <w:r w:rsidR="00437BD8" w:rsidRPr="00437BD8">
        <w:rPr>
          <w:b/>
          <w:bCs/>
        </w:rPr>
        <w:instrText xml:space="preserve"> REF _Ref134184001 \n \h </w:instrText>
      </w:r>
      <w:r w:rsidR="00437BD8">
        <w:rPr>
          <w:b/>
          <w:bCs/>
        </w:rPr>
        <w:instrText xml:space="preserve"> \* MERGEFORMAT </w:instrText>
      </w:r>
      <w:r w:rsidR="00437BD8" w:rsidRPr="00437BD8">
        <w:rPr>
          <w:b/>
          <w:bCs/>
        </w:rPr>
      </w:r>
      <w:r w:rsidR="00437BD8" w:rsidRPr="00437BD8">
        <w:rPr>
          <w:b/>
          <w:bCs/>
        </w:rPr>
        <w:fldChar w:fldCharType="separate"/>
      </w:r>
      <w:r w:rsidR="007105D3">
        <w:rPr>
          <w:b/>
          <w:bCs/>
        </w:rPr>
        <w:t>A.2</w:t>
      </w:r>
      <w:r w:rsidR="00437BD8" w:rsidRPr="00437BD8">
        <w:rPr>
          <w:b/>
          <w:bCs/>
        </w:rPr>
        <w:fldChar w:fldCharType="end"/>
      </w:r>
      <w:r w:rsidR="000522C6" w:rsidRPr="0032096A">
        <w:t>.</w:t>
      </w:r>
    </w:p>
    <w:p w14:paraId="682D92F6" w14:textId="73B72D29" w:rsidR="00E52F15" w:rsidRDefault="002531DC">
      <w:pPr>
        <w:pStyle w:val="Heading2"/>
      </w:pPr>
      <w:bookmarkStart w:id="90" w:name="_Toc130287570"/>
      <w:bookmarkStart w:id="91" w:name="_Toc165627839"/>
      <w:r w:rsidRPr="00B0485F">
        <w:t>Summary of the evidence</w:t>
      </w:r>
      <w:bookmarkEnd w:id="90"/>
      <w:bookmarkEnd w:id="91"/>
    </w:p>
    <w:p w14:paraId="3EC0C0A1" w14:textId="5D4564EE" w:rsidR="00A739AC" w:rsidRPr="00C506A4" w:rsidRDefault="005B1BD0" w:rsidP="004C2C04">
      <w:pPr>
        <w:pStyle w:val="BodyText"/>
      </w:pPr>
      <w:r>
        <w:t>R</w:t>
      </w:r>
      <w:r w:rsidR="00743967">
        <w:t xml:space="preserve">efer to the </w:t>
      </w:r>
      <w:r w:rsidR="000437DA">
        <w:t xml:space="preserve">Section on </w:t>
      </w:r>
      <w:r w:rsidR="007B631A">
        <w:t>Terminology</w:t>
      </w:r>
      <w:r w:rsidR="00925C35">
        <w:t xml:space="preserve"> </w:t>
      </w:r>
      <w:r w:rsidR="00300ECC">
        <w:t xml:space="preserve">at the beginning of this document </w:t>
      </w:r>
      <w:r w:rsidR="00925C35">
        <w:t xml:space="preserve">for an explanation </w:t>
      </w:r>
      <w:r w:rsidR="0080369C">
        <w:t>of terms</w:t>
      </w:r>
      <w:r w:rsidR="00925C35">
        <w:t>.</w:t>
      </w:r>
    </w:p>
    <w:p w14:paraId="5A6FF6C6" w14:textId="021BEE1F" w:rsidR="00E43D7F" w:rsidRPr="00B0485F" w:rsidRDefault="00DE4013" w:rsidP="00E43D7F">
      <w:pPr>
        <w:pStyle w:val="Heading3"/>
      </w:pPr>
      <w:bookmarkStart w:id="92" w:name="_Toc129270045"/>
      <w:bookmarkStart w:id="93" w:name="_Ref130998781"/>
      <w:bookmarkStart w:id="94" w:name="_Toc165627840"/>
      <w:r w:rsidRPr="00B0485F">
        <w:t>S</w:t>
      </w:r>
      <w:r w:rsidR="00E43D7F" w:rsidRPr="00B0485F">
        <w:t>ystematic review</w:t>
      </w:r>
      <w:bookmarkEnd w:id="92"/>
      <w:r w:rsidR="00E43D7F" w:rsidRPr="00B0485F">
        <w:t>s</w:t>
      </w:r>
      <w:r w:rsidR="00D53E31" w:rsidRPr="00B0485F">
        <w:t xml:space="preserve"> </w:t>
      </w:r>
      <w:r w:rsidR="00B93313" w:rsidRPr="00B0485F">
        <w:t>of economic evaluations</w:t>
      </w:r>
      <w:bookmarkEnd w:id="93"/>
      <w:bookmarkEnd w:id="94"/>
    </w:p>
    <w:p w14:paraId="54193373" w14:textId="346DF819" w:rsidR="005B669C" w:rsidRPr="000561F7" w:rsidRDefault="00147A22" w:rsidP="00A15FFE">
      <w:pPr>
        <w:pStyle w:val="BodyText"/>
      </w:pPr>
      <w:r>
        <w:t>A</w:t>
      </w:r>
      <w:r w:rsidR="009209A4">
        <w:t xml:space="preserve"> systematic review of economic studies</w:t>
      </w:r>
      <w:r w:rsidR="004609FF">
        <w:t xml:space="preserve"> and</w:t>
      </w:r>
      <w:r w:rsidR="00737FAF">
        <w:t xml:space="preserve"> a</w:t>
      </w:r>
      <w:r w:rsidR="004609FF">
        <w:t xml:space="preserve"> </w:t>
      </w:r>
      <w:r w:rsidR="004609FF">
        <w:rPr>
          <w:i/>
          <w:iCs/>
        </w:rPr>
        <w:t xml:space="preserve">de novo </w:t>
      </w:r>
      <w:r w:rsidR="004609FF">
        <w:t>economic analysis was</w:t>
      </w:r>
      <w:r w:rsidR="009209A4">
        <w:t xml:space="preserve"> reported in </w:t>
      </w:r>
      <w:r w:rsidR="009209A4" w:rsidRPr="00B0485F">
        <w:rPr>
          <w:i/>
          <w:iCs/>
        </w:rPr>
        <w:t>Surgical treatments for women with stress urinary incontinence: the ESTER systematic review and evaluation</w:t>
      </w:r>
      <w:r w:rsidR="00CD3CED">
        <w:t xml:space="preserve"> </w:t>
      </w:r>
      <w:r w:rsidR="00245CE2">
        <w:rPr>
          <w:noProof/>
        </w:rPr>
        <w:t>(Brazzelli 2019)</w:t>
      </w:r>
      <w:r w:rsidR="00BF707A">
        <w:t>.</w:t>
      </w:r>
      <w:r w:rsidR="009209A4" w:rsidRPr="00B0485F">
        <w:t xml:space="preserve"> </w:t>
      </w:r>
      <w:r w:rsidR="00BF707A">
        <w:t>This</w:t>
      </w:r>
      <w:r w:rsidR="00B207DC">
        <w:t xml:space="preserve"> </w:t>
      </w:r>
      <w:r w:rsidR="009209A4" w:rsidRPr="00B0485F">
        <w:t>HTA</w:t>
      </w:r>
      <w:r w:rsidR="003F450B">
        <w:t>, which</w:t>
      </w:r>
      <w:r w:rsidR="009209A4" w:rsidRPr="00B0485F">
        <w:t xml:space="preserve"> </w:t>
      </w:r>
      <w:r w:rsidR="00BF707A">
        <w:t xml:space="preserve">was </w:t>
      </w:r>
      <w:r w:rsidR="0025227C">
        <w:t>commissioned</w:t>
      </w:r>
      <w:r w:rsidR="005D10BA">
        <w:t xml:space="preserve"> </w:t>
      </w:r>
      <w:r w:rsidR="00E623C0">
        <w:t xml:space="preserve">for NICE </w:t>
      </w:r>
      <w:r w:rsidR="005D10BA">
        <w:t xml:space="preserve">by the </w:t>
      </w:r>
      <w:r w:rsidR="00B647FA">
        <w:t>NIHR</w:t>
      </w:r>
      <w:r w:rsidR="0090533A">
        <w:t xml:space="preserve"> HTA Programme</w:t>
      </w:r>
      <w:r w:rsidR="003F450B">
        <w:t>,</w:t>
      </w:r>
      <w:r w:rsidR="009209A4" w:rsidRPr="00B0485F" w:rsidDel="00CD3CED">
        <w:t xml:space="preserve"> </w:t>
      </w:r>
      <w:r w:rsidR="00AF48AB">
        <w:t>was discussed</w:t>
      </w:r>
      <w:r w:rsidR="009209A4">
        <w:t xml:space="preserve"> in </w:t>
      </w:r>
      <w:r w:rsidR="009209A4" w:rsidRPr="00357128">
        <w:rPr>
          <w:b/>
          <w:bCs/>
        </w:rPr>
        <w:t xml:space="preserve">Section </w:t>
      </w:r>
      <w:r w:rsidR="009209A4" w:rsidRPr="00357128">
        <w:rPr>
          <w:b/>
          <w:bCs/>
        </w:rPr>
        <w:fldChar w:fldCharType="begin"/>
      </w:r>
      <w:r w:rsidR="009209A4" w:rsidRPr="00357128">
        <w:rPr>
          <w:b/>
          <w:bCs/>
        </w:rPr>
        <w:instrText xml:space="preserve"> REF _Ref130907248 \w \h </w:instrText>
      </w:r>
      <w:r w:rsidR="009209A4">
        <w:rPr>
          <w:b/>
          <w:bCs/>
        </w:rPr>
        <w:instrText xml:space="preserve"> \* MERGEFORMAT </w:instrText>
      </w:r>
      <w:r w:rsidR="009209A4" w:rsidRPr="00357128">
        <w:rPr>
          <w:b/>
          <w:bCs/>
        </w:rPr>
      </w:r>
      <w:r w:rsidR="009209A4" w:rsidRPr="00357128">
        <w:rPr>
          <w:b/>
          <w:bCs/>
        </w:rPr>
        <w:fldChar w:fldCharType="separate"/>
      </w:r>
      <w:r w:rsidR="007105D3">
        <w:rPr>
          <w:b/>
          <w:bCs/>
        </w:rPr>
        <w:t>2.2.2</w:t>
      </w:r>
      <w:r w:rsidR="009209A4" w:rsidRPr="00357128">
        <w:rPr>
          <w:b/>
          <w:bCs/>
        </w:rPr>
        <w:fldChar w:fldCharType="end"/>
      </w:r>
      <w:r w:rsidR="00AF48AB">
        <w:t xml:space="preserve"> in relation to clinical effectiveness</w:t>
      </w:r>
      <w:r w:rsidR="009209A4" w:rsidRPr="00B0485F">
        <w:t>. The</w:t>
      </w:r>
      <w:r w:rsidR="009209A4">
        <w:t xml:space="preserve"> </w:t>
      </w:r>
      <w:r w:rsidR="00A87B6C">
        <w:t xml:space="preserve">HTA’s </w:t>
      </w:r>
      <w:r w:rsidR="009209A4">
        <w:t>systematic review of economic studies was re</w:t>
      </w:r>
      <w:r w:rsidR="00397344">
        <w:t>-</w:t>
      </w:r>
      <w:r w:rsidR="009209A4">
        <w:t xml:space="preserve">published with an expanded list of included studies </w:t>
      </w:r>
      <w:r w:rsidR="00245CE2">
        <w:rPr>
          <w:noProof/>
        </w:rPr>
        <w:t>(Javanbakht 2020a)</w:t>
      </w:r>
      <w:r w:rsidR="004609FF">
        <w:t xml:space="preserve"> </w:t>
      </w:r>
      <w:r w:rsidR="00D0426B">
        <w:t xml:space="preserve">but has been excluded </w:t>
      </w:r>
      <w:r w:rsidR="00750EB2">
        <w:t xml:space="preserve">as </w:t>
      </w:r>
      <w:r w:rsidR="005B669C">
        <w:t xml:space="preserve">it was </w:t>
      </w:r>
      <w:r w:rsidR="000561F7">
        <w:t>primarily</w:t>
      </w:r>
      <w:r w:rsidR="005B669C">
        <w:t xml:space="preserve"> conducted to inform development of the </w:t>
      </w:r>
      <w:r w:rsidR="000561F7">
        <w:rPr>
          <w:i/>
          <w:iCs/>
        </w:rPr>
        <w:t>de novo</w:t>
      </w:r>
      <w:r w:rsidR="000561F7">
        <w:t xml:space="preserve"> economic model</w:t>
      </w:r>
      <w:r w:rsidR="00403D1A">
        <w:t xml:space="preserve"> undertaken within the same project</w:t>
      </w:r>
      <w:r w:rsidR="00D0426B">
        <w:t xml:space="preserve"> and provides insufficient detail of the included studies. The </w:t>
      </w:r>
      <w:r w:rsidR="00D0426B">
        <w:rPr>
          <w:i/>
          <w:iCs/>
        </w:rPr>
        <w:t>de novo</w:t>
      </w:r>
      <w:r w:rsidR="00D0426B">
        <w:t xml:space="preserve"> economic analysis</w:t>
      </w:r>
      <w:r w:rsidR="000561F7">
        <w:t xml:space="preserve"> </w:t>
      </w:r>
      <w:r w:rsidR="00E161DC">
        <w:t xml:space="preserve">was published separately </w:t>
      </w:r>
      <w:r w:rsidR="00245CE2">
        <w:rPr>
          <w:noProof/>
        </w:rPr>
        <w:t>(Javanbakht 2020b)</w:t>
      </w:r>
      <w:r w:rsidR="005B38CF">
        <w:t xml:space="preserve"> and </w:t>
      </w:r>
      <w:r w:rsidR="00D0426B">
        <w:t>is included below</w:t>
      </w:r>
      <w:r w:rsidR="00403D1A">
        <w:t>.</w:t>
      </w:r>
    </w:p>
    <w:p w14:paraId="56D36954" w14:textId="4389C2BF" w:rsidR="00E43D7F" w:rsidRPr="00B0485F" w:rsidRDefault="00DA4C0E" w:rsidP="00E43D7F">
      <w:pPr>
        <w:pStyle w:val="Heading3"/>
      </w:pPr>
      <w:bookmarkStart w:id="95" w:name="_Ref130979991"/>
      <w:bookmarkStart w:id="96" w:name="_Toc165627841"/>
      <w:r w:rsidRPr="00B0485F">
        <w:t>M</w:t>
      </w:r>
      <w:r w:rsidR="00B50272" w:rsidRPr="00B0485F">
        <w:t>odelled economic</w:t>
      </w:r>
      <w:r w:rsidR="00E43D7F" w:rsidRPr="00B0485F">
        <w:t xml:space="preserve"> studies</w:t>
      </w:r>
      <w:bookmarkEnd w:id="95"/>
      <w:bookmarkEnd w:id="96"/>
    </w:p>
    <w:p w14:paraId="59B996B7" w14:textId="41FE01B1" w:rsidR="00E43D7F" w:rsidRPr="00B0485F" w:rsidRDefault="003A7085" w:rsidP="00E43D7F">
      <w:pPr>
        <w:pStyle w:val="BodyText"/>
      </w:pPr>
      <w:r w:rsidRPr="00181561">
        <w:t xml:space="preserve">The literature search </w:t>
      </w:r>
      <w:r w:rsidR="0031755D" w:rsidRPr="006511A9">
        <w:t xml:space="preserve">identified </w:t>
      </w:r>
      <w:r w:rsidR="00C64E32" w:rsidRPr="006511A9">
        <w:t>six</w:t>
      </w:r>
      <w:r w:rsidR="0031755D" w:rsidRPr="006511A9">
        <w:t xml:space="preserve"> modelled economic studies</w:t>
      </w:r>
      <w:r w:rsidR="00E5540A">
        <w:t>,</w:t>
      </w:r>
      <w:r w:rsidR="00B55865" w:rsidRPr="006511A9">
        <w:t xml:space="preserve"> </w:t>
      </w:r>
      <w:r w:rsidR="0031755D" w:rsidRPr="006511A9">
        <w:t>which</w:t>
      </w:r>
      <w:r w:rsidR="0031755D">
        <w:t xml:space="preserve"> </w:t>
      </w:r>
      <w:r w:rsidRPr="00181561">
        <w:t>are summarised below.</w:t>
      </w:r>
      <w:r w:rsidR="007A093F">
        <w:t xml:space="preserve"> No </w:t>
      </w:r>
      <w:r w:rsidR="00E31E46">
        <w:t xml:space="preserve">relevant </w:t>
      </w:r>
      <w:r w:rsidR="007A093F">
        <w:t xml:space="preserve">Australian economic evaluations </w:t>
      </w:r>
      <w:r w:rsidR="00E31E46">
        <w:t>were identified.</w:t>
      </w:r>
    </w:p>
    <w:p w14:paraId="0E793667" w14:textId="77777777" w:rsidR="000D17CE" w:rsidRPr="00B0485F" w:rsidRDefault="000D17CE" w:rsidP="00654163">
      <w:pPr>
        <w:pStyle w:val="Heading4"/>
      </w:pPr>
      <w:bookmarkStart w:id="97" w:name="_Ref132808350"/>
      <w:r w:rsidRPr="00AE5A79">
        <w:lastRenderedPageBreak/>
        <w:t>Jia (2023)</w:t>
      </w:r>
    </w:p>
    <w:p w14:paraId="5B28D07A" w14:textId="729256AC" w:rsidR="000D17CE" w:rsidRPr="00B0485F" w:rsidRDefault="000D17CE" w:rsidP="00654163">
      <w:pPr>
        <w:pStyle w:val="BodyText"/>
        <w:keepNext/>
      </w:pPr>
      <w:bookmarkStart w:id="98" w:name="_Ref132810106"/>
      <w:r w:rsidRPr="00B0485F">
        <w:t>The</w:t>
      </w:r>
      <w:r w:rsidRPr="00B0485F" w:rsidDel="00C41420">
        <w:t xml:space="preserve"> </w:t>
      </w:r>
      <w:r w:rsidRPr="00B0485F">
        <w:t xml:space="preserve">characteristics of </w:t>
      </w:r>
      <w:r>
        <w:t xml:space="preserve">the economic analysis by </w:t>
      </w:r>
      <w:r w:rsidRPr="00AE5A79">
        <w:t>Jia</w:t>
      </w:r>
      <w:r>
        <w:t xml:space="preserve"> and colleagues</w:t>
      </w:r>
      <w:r w:rsidRPr="00AE5A79">
        <w:t xml:space="preserve"> </w:t>
      </w:r>
      <w:r w:rsidR="00245CE2">
        <w:rPr>
          <w:noProof/>
        </w:rPr>
        <w:t>(Jia 2023)</w:t>
      </w:r>
      <w:r>
        <w:t xml:space="preserve"> </w:t>
      </w:r>
      <w:r w:rsidRPr="00B0485F">
        <w:t>are summarised in</w:t>
      </w:r>
      <w:r>
        <w:t xml:space="preserve"> </w:t>
      </w:r>
      <w:r w:rsidRPr="00F231B3">
        <w:rPr>
          <w:b/>
          <w:bCs/>
        </w:rPr>
        <w:fldChar w:fldCharType="begin"/>
      </w:r>
      <w:r w:rsidRPr="00F231B3">
        <w:rPr>
          <w:b/>
          <w:bCs/>
        </w:rPr>
        <w:instrText xml:space="preserve"> REF _Ref132810111 \h  \* MERGEFORMAT </w:instrText>
      </w:r>
      <w:r w:rsidRPr="00F231B3">
        <w:rPr>
          <w:b/>
          <w:bCs/>
        </w:rPr>
      </w:r>
      <w:r w:rsidRPr="00F231B3">
        <w:rPr>
          <w:b/>
          <w:bCs/>
        </w:rPr>
        <w:fldChar w:fldCharType="separate"/>
      </w:r>
      <w:r w:rsidR="007105D3" w:rsidRPr="007105D3">
        <w:rPr>
          <w:b/>
          <w:bCs/>
        </w:rPr>
        <w:t xml:space="preserve">Table </w:t>
      </w:r>
      <w:r w:rsidR="007105D3" w:rsidRPr="007105D3">
        <w:rPr>
          <w:b/>
          <w:bCs/>
          <w:noProof/>
        </w:rPr>
        <w:t>12</w:t>
      </w:r>
      <w:r w:rsidRPr="00F231B3">
        <w:rPr>
          <w:b/>
          <w:bCs/>
        </w:rPr>
        <w:fldChar w:fldCharType="end"/>
      </w:r>
      <w:r>
        <w:t>. The authors presented a comparison of RP-MUS versus autologous pubovaginal sling.</w:t>
      </w:r>
    </w:p>
    <w:p w14:paraId="47D2C7F7" w14:textId="0D2F98E0" w:rsidR="000D17CE" w:rsidRPr="00B0485F" w:rsidRDefault="000D17CE" w:rsidP="000D17CE">
      <w:pPr>
        <w:pStyle w:val="Caption"/>
      </w:pPr>
      <w:bookmarkStart w:id="99" w:name="_Ref132810111"/>
      <w:bookmarkStart w:id="100" w:name="_Toc165627880"/>
      <w:r w:rsidRPr="00B0485F">
        <w:t xml:space="preserve">Table </w:t>
      </w:r>
      <w:fldSimple w:instr=" SEQ Table \* ARABIC ">
        <w:r w:rsidR="007105D3">
          <w:rPr>
            <w:noProof/>
          </w:rPr>
          <w:t>12</w:t>
        </w:r>
      </w:fldSimple>
      <w:bookmarkEnd w:id="98"/>
      <w:bookmarkEnd w:id="99"/>
      <w:r w:rsidRPr="00B0485F">
        <w:tab/>
        <w:t xml:space="preserve">Study characteristics of </w:t>
      </w:r>
      <w:r>
        <w:t>Jia</w:t>
      </w:r>
      <w:r w:rsidRPr="00B0485F">
        <w:t xml:space="preserve"> (202</w:t>
      </w:r>
      <w:r>
        <w:t>3</w:t>
      </w:r>
      <w:r w:rsidRPr="00B0485F">
        <w:t>)</w:t>
      </w:r>
      <w:bookmarkEnd w:id="100"/>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tudy characteristics of Jia (2023)"/>
        <w:tblDescription w:val="This table shows the study characteristics of the Jia (2023) study including country, research question, perspective, time horizon, economic evaluation type, population, intervention, comparator, source of effectiveness inputs, funding and author conflicts of interest. "/>
      </w:tblPr>
      <w:tblGrid>
        <w:gridCol w:w="946"/>
        <w:gridCol w:w="1463"/>
        <w:gridCol w:w="2001"/>
        <w:gridCol w:w="1170"/>
        <w:gridCol w:w="1261"/>
        <w:gridCol w:w="1525"/>
        <w:gridCol w:w="1272"/>
      </w:tblGrid>
      <w:tr w:rsidR="000D17CE" w:rsidRPr="00953A46" w14:paraId="78B99F60" w14:textId="77777777">
        <w:trPr>
          <w:cantSplit/>
          <w:tblHeader/>
        </w:trPr>
        <w:tc>
          <w:tcPr>
            <w:tcW w:w="491" w:type="pct"/>
            <w:shd w:val="clear" w:color="auto" w:fill="BFBFBF"/>
          </w:tcPr>
          <w:p w14:paraId="7C4E1AEE" w14:textId="77777777" w:rsidR="000D17CE" w:rsidRPr="00953A46" w:rsidRDefault="000D17CE">
            <w:pPr>
              <w:pStyle w:val="011TableHeading8pt"/>
              <w:ind w:left="-57" w:right="-57"/>
              <w:rPr>
                <w:sz w:val="18"/>
                <w:szCs w:val="24"/>
              </w:rPr>
            </w:pPr>
            <w:r w:rsidRPr="00953A46">
              <w:rPr>
                <w:sz w:val="18"/>
                <w:szCs w:val="24"/>
              </w:rPr>
              <w:t>Study ID</w:t>
            </w:r>
            <w:r w:rsidRPr="00953A46">
              <w:rPr>
                <w:sz w:val="18"/>
                <w:szCs w:val="24"/>
              </w:rPr>
              <w:br/>
              <w:t>Country</w:t>
            </w:r>
          </w:p>
        </w:tc>
        <w:tc>
          <w:tcPr>
            <w:tcW w:w="759" w:type="pct"/>
            <w:shd w:val="clear" w:color="auto" w:fill="BFBFBF"/>
          </w:tcPr>
          <w:p w14:paraId="5B6C123F" w14:textId="771DF4EA" w:rsidR="000D17CE" w:rsidRPr="00953A46" w:rsidRDefault="000D17CE">
            <w:pPr>
              <w:pStyle w:val="011TableHeading8pt"/>
              <w:ind w:left="-57" w:right="-57"/>
              <w:rPr>
                <w:sz w:val="18"/>
                <w:szCs w:val="24"/>
              </w:rPr>
            </w:pPr>
            <w:r>
              <w:rPr>
                <w:sz w:val="18"/>
                <w:szCs w:val="24"/>
              </w:rPr>
              <w:t>R</w:t>
            </w:r>
            <w:r w:rsidRPr="00953A46">
              <w:rPr>
                <w:sz w:val="18"/>
                <w:szCs w:val="24"/>
              </w:rPr>
              <w:t>esearch question</w:t>
            </w:r>
          </w:p>
        </w:tc>
        <w:tc>
          <w:tcPr>
            <w:tcW w:w="1038" w:type="pct"/>
            <w:shd w:val="clear" w:color="auto" w:fill="BFBFBF"/>
          </w:tcPr>
          <w:p w14:paraId="5C04E968" w14:textId="77777777" w:rsidR="000D17CE" w:rsidRPr="00953A46" w:rsidRDefault="000D17CE">
            <w:pPr>
              <w:pStyle w:val="011TableHeading8pt"/>
              <w:ind w:left="-57" w:right="-57"/>
              <w:rPr>
                <w:sz w:val="18"/>
                <w:szCs w:val="24"/>
              </w:rPr>
            </w:pPr>
            <w:r w:rsidRPr="00953A46">
              <w:rPr>
                <w:sz w:val="18"/>
                <w:szCs w:val="24"/>
              </w:rPr>
              <w:t xml:space="preserve">Perspective </w:t>
            </w:r>
            <w:r w:rsidRPr="00953A46">
              <w:rPr>
                <w:sz w:val="18"/>
                <w:szCs w:val="24"/>
              </w:rPr>
              <w:br/>
              <w:t>Time horizon</w:t>
            </w:r>
            <w:r w:rsidRPr="00953A46">
              <w:rPr>
                <w:sz w:val="18"/>
                <w:szCs w:val="24"/>
              </w:rPr>
              <w:br/>
              <w:t>EE type</w:t>
            </w:r>
          </w:p>
        </w:tc>
        <w:tc>
          <w:tcPr>
            <w:tcW w:w="607" w:type="pct"/>
            <w:shd w:val="clear" w:color="auto" w:fill="BFBFBF"/>
          </w:tcPr>
          <w:p w14:paraId="437B118C" w14:textId="77777777" w:rsidR="000D17CE" w:rsidRPr="00953A46" w:rsidRDefault="000D17CE">
            <w:pPr>
              <w:pStyle w:val="011TableHeading8pt"/>
              <w:ind w:left="-57" w:right="-57"/>
              <w:rPr>
                <w:sz w:val="18"/>
                <w:szCs w:val="24"/>
              </w:rPr>
            </w:pPr>
            <w:r w:rsidRPr="00953A46">
              <w:rPr>
                <w:sz w:val="18"/>
                <w:szCs w:val="24"/>
              </w:rPr>
              <w:t>Population</w:t>
            </w:r>
          </w:p>
        </w:tc>
        <w:tc>
          <w:tcPr>
            <w:tcW w:w="654" w:type="pct"/>
            <w:shd w:val="clear" w:color="auto" w:fill="BFBFBF"/>
          </w:tcPr>
          <w:p w14:paraId="635D0EBC" w14:textId="77777777" w:rsidR="000D17CE" w:rsidRPr="00953A46" w:rsidRDefault="000D17CE">
            <w:pPr>
              <w:pStyle w:val="011TableHeading8pt"/>
              <w:ind w:left="-57" w:right="-57"/>
              <w:rPr>
                <w:sz w:val="18"/>
                <w:szCs w:val="24"/>
              </w:rPr>
            </w:pPr>
            <w:r w:rsidRPr="00953A46">
              <w:rPr>
                <w:sz w:val="18"/>
                <w:szCs w:val="24"/>
              </w:rPr>
              <w:t>Intervention</w:t>
            </w:r>
            <w:r w:rsidRPr="00953A46">
              <w:rPr>
                <w:sz w:val="18"/>
                <w:szCs w:val="24"/>
              </w:rPr>
              <w:br/>
              <w:t>Comparator</w:t>
            </w:r>
          </w:p>
        </w:tc>
        <w:tc>
          <w:tcPr>
            <w:tcW w:w="791" w:type="pct"/>
            <w:shd w:val="clear" w:color="auto" w:fill="BFBFBF"/>
          </w:tcPr>
          <w:p w14:paraId="040B2B33" w14:textId="77777777" w:rsidR="000D17CE" w:rsidRPr="00953A46" w:rsidRDefault="000D17CE">
            <w:pPr>
              <w:pStyle w:val="011TableHeading8pt"/>
              <w:ind w:left="-57" w:right="-57"/>
              <w:rPr>
                <w:sz w:val="18"/>
                <w:szCs w:val="24"/>
              </w:rPr>
            </w:pPr>
            <w:r w:rsidRPr="00953A46">
              <w:rPr>
                <w:sz w:val="18"/>
                <w:szCs w:val="24"/>
              </w:rPr>
              <w:t>Source of effectiveness inputs</w:t>
            </w:r>
          </w:p>
        </w:tc>
        <w:tc>
          <w:tcPr>
            <w:tcW w:w="660" w:type="pct"/>
            <w:shd w:val="clear" w:color="auto" w:fill="BFBFBF"/>
          </w:tcPr>
          <w:p w14:paraId="3B850265" w14:textId="77777777" w:rsidR="000D17CE" w:rsidRPr="00953A46" w:rsidRDefault="000D17CE">
            <w:pPr>
              <w:pStyle w:val="011TableHeading8pt"/>
              <w:ind w:left="-57" w:right="-57"/>
              <w:rPr>
                <w:sz w:val="18"/>
                <w:szCs w:val="24"/>
              </w:rPr>
            </w:pPr>
            <w:r w:rsidRPr="00953A46">
              <w:rPr>
                <w:sz w:val="18"/>
                <w:szCs w:val="24"/>
              </w:rPr>
              <w:t>Funding</w:t>
            </w:r>
            <w:r w:rsidRPr="00953A46">
              <w:rPr>
                <w:sz w:val="18"/>
                <w:szCs w:val="24"/>
              </w:rPr>
              <w:br/>
              <w:t>Author COIs</w:t>
            </w:r>
          </w:p>
        </w:tc>
      </w:tr>
      <w:tr w:rsidR="000D17CE" w:rsidRPr="00953A46" w14:paraId="051EFB8F" w14:textId="77777777">
        <w:trPr>
          <w:cantSplit/>
        </w:trPr>
        <w:tc>
          <w:tcPr>
            <w:tcW w:w="491" w:type="pct"/>
            <w:shd w:val="clear" w:color="auto" w:fill="auto"/>
          </w:tcPr>
          <w:p w14:paraId="0424190B" w14:textId="77777777" w:rsidR="000D17CE" w:rsidRPr="00953A46" w:rsidRDefault="000D17CE">
            <w:pPr>
              <w:pStyle w:val="051Tabletext228pt"/>
              <w:ind w:left="-57" w:right="-57"/>
              <w:rPr>
                <w:sz w:val="18"/>
                <w:szCs w:val="24"/>
              </w:rPr>
            </w:pPr>
            <w:r>
              <w:rPr>
                <w:sz w:val="18"/>
                <w:szCs w:val="24"/>
              </w:rPr>
              <w:t>Jia</w:t>
            </w:r>
            <w:r w:rsidRPr="00953A46">
              <w:rPr>
                <w:sz w:val="18"/>
                <w:szCs w:val="24"/>
              </w:rPr>
              <w:t xml:space="preserve"> 202</w:t>
            </w:r>
            <w:r>
              <w:rPr>
                <w:sz w:val="18"/>
                <w:szCs w:val="24"/>
              </w:rPr>
              <w:t>3</w:t>
            </w:r>
            <w:r w:rsidRPr="00953A46">
              <w:rPr>
                <w:sz w:val="18"/>
                <w:szCs w:val="24"/>
              </w:rPr>
              <w:br/>
              <w:t>U</w:t>
            </w:r>
            <w:r>
              <w:rPr>
                <w:sz w:val="18"/>
                <w:szCs w:val="24"/>
              </w:rPr>
              <w:t>SA</w:t>
            </w:r>
          </w:p>
        </w:tc>
        <w:tc>
          <w:tcPr>
            <w:tcW w:w="759" w:type="pct"/>
          </w:tcPr>
          <w:p w14:paraId="1F661D79" w14:textId="77777777" w:rsidR="000D17CE" w:rsidRPr="00953A46" w:rsidRDefault="000D17CE">
            <w:pPr>
              <w:pStyle w:val="051Tabletext228pt"/>
              <w:ind w:left="-57" w:right="-57"/>
              <w:rPr>
                <w:sz w:val="18"/>
                <w:szCs w:val="24"/>
              </w:rPr>
            </w:pPr>
            <w:r>
              <w:rPr>
                <w:sz w:val="18"/>
                <w:szCs w:val="24"/>
              </w:rPr>
              <w:t xml:space="preserve">What is </w:t>
            </w:r>
            <w:r w:rsidRPr="00195565">
              <w:rPr>
                <w:sz w:val="18"/>
                <w:szCs w:val="24"/>
              </w:rPr>
              <w:t>cost-effectiv</w:t>
            </w:r>
            <w:r>
              <w:rPr>
                <w:sz w:val="18"/>
                <w:szCs w:val="24"/>
              </w:rPr>
              <w:t>e</w:t>
            </w:r>
            <w:r w:rsidRPr="00195565">
              <w:rPr>
                <w:sz w:val="18"/>
                <w:szCs w:val="24"/>
              </w:rPr>
              <w:t xml:space="preserve">ness of </w:t>
            </w:r>
            <w:r>
              <w:rPr>
                <w:sz w:val="18"/>
                <w:szCs w:val="24"/>
              </w:rPr>
              <w:t>PVS versus RP-MUS?</w:t>
            </w:r>
          </w:p>
        </w:tc>
        <w:tc>
          <w:tcPr>
            <w:tcW w:w="1038" w:type="pct"/>
            <w:shd w:val="clear" w:color="auto" w:fill="auto"/>
          </w:tcPr>
          <w:p w14:paraId="2B85809A" w14:textId="4D1EC421" w:rsidR="000D17CE" w:rsidRDefault="000D17CE">
            <w:pPr>
              <w:pStyle w:val="051Tabletext228pt"/>
              <w:ind w:left="-57" w:right="-57"/>
              <w:rPr>
                <w:sz w:val="18"/>
                <w:szCs w:val="24"/>
              </w:rPr>
            </w:pPr>
            <w:r>
              <w:rPr>
                <w:sz w:val="18"/>
                <w:szCs w:val="24"/>
              </w:rPr>
              <w:t>US hospital system; US health care payer</w:t>
            </w:r>
          </w:p>
          <w:p w14:paraId="3BA35F06" w14:textId="77777777" w:rsidR="000D17CE" w:rsidRDefault="000D17CE">
            <w:pPr>
              <w:pStyle w:val="051Tabletext228pt"/>
              <w:ind w:left="-57" w:right="-57"/>
              <w:rPr>
                <w:sz w:val="18"/>
                <w:szCs w:val="24"/>
              </w:rPr>
            </w:pPr>
            <w:r>
              <w:rPr>
                <w:sz w:val="18"/>
                <w:szCs w:val="24"/>
              </w:rPr>
              <w:t xml:space="preserve">1 </w:t>
            </w:r>
            <w:proofErr w:type="spellStart"/>
            <w:r>
              <w:rPr>
                <w:sz w:val="18"/>
                <w:szCs w:val="24"/>
              </w:rPr>
              <w:t>yr</w:t>
            </w:r>
            <w:proofErr w:type="spellEnd"/>
          </w:p>
          <w:p w14:paraId="0581432C" w14:textId="3056F32A" w:rsidR="000D17CE" w:rsidRPr="00953A46" w:rsidRDefault="000D17CE">
            <w:pPr>
              <w:pStyle w:val="051Tabletext228pt"/>
              <w:ind w:left="-57" w:right="-57"/>
              <w:rPr>
                <w:sz w:val="18"/>
                <w:szCs w:val="24"/>
              </w:rPr>
            </w:pPr>
            <w:r>
              <w:rPr>
                <w:sz w:val="18"/>
                <w:szCs w:val="24"/>
              </w:rPr>
              <w:t>CUA: Decision analytic model; 2021 costs</w:t>
            </w:r>
          </w:p>
        </w:tc>
        <w:tc>
          <w:tcPr>
            <w:tcW w:w="607" w:type="pct"/>
          </w:tcPr>
          <w:p w14:paraId="4AFAA83B" w14:textId="77777777" w:rsidR="000D17CE" w:rsidRPr="00953A46" w:rsidRDefault="000D17CE">
            <w:pPr>
              <w:pStyle w:val="051Tabletext228pt"/>
              <w:ind w:left="-57" w:right="-57"/>
              <w:rPr>
                <w:sz w:val="18"/>
                <w:szCs w:val="24"/>
              </w:rPr>
            </w:pPr>
            <w:r>
              <w:rPr>
                <w:sz w:val="18"/>
                <w:szCs w:val="24"/>
              </w:rPr>
              <w:t>SUI</w:t>
            </w:r>
          </w:p>
        </w:tc>
        <w:tc>
          <w:tcPr>
            <w:tcW w:w="654" w:type="pct"/>
          </w:tcPr>
          <w:p w14:paraId="0D14B096" w14:textId="2A77C7BF" w:rsidR="000D17CE" w:rsidRDefault="000D17CE">
            <w:pPr>
              <w:pStyle w:val="051Tabletext228pt"/>
              <w:ind w:left="-57" w:right="-57"/>
              <w:rPr>
                <w:sz w:val="18"/>
                <w:szCs w:val="24"/>
              </w:rPr>
            </w:pPr>
            <w:r>
              <w:rPr>
                <w:sz w:val="18"/>
                <w:szCs w:val="24"/>
              </w:rPr>
              <w:t>Autologous PVS</w:t>
            </w:r>
          </w:p>
          <w:p w14:paraId="6DC7131A" w14:textId="1C03CFE1" w:rsidR="000D17CE" w:rsidRPr="00953A46" w:rsidRDefault="000D17CE">
            <w:pPr>
              <w:pStyle w:val="051Tabletext228pt"/>
              <w:ind w:left="-57" w:right="-57"/>
              <w:rPr>
                <w:sz w:val="18"/>
                <w:szCs w:val="24"/>
              </w:rPr>
            </w:pPr>
            <w:r>
              <w:rPr>
                <w:sz w:val="18"/>
                <w:szCs w:val="24"/>
              </w:rPr>
              <w:t>RP-MUS</w:t>
            </w:r>
          </w:p>
        </w:tc>
        <w:tc>
          <w:tcPr>
            <w:tcW w:w="791" w:type="pct"/>
          </w:tcPr>
          <w:p w14:paraId="0934B786" w14:textId="77777777" w:rsidR="000D17CE" w:rsidRPr="00742384" w:rsidRDefault="000D17CE">
            <w:pPr>
              <w:pStyle w:val="051Tabletext228pt"/>
              <w:ind w:left="-57" w:right="-57"/>
              <w:rPr>
                <w:sz w:val="18"/>
                <w:szCs w:val="24"/>
              </w:rPr>
            </w:pPr>
            <w:r w:rsidRPr="00742384">
              <w:rPr>
                <w:sz w:val="18"/>
                <w:szCs w:val="24"/>
              </w:rPr>
              <w:t>Literature review</w:t>
            </w:r>
          </w:p>
        </w:tc>
        <w:tc>
          <w:tcPr>
            <w:tcW w:w="660" w:type="pct"/>
            <w:shd w:val="clear" w:color="auto" w:fill="auto"/>
          </w:tcPr>
          <w:p w14:paraId="46713285" w14:textId="77777777" w:rsidR="000D17CE" w:rsidRPr="00953A46" w:rsidRDefault="000D17CE">
            <w:pPr>
              <w:pStyle w:val="051Tabletext228pt"/>
              <w:ind w:left="-57" w:right="-57"/>
              <w:rPr>
                <w:sz w:val="18"/>
                <w:szCs w:val="24"/>
              </w:rPr>
            </w:pPr>
            <w:r w:rsidRPr="00953A46">
              <w:rPr>
                <w:sz w:val="18"/>
                <w:szCs w:val="24"/>
              </w:rPr>
              <w:t xml:space="preserve">Funding: </w:t>
            </w:r>
            <w:r>
              <w:rPr>
                <w:sz w:val="18"/>
                <w:szCs w:val="24"/>
              </w:rPr>
              <w:t>NR</w:t>
            </w:r>
          </w:p>
          <w:p w14:paraId="7FAC03E9" w14:textId="77777777" w:rsidR="000D17CE" w:rsidRPr="00953A46" w:rsidRDefault="000D17CE">
            <w:pPr>
              <w:pStyle w:val="051Tabletext228pt"/>
              <w:ind w:left="-57" w:right="-57"/>
              <w:rPr>
                <w:sz w:val="18"/>
                <w:szCs w:val="24"/>
              </w:rPr>
            </w:pPr>
            <w:r w:rsidRPr="00953A46">
              <w:rPr>
                <w:sz w:val="18"/>
                <w:szCs w:val="24"/>
              </w:rPr>
              <w:t>Conflicts: none</w:t>
            </w:r>
          </w:p>
        </w:tc>
      </w:tr>
    </w:tbl>
    <w:p w14:paraId="10A53E72" w14:textId="77777777" w:rsidR="000D17CE" w:rsidRPr="00B0485F" w:rsidRDefault="000D17CE" w:rsidP="000D17CE">
      <w:pPr>
        <w:pStyle w:val="111Tablefootnoteslast-nostick8pt"/>
        <w:rPr>
          <w:lang w:val="en-AU"/>
        </w:rPr>
      </w:pPr>
      <w:r>
        <w:rPr>
          <w:lang w:val="en-AU"/>
        </w:rPr>
        <w:t xml:space="preserve">Abbreviations: </w:t>
      </w:r>
      <w:r w:rsidRPr="00B0485F">
        <w:rPr>
          <w:lang w:val="en-AU"/>
        </w:rPr>
        <w:t>COI</w:t>
      </w:r>
      <w:r>
        <w:rPr>
          <w:lang w:val="en-AU"/>
        </w:rPr>
        <w:t>,</w:t>
      </w:r>
      <w:r w:rsidRPr="00B0485F">
        <w:rPr>
          <w:lang w:val="en-AU"/>
        </w:rPr>
        <w:t xml:space="preserve"> conflict of interest; </w:t>
      </w:r>
      <w:r>
        <w:rPr>
          <w:lang w:val="en-AU"/>
        </w:rPr>
        <w:t xml:space="preserve">CUA, cost-utility analysis; </w:t>
      </w:r>
      <w:r w:rsidRPr="00B0485F">
        <w:rPr>
          <w:lang w:val="en-AU"/>
        </w:rPr>
        <w:t>EE</w:t>
      </w:r>
      <w:r>
        <w:rPr>
          <w:lang w:val="en-AU"/>
        </w:rPr>
        <w:t>,</w:t>
      </w:r>
      <w:r w:rsidRPr="00B0485F">
        <w:rPr>
          <w:lang w:val="en-AU"/>
        </w:rPr>
        <w:t xml:space="preserve"> economic evaluation; MUS</w:t>
      </w:r>
      <w:r>
        <w:rPr>
          <w:lang w:val="en-AU"/>
        </w:rPr>
        <w:t>,</w:t>
      </w:r>
      <w:r w:rsidRPr="00B0485F">
        <w:rPr>
          <w:lang w:val="en-AU"/>
        </w:rPr>
        <w:t xml:space="preserve"> mid-urethral sling; NR</w:t>
      </w:r>
      <w:r>
        <w:rPr>
          <w:lang w:val="en-AU"/>
        </w:rPr>
        <w:t>,</w:t>
      </w:r>
      <w:r w:rsidRPr="00B0485F">
        <w:rPr>
          <w:lang w:val="en-AU"/>
        </w:rPr>
        <w:t xml:space="preserve"> not reported; </w:t>
      </w:r>
      <w:r>
        <w:rPr>
          <w:lang w:val="en-AU"/>
        </w:rPr>
        <w:t xml:space="preserve">PVS, autologous pubovaginal sling; RP-MUS, retropubic MUS; </w:t>
      </w:r>
      <w:r w:rsidRPr="00B0485F">
        <w:rPr>
          <w:lang w:val="en-AU"/>
        </w:rPr>
        <w:t>RCT</w:t>
      </w:r>
      <w:r>
        <w:rPr>
          <w:lang w:val="en-AU"/>
        </w:rPr>
        <w:t>,</w:t>
      </w:r>
      <w:r w:rsidRPr="00B0485F">
        <w:rPr>
          <w:lang w:val="en-AU"/>
        </w:rPr>
        <w:t xml:space="preserve"> randomi</w:t>
      </w:r>
      <w:r>
        <w:rPr>
          <w:lang w:val="en-AU"/>
        </w:rPr>
        <w:t>s</w:t>
      </w:r>
      <w:r w:rsidRPr="00B0485F">
        <w:rPr>
          <w:lang w:val="en-AU"/>
        </w:rPr>
        <w:t>ed controlled trial;</w:t>
      </w:r>
      <w:r>
        <w:rPr>
          <w:lang w:val="en-AU"/>
        </w:rPr>
        <w:t xml:space="preserve"> </w:t>
      </w:r>
      <w:r w:rsidRPr="00B0485F">
        <w:rPr>
          <w:lang w:val="en-AU"/>
        </w:rPr>
        <w:t>SUI</w:t>
      </w:r>
      <w:r>
        <w:rPr>
          <w:lang w:val="en-AU"/>
        </w:rPr>
        <w:t>,</w:t>
      </w:r>
      <w:r w:rsidRPr="00B0485F">
        <w:rPr>
          <w:lang w:val="en-AU"/>
        </w:rPr>
        <w:t xml:space="preserve"> stress urinary incontinence; </w:t>
      </w:r>
      <w:proofErr w:type="spellStart"/>
      <w:r w:rsidRPr="00B0485F">
        <w:rPr>
          <w:lang w:val="en-AU"/>
        </w:rPr>
        <w:t>yr</w:t>
      </w:r>
      <w:proofErr w:type="spellEnd"/>
      <w:r>
        <w:rPr>
          <w:lang w:val="en-AU"/>
        </w:rPr>
        <w:t>,</w:t>
      </w:r>
      <w:r w:rsidRPr="00B0485F">
        <w:rPr>
          <w:lang w:val="en-AU"/>
        </w:rPr>
        <w:t xml:space="preserve"> year.</w:t>
      </w:r>
    </w:p>
    <w:p w14:paraId="2E59564F" w14:textId="77777777" w:rsidR="000D17CE" w:rsidRPr="00B0485F" w:rsidRDefault="000D17CE" w:rsidP="000D17CE">
      <w:pPr>
        <w:pStyle w:val="Heading5"/>
      </w:pPr>
      <w:r w:rsidRPr="00B0485F">
        <w:t>Findings</w:t>
      </w:r>
    </w:p>
    <w:p w14:paraId="3450E5B3" w14:textId="5EC94497" w:rsidR="000D17CE" w:rsidRDefault="000D17CE" w:rsidP="000D17CE">
      <w:pPr>
        <w:pStyle w:val="BodyText"/>
      </w:pPr>
      <w:r w:rsidRPr="00B0485F">
        <w:t>The findings of the cost</w:t>
      </w:r>
      <w:r>
        <w:t>-utility</w:t>
      </w:r>
      <w:r w:rsidRPr="00B0485F">
        <w:t xml:space="preserve"> analysis are presented in </w:t>
      </w:r>
      <w:r w:rsidRPr="00DA3AAA">
        <w:rPr>
          <w:b/>
          <w:bCs/>
        </w:rPr>
        <w:fldChar w:fldCharType="begin"/>
      </w:r>
      <w:r w:rsidRPr="00DA3AAA">
        <w:rPr>
          <w:b/>
          <w:bCs/>
        </w:rPr>
        <w:instrText xml:space="preserve"> REF _Ref132810127 \h  \* MERGEFORMAT </w:instrText>
      </w:r>
      <w:r w:rsidRPr="00DA3AAA">
        <w:rPr>
          <w:b/>
          <w:bCs/>
        </w:rPr>
      </w:r>
      <w:r w:rsidRPr="00DA3AAA">
        <w:rPr>
          <w:b/>
          <w:bCs/>
        </w:rPr>
        <w:fldChar w:fldCharType="separate"/>
      </w:r>
      <w:r w:rsidR="007105D3" w:rsidRPr="007105D3">
        <w:rPr>
          <w:b/>
          <w:bCs/>
        </w:rPr>
        <w:t xml:space="preserve">Table </w:t>
      </w:r>
      <w:r w:rsidR="007105D3" w:rsidRPr="007105D3">
        <w:rPr>
          <w:b/>
          <w:bCs/>
          <w:noProof/>
        </w:rPr>
        <w:t>13</w:t>
      </w:r>
      <w:r w:rsidRPr="00DA3AAA">
        <w:rPr>
          <w:b/>
          <w:bCs/>
        </w:rPr>
        <w:fldChar w:fldCharType="end"/>
      </w:r>
      <w:r w:rsidRPr="00676FCC">
        <w:t xml:space="preserve">, from a US hospital </w:t>
      </w:r>
      <w:r>
        <w:t xml:space="preserve">perspective </w:t>
      </w:r>
      <w:r w:rsidRPr="00676FCC">
        <w:t>and a US health care perspective</w:t>
      </w:r>
      <w:r w:rsidRPr="00B0485F">
        <w:t xml:space="preserve">. </w:t>
      </w:r>
      <w:r w:rsidRPr="007D3E5E">
        <w:rPr>
          <w:i/>
          <w:iCs/>
        </w:rPr>
        <w:t>Note that the paper is from conference proceedings and as such has not been subject to peer-review.</w:t>
      </w:r>
    </w:p>
    <w:p w14:paraId="1E88C511" w14:textId="001CF91E" w:rsidR="000D17CE" w:rsidRPr="00B0485F" w:rsidRDefault="000D17CE" w:rsidP="000D17CE">
      <w:pPr>
        <w:pStyle w:val="Caption"/>
      </w:pPr>
      <w:bookmarkStart w:id="101" w:name="_Ref132810127"/>
      <w:bookmarkStart w:id="102" w:name="_Toc165627881"/>
      <w:r w:rsidRPr="00B0485F">
        <w:t xml:space="preserve">Table </w:t>
      </w:r>
      <w:fldSimple w:instr=" SEQ Table \* ARABIC ">
        <w:r w:rsidR="007105D3">
          <w:rPr>
            <w:noProof/>
          </w:rPr>
          <w:t>13</w:t>
        </w:r>
      </w:fldSimple>
      <w:bookmarkEnd w:id="101"/>
      <w:r w:rsidRPr="00B0485F">
        <w:tab/>
        <w:t xml:space="preserve">Outcomes of </w:t>
      </w:r>
      <w:r>
        <w:t>Jia</w:t>
      </w:r>
      <w:r w:rsidRPr="00B0485F">
        <w:t xml:space="preserve"> (202</w:t>
      </w:r>
      <w:r>
        <w:t>3</w:t>
      </w:r>
      <w:r w:rsidRPr="00B0485F">
        <w:t>)</w:t>
      </w:r>
      <w:r>
        <w:t xml:space="preserve"> – at 1 year</w:t>
      </w:r>
      <w:bookmarkEnd w:id="102"/>
    </w:p>
    <w:tbl>
      <w:tblPr>
        <w:tblStyle w:val="TableGrid"/>
        <w:tblW w:w="0" w:type="auto"/>
        <w:tblLook w:val="04A0" w:firstRow="1" w:lastRow="0" w:firstColumn="1" w:lastColumn="0" w:noHBand="0" w:noVBand="1"/>
        <w:tblCaption w:val="Outcomes of Jia (2023) at 1 year"/>
        <w:tblDescription w:val="This table shows the outcomes of the Jia (2023) study at 1 year including effectiveness (QALYs), costs, ICER, sensitivity analysis and conclusion. "/>
      </w:tblPr>
      <w:tblGrid>
        <w:gridCol w:w="709"/>
        <w:gridCol w:w="1901"/>
        <w:gridCol w:w="1890"/>
        <w:gridCol w:w="1980"/>
        <w:gridCol w:w="1890"/>
        <w:gridCol w:w="1268"/>
      </w:tblGrid>
      <w:tr w:rsidR="000D17CE" w:rsidRPr="00C358FF" w14:paraId="149EFBCF" w14:textId="77777777">
        <w:trPr>
          <w:cnfStyle w:val="100000000000" w:firstRow="1" w:lastRow="0" w:firstColumn="0" w:lastColumn="0" w:oddVBand="0" w:evenVBand="0" w:oddHBand="0" w:evenHBand="0" w:firstRowFirstColumn="0" w:firstRowLastColumn="0" w:lastRowFirstColumn="0" w:lastRowLastColumn="0"/>
        </w:trPr>
        <w:tc>
          <w:tcPr>
            <w:tcW w:w="709" w:type="dxa"/>
          </w:tcPr>
          <w:p w14:paraId="7FFCEA20" w14:textId="77777777" w:rsidR="000D17CE" w:rsidRPr="00C358FF" w:rsidRDefault="000D17CE">
            <w:pPr>
              <w:pStyle w:val="011TableHeading8pt"/>
              <w:ind w:left="-57" w:right="-57"/>
              <w:rPr>
                <w:sz w:val="18"/>
                <w:szCs w:val="18"/>
              </w:rPr>
            </w:pPr>
            <w:r w:rsidRPr="00C358FF">
              <w:rPr>
                <w:sz w:val="18"/>
                <w:szCs w:val="18"/>
              </w:rPr>
              <w:t>Study ID</w:t>
            </w:r>
          </w:p>
        </w:tc>
        <w:tc>
          <w:tcPr>
            <w:tcW w:w="1901" w:type="dxa"/>
          </w:tcPr>
          <w:p w14:paraId="24AEBC5F" w14:textId="77777777" w:rsidR="000D17CE" w:rsidRPr="00C358FF" w:rsidRDefault="000D17CE">
            <w:pPr>
              <w:pStyle w:val="011TableHeading8pt"/>
              <w:ind w:left="-57" w:right="-57"/>
              <w:rPr>
                <w:sz w:val="18"/>
                <w:szCs w:val="18"/>
              </w:rPr>
            </w:pPr>
            <w:r>
              <w:rPr>
                <w:sz w:val="18"/>
                <w:szCs w:val="18"/>
              </w:rPr>
              <w:t>E</w:t>
            </w:r>
            <w:r w:rsidRPr="00C358FF">
              <w:rPr>
                <w:sz w:val="18"/>
                <w:szCs w:val="18"/>
              </w:rPr>
              <w:t>ffectiveness (QALY</w:t>
            </w:r>
            <w:r>
              <w:rPr>
                <w:sz w:val="18"/>
                <w:szCs w:val="18"/>
              </w:rPr>
              <w:t>s</w:t>
            </w:r>
            <w:r w:rsidRPr="00C358FF">
              <w:rPr>
                <w:sz w:val="18"/>
                <w:szCs w:val="18"/>
              </w:rPr>
              <w:t>)</w:t>
            </w:r>
          </w:p>
        </w:tc>
        <w:tc>
          <w:tcPr>
            <w:tcW w:w="1890" w:type="dxa"/>
          </w:tcPr>
          <w:p w14:paraId="5E7D4DF8" w14:textId="7E72E554" w:rsidR="000D17CE" w:rsidRPr="00C358FF" w:rsidRDefault="000D17CE">
            <w:pPr>
              <w:pStyle w:val="011TableHeading8pt"/>
              <w:ind w:left="-57" w:right="-57"/>
              <w:rPr>
                <w:sz w:val="18"/>
                <w:szCs w:val="18"/>
              </w:rPr>
            </w:pPr>
            <w:r>
              <w:rPr>
                <w:sz w:val="18"/>
                <w:szCs w:val="18"/>
              </w:rPr>
              <w:t>C</w:t>
            </w:r>
            <w:r w:rsidRPr="00C358FF">
              <w:rPr>
                <w:sz w:val="18"/>
                <w:szCs w:val="18"/>
              </w:rPr>
              <w:t>osts</w:t>
            </w:r>
            <w:r w:rsidRPr="00D40D4C">
              <w:rPr>
                <w:sz w:val="18"/>
                <w:szCs w:val="24"/>
              </w:rPr>
              <w:t xml:space="preserve"> (</w:t>
            </w:r>
            <w:r w:rsidRPr="00381E6F">
              <w:rPr>
                <w:sz w:val="18"/>
                <w:szCs w:val="24"/>
              </w:rPr>
              <w:t>USD</w:t>
            </w:r>
            <w:r w:rsidRPr="00D40D4C">
              <w:rPr>
                <w:sz w:val="18"/>
                <w:szCs w:val="24"/>
              </w:rPr>
              <w:t>)</w:t>
            </w:r>
          </w:p>
        </w:tc>
        <w:tc>
          <w:tcPr>
            <w:tcW w:w="1980" w:type="dxa"/>
          </w:tcPr>
          <w:p w14:paraId="08250B8C" w14:textId="456755BE" w:rsidR="000D17CE" w:rsidRPr="00C358FF" w:rsidRDefault="000D17CE">
            <w:pPr>
              <w:pStyle w:val="011TableHeading8pt"/>
              <w:ind w:left="-57" w:right="-57"/>
              <w:rPr>
                <w:sz w:val="18"/>
                <w:szCs w:val="18"/>
              </w:rPr>
            </w:pPr>
            <w:r w:rsidRPr="00C358FF">
              <w:rPr>
                <w:sz w:val="18"/>
                <w:szCs w:val="18"/>
              </w:rPr>
              <w:t xml:space="preserve">ICER </w:t>
            </w:r>
          </w:p>
        </w:tc>
        <w:tc>
          <w:tcPr>
            <w:tcW w:w="1890" w:type="dxa"/>
          </w:tcPr>
          <w:p w14:paraId="1038B548" w14:textId="77777777" w:rsidR="000D17CE" w:rsidRPr="00C358FF" w:rsidRDefault="000D17CE">
            <w:pPr>
              <w:pStyle w:val="011TableHeading8pt"/>
              <w:ind w:left="-57" w:right="-57"/>
              <w:rPr>
                <w:sz w:val="18"/>
                <w:szCs w:val="18"/>
              </w:rPr>
            </w:pPr>
            <w:r w:rsidRPr="00C358FF">
              <w:rPr>
                <w:sz w:val="18"/>
                <w:szCs w:val="18"/>
              </w:rPr>
              <w:t>Sensitivity analysis</w:t>
            </w:r>
          </w:p>
        </w:tc>
        <w:tc>
          <w:tcPr>
            <w:tcW w:w="1268" w:type="dxa"/>
          </w:tcPr>
          <w:p w14:paraId="6A8F4034" w14:textId="77777777" w:rsidR="000D17CE" w:rsidRPr="00C358FF" w:rsidRDefault="000D17CE">
            <w:pPr>
              <w:pStyle w:val="011TableHeading8pt"/>
              <w:ind w:left="-57" w:right="-57"/>
              <w:rPr>
                <w:sz w:val="18"/>
                <w:szCs w:val="18"/>
              </w:rPr>
            </w:pPr>
            <w:r w:rsidRPr="00C358FF">
              <w:rPr>
                <w:sz w:val="18"/>
                <w:szCs w:val="18"/>
              </w:rPr>
              <w:t>Conclusion</w:t>
            </w:r>
          </w:p>
        </w:tc>
      </w:tr>
      <w:tr w:rsidR="000D17CE" w:rsidRPr="00C358FF" w14:paraId="6A41388E" w14:textId="77777777">
        <w:tc>
          <w:tcPr>
            <w:tcW w:w="709" w:type="dxa"/>
          </w:tcPr>
          <w:p w14:paraId="322F03C6" w14:textId="77777777" w:rsidR="000D17CE" w:rsidRDefault="000D17CE">
            <w:pPr>
              <w:pStyle w:val="051Tabletext228pt"/>
              <w:ind w:left="-57" w:right="-57"/>
              <w:rPr>
                <w:sz w:val="18"/>
                <w:szCs w:val="24"/>
              </w:rPr>
            </w:pPr>
            <w:r>
              <w:rPr>
                <w:sz w:val="18"/>
                <w:szCs w:val="24"/>
              </w:rPr>
              <w:t>Jia</w:t>
            </w:r>
            <w:r w:rsidRPr="00953A46">
              <w:rPr>
                <w:sz w:val="18"/>
                <w:szCs w:val="24"/>
              </w:rPr>
              <w:t xml:space="preserve"> 202</w:t>
            </w:r>
            <w:r>
              <w:rPr>
                <w:sz w:val="18"/>
                <w:szCs w:val="24"/>
              </w:rPr>
              <w:t>3</w:t>
            </w:r>
          </w:p>
          <w:p w14:paraId="50B09906" w14:textId="77777777" w:rsidR="000D17CE" w:rsidRPr="00E620F2" w:rsidRDefault="000D17CE">
            <w:pPr>
              <w:pStyle w:val="051Tabletext228pt"/>
              <w:ind w:left="-57" w:right="-57"/>
              <w:rPr>
                <w:sz w:val="18"/>
                <w:szCs w:val="18"/>
              </w:rPr>
            </w:pPr>
            <w:r>
              <w:rPr>
                <w:sz w:val="18"/>
                <w:szCs w:val="24"/>
              </w:rPr>
              <w:t>USA</w:t>
            </w:r>
          </w:p>
        </w:tc>
        <w:tc>
          <w:tcPr>
            <w:tcW w:w="1901" w:type="dxa"/>
          </w:tcPr>
          <w:p w14:paraId="21EB49B5" w14:textId="4C2522BA" w:rsidR="000D17CE" w:rsidRDefault="000D17CE">
            <w:pPr>
              <w:pStyle w:val="051Tabletext228pt"/>
              <w:ind w:left="-57" w:right="-57"/>
              <w:rPr>
                <w:sz w:val="18"/>
                <w:szCs w:val="18"/>
              </w:rPr>
            </w:pPr>
            <w:r w:rsidRPr="001E0206">
              <w:rPr>
                <w:sz w:val="18"/>
                <w:szCs w:val="18"/>
                <w:u w:val="single"/>
              </w:rPr>
              <w:t>Hospital perspective</w:t>
            </w:r>
            <w:r>
              <w:rPr>
                <w:sz w:val="18"/>
                <w:szCs w:val="18"/>
              </w:rPr>
              <w:br/>
              <w:t xml:space="preserve">RP-MUS: </w:t>
            </w:r>
            <w:r w:rsidRPr="002F2806">
              <w:rPr>
                <w:sz w:val="18"/>
                <w:szCs w:val="18"/>
              </w:rPr>
              <w:t>0.82</w:t>
            </w:r>
            <w:r>
              <w:rPr>
                <w:sz w:val="18"/>
                <w:szCs w:val="18"/>
              </w:rPr>
              <w:br/>
              <w:t xml:space="preserve">PVS: </w:t>
            </w:r>
            <w:r w:rsidRPr="002F2806">
              <w:rPr>
                <w:sz w:val="18"/>
                <w:szCs w:val="18"/>
              </w:rPr>
              <w:t>0.80</w:t>
            </w:r>
          </w:p>
          <w:p w14:paraId="5A776604" w14:textId="77777777" w:rsidR="000D17CE" w:rsidRDefault="000D17CE">
            <w:pPr>
              <w:pStyle w:val="051Tabletext228pt"/>
              <w:ind w:left="-57" w:right="-57"/>
              <w:rPr>
                <w:sz w:val="18"/>
                <w:szCs w:val="18"/>
              </w:rPr>
            </w:pPr>
            <w:r w:rsidRPr="00FD2392">
              <w:rPr>
                <w:sz w:val="18"/>
                <w:szCs w:val="18"/>
              </w:rPr>
              <w:t>Incremental</w:t>
            </w:r>
            <w:r w:rsidRPr="00E03715">
              <w:rPr>
                <w:sz w:val="18"/>
                <w:szCs w:val="18"/>
              </w:rPr>
              <w:t>:</w:t>
            </w:r>
            <w:r>
              <w:rPr>
                <w:sz w:val="18"/>
                <w:szCs w:val="18"/>
              </w:rPr>
              <w:t xml:space="preserve"> 0.02</w:t>
            </w:r>
          </w:p>
          <w:p w14:paraId="31918950" w14:textId="47B21043" w:rsidR="000D17CE" w:rsidRDefault="000D17CE">
            <w:pPr>
              <w:pStyle w:val="051Tabletext228pt"/>
              <w:ind w:left="-57" w:right="-57"/>
              <w:rPr>
                <w:sz w:val="18"/>
                <w:szCs w:val="18"/>
              </w:rPr>
            </w:pPr>
            <w:r w:rsidRPr="001E0206">
              <w:rPr>
                <w:sz w:val="18"/>
                <w:szCs w:val="18"/>
                <w:u w:val="single"/>
              </w:rPr>
              <w:t>Health care perspect</w:t>
            </w:r>
            <w:r>
              <w:rPr>
                <w:sz w:val="18"/>
                <w:szCs w:val="18"/>
                <w:u w:val="single"/>
              </w:rPr>
              <w:t>ive</w:t>
            </w:r>
            <w:r>
              <w:rPr>
                <w:sz w:val="18"/>
                <w:szCs w:val="18"/>
              </w:rPr>
              <w:br/>
              <w:t>RP-MUS</w:t>
            </w:r>
            <w:r w:rsidRPr="00466193">
              <w:rPr>
                <w:sz w:val="18"/>
                <w:szCs w:val="18"/>
              </w:rPr>
              <w:t>: NR</w:t>
            </w:r>
            <w:r w:rsidRPr="00466193">
              <w:rPr>
                <w:sz w:val="18"/>
                <w:szCs w:val="18"/>
              </w:rPr>
              <w:br/>
              <w:t>PVS: NR</w:t>
            </w:r>
          </w:p>
          <w:p w14:paraId="374D7E15" w14:textId="77777777" w:rsidR="000D17CE" w:rsidRPr="008208C3" w:rsidRDefault="000D17CE">
            <w:pPr>
              <w:pStyle w:val="051Tabletext228pt"/>
              <w:ind w:left="-57" w:right="-57"/>
              <w:rPr>
                <w:sz w:val="18"/>
                <w:szCs w:val="18"/>
              </w:rPr>
            </w:pPr>
            <w:r w:rsidRPr="008208C3">
              <w:rPr>
                <w:sz w:val="18"/>
                <w:szCs w:val="18"/>
              </w:rPr>
              <w:t>Incremental: NR</w:t>
            </w:r>
          </w:p>
        </w:tc>
        <w:tc>
          <w:tcPr>
            <w:tcW w:w="1890" w:type="dxa"/>
          </w:tcPr>
          <w:p w14:paraId="32EAB210" w14:textId="0AE233F7" w:rsidR="000D17CE" w:rsidRDefault="000D17CE">
            <w:pPr>
              <w:pStyle w:val="051Tabletext228pt"/>
              <w:ind w:left="-57" w:right="-57"/>
              <w:rPr>
                <w:sz w:val="18"/>
                <w:szCs w:val="18"/>
              </w:rPr>
            </w:pPr>
            <w:r w:rsidRPr="001E0206">
              <w:rPr>
                <w:sz w:val="18"/>
                <w:szCs w:val="18"/>
                <w:u w:val="single"/>
              </w:rPr>
              <w:t>Hospital perspective</w:t>
            </w:r>
            <w:r>
              <w:rPr>
                <w:sz w:val="18"/>
                <w:szCs w:val="18"/>
              </w:rPr>
              <w:br/>
              <w:t xml:space="preserve">RP-MUS: </w:t>
            </w:r>
            <w:r w:rsidRPr="00A53AE4">
              <w:rPr>
                <w:sz w:val="18"/>
                <w:szCs w:val="18"/>
              </w:rPr>
              <w:t>$2,34</w:t>
            </w:r>
            <w:r>
              <w:rPr>
                <w:sz w:val="18"/>
                <w:szCs w:val="18"/>
              </w:rPr>
              <w:t>9</w:t>
            </w:r>
            <w:r>
              <w:rPr>
                <w:sz w:val="18"/>
                <w:szCs w:val="18"/>
              </w:rPr>
              <w:br/>
              <w:t xml:space="preserve">PVS: </w:t>
            </w:r>
            <w:r w:rsidRPr="00A53AE4">
              <w:rPr>
                <w:sz w:val="18"/>
                <w:szCs w:val="18"/>
              </w:rPr>
              <w:t>$2,114</w:t>
            </w:r>
          </w:p>
          <w:p w14:paraId="70BDDFC2" w14:textId="77777777" w:rsidR="000D17CE" w:rsidRDefault="000D17CE">
            <w:pPr>
              <w:pStyle w:val="051Tabletext228pt"/>
              <w:ind w:left="-57" w:right="-57"/>
              <w:rPr>
                <w:sz w:val="18"/>
                <w:szCs w:val="18"/>
              </w:rPr>
            </w:pPr>
            <w:r w:rsidRPr="00FD2392">
              <w:rPr>
                <w:sz w:val="18"/>
                <w:szCs w:val="18"/>
              </w:rPr>
              <w:t>Incremental:</w:t>
            </w:r>
            <w:r>
              <w:rPr>
                <w:sz w:val="18"/>
                <w:szCs w:val="18"/>
              </w:rPr>
              <w:t xml:space="preserve"> $235</w:t>
            </w:r>
          </w:p>
          <w:p w14:paraId="3F3E0E69" w14:textId="46631990" w:rsidR="000D17CE" w:rsidRDefault="000D17CE">
            <w:pPr>
              <w:pStyle w:val="051Tabletext228pt"/>
              <w:ind w:left="-57" w:right="-57"/>
              <w:rPr>
                <w:sz w:val="18"/>
                <w:szCs w:val="18"/>
              </w:rPr>
            </w:pPr>
            <w:r w:rsidRPr="001E0206">
              <w:rPr>
                <w:sz w:val="18"/>
                <w:szCs w:val="18"/>
                <w:u w:val="single"/>
              </w:rPr>
              <w:t>Health care perspective</w:t>
            </w:r>
            <w:r>
              <w:rPr>
                <w:sz w:val="18"/>
                <w:szCs w:val="18"/>
              </w:rPr>
              <w:br/>
              <w:t xml:space="preserve">RP-MUS: </w:t>
            </w:r>
            <w:r w:rsidRPr="00AE198E">
              <w:rPr>
                <w:sz w:val="18"/>
                <w:szCs w:val="18"/>
              </w:rPr>
              <w:t>$4,630</w:t>
            </w:r>
            <w:r>
              <w:rPr>
                <w:sz w:val="18"/>
                <w:szCs w:val="18"/>
              </w:rPr>
              <w:br/>
              <w:t xml:space="preserve">PVS: </w:t>
            </w:r>
            <w:r w:rsidRPr="00AE198E">
              <w:rPr>
                <w:sz w:val="18"/>
                <w:szCs w:val="18"/>
              </w:rPr>
              <w:t>$4,65</w:t>
            </w:r>
            <w:r>
              <w:rPr>
                <w:sz w:val="18"/>
                <w:szCs w:val="18"/>
              </w:rPr>
              <w:t>7</w:t>
            </w:r>
          </w:p>
          <w:p w14:paraId="4ABBB294" w14:textId="77777777" w:rsidR="000D17CE" w:rsidRPr="00FD2392" w:rsidRDefault="000D17CE">
            <w:pPr>
              <w:pStyle w:val="051Tabletext228pt"/>
              <w:ind w:left="-57" w:right="-57"/>
              <w:rPr>
                <w:sz w:val="18"/>
                <w:szCs w:val="18"/>
              </w:rPr>
            </w:pPr>
            <w:r w:rsidRPr="00FD2392">
              <w:rPr>
                <w:sz w:val="18"/>
                <w:szCs w:val="18"/>
              </w:rPr>
              <w:t>Incremental: - $26</w:t>
            </w:r>
          </w:p>
        </w:tc>
        <w:tc>
          <w:tcPr>
            <w:tcW w:w="1980" w:type="dxa"/>
          </w:tcPr>
          <w:p w14:paraId="3660081D" w14:textId="7E675C88" w:rsidR="000D17CE" w:rsidRDefault="000D17CE">
            <w:pPr>
              <w:pStyle w:val="051Tabletext228pt"/>
              <w:ind w:left="-57" w:right="-57"/>
              <w:rPr>
                <w:sz w:val="18"/>
                <w:szCs w:val="18"/>
              </w:rPr>
            </w:pPr>
            <w:r w:rsidRPr="001E0206">
              <w:rPr>
                <w:sz w:val="18"/>
                <w:szCs w:val="18"/>
                <w:u w:val="single"/>
              </w:rPr>
              <w:t>Hospital perspective</w:t>
            </w:r>
            <w:r>
              <w:rPr>
                <w:sz w:val="18"/>
                <w:szCs w:val="18"/>
              </w:rPr>
              <w:br/>
            </w:r>
            <w:r w:rsidRPr="002D6177">
              <w:rPr>
                <w:sz w:val="18"/>
                <w:szCs w:val="18"/>
              </w:rPr>
              <w:t>$17,45</w:t>
            </w:r>
            <w:r>
              <w:rPr>
                <w:sz w:val="18"/>
                <w:szCs w:val="18"/>
              </w:rPr>
              <w:t>3</w:t>
            </w:r>
            <w:r w:rsidRPr="002D6177">
              <w:rPr>
                <w:sz w:val="18"/>
                <w:szCs w:val="18"/>
              </w:rPr>
              <w:t>/QALY</w:t>
            </w:r>
          </w:p>
          <w:p w14:paraId="1D24095E" w14:textId="04382B88" w:rsidR="000D17CE" w:rsidRDefault="000D17CE">
            <w:pPr>
              <w:pStyle w:val="051Tabletext228pt"/>
              <w:ind w:left="-57" w:right="-57"/>
              <w:rPr>
                <w:sz w:val="18"/>
                <w:szCs w:val="18"/>
              </w:rPr>
            </w:pPr>
            <w:r w:rsidRPr="001E0206">
              <w:rPr>
                <w:sz w:val="18"/>
                <w:szCs w:val="18"/>
                <w:u w:val="single"/>
              </w:rPr>
              <w:t>Health care perspective</w:t>
            </w:r>
            <w:r>
              <w:rPr>
                <w:sz w:val="18"/>
                <w:szCs w:val="18"/>
              </w:rPr>
              <w:br/>
              <w:t>- </w:t>
            </w:r>
            <w:r w:rsidRPr="00521F9A">
              <w:rPr>
                <w:sz w:val="18"/>
                <w:szCs w:val="18"/>
              </w:rPr>
              <w:t>$1,943/QALY</w:t>
            </w:r>
          </w:p>
          <w:p w14:paraId="0A8823E8" w14:textId="77777777" w:rsidR="000D17CE" w:rsidRPr="00E620F2" w:rsidRDefault="000D17CE">
            <w:pPr>
              <w:pStyle w:val="051Tabletext228pt"/>
              <w:ind w:left="-57" w:right="-57"/>
              <w:rPr>
                <w:sz w:val="18"/>
                <w:szCs w:val="18"/>
              </w:rPr>
            </w:pPr>
            <w:r>
              <w:rPr>
                <w:sz w:val="18"/>
                <w:szCs w:val="18"/>
              </w:rPr>
              <w:t>(</w:t>
            </w:r>
            <w:r w:rsidRPr="0053068A">
              <w:rPr>
                <w:sz w:val="18"/>
                <w:szCs w:val="18"/>
              </w:rPr>
              <w:t>&lt;$50,000</w:t>
            </w:r>
            <w:r>
              <w:rPr>
                <w:sz w:val="18"/>
                <w:szCs w:val="18"/>
              </w:rPr>
              <w:t xml:space="preserve"> threshold)</w:t>
            </w:r>
          </w:p>
        </w:tc>
        <w:tc>
          <w:tcPr>
            <w:tcW w:w="1890" w:type="dxa"/>
          </w:tcPr>
          <w:p w14:paraId="23D63D12" w14:textId="1333A1EA" w:rsidR="000D17CE" w:rsidRPr="00021BC9" w:rsidRDefault="000D17CE">
            <w:pPr>
              <w:pStyle w:val="051Tabletext228pt"/>
              <w:ind w:left="-57" w:right="-57"/>
              <w:rPr>
                <w:sz w:val="18"/>
                <w:szCs w:val="18"/>
              </w:rPr>
            </w:pPr>
            <w:r w:rsidRPr="00021BC9">
              <w:rPr>
                <w:sz w:val="18"/>
                <w:szCs w:val="18"/>
              </w:rPr>
              <w:t xml:space="preserve">If PVS surgery &gt;$2,219 </w:t>
            </w:r>
            <w:r w:rsidRPr="00021BC9">
              <w:rPr>
                <w:sz w:val="18"/>
                <w:szCs w:val="18"/>
              </w:rPr>
              <w:br/>
              <w:t>ICER: -</w:t>
            </w:r>
            <w:r>
              <w:rPr>
                <w:sz w:val="18"/>
                <w:szCs w:val="18"/>
              </w:rPr>
              <w:t> </w:t>
            </w:r>
            <w:r w:rsidRPr="00021BC9">
              <w:rPr>
                <w:sz w:val="18"/>
                <w:szCs w:val="18"/>
              </w:rPr>
              <w:t>46</w:t>
            </w:r>
            <w:r>
              <w:rPr>
                <w:sz w:val="18"/>
                <w:szCs w:val="18"/>
              </w:rPr>
              <w:t>8</w:t>
            </w:r>
            <w:r w:rsidRPr="00021BC9">
              <w:rPr>
                <w:sz w:val="18"/>
                <w:szCs w:val="18"/>
              </w:rPr>
              <w:t>/QALY</w:t>
            </w:r>
            <w:r>
              <w:rPr>
                <w:sz w:val="18"/>
                <w:szCs w:val="18"/>
              </w:rPr>
              <w:t>.</w:t>
            </w:r>
          </w:p>
          <w:p w14:paraId="6CF1A172" w14:textId="62BBA66F" w:rsidR="000D17CE" w:rsidRPr="00021BC9" w:rsidRDefault="000D17CE">
            <w:pPr>
              <w:pStyle w:val="051Tabletext228pt"/>
              <w:ind w:left="-57" w:right="-57"/>
              <w:rPr>
                <w:sz w:val="18"/>
                <w:szCs w:val="18"/>
              </w:rPr>
            </w:pPr>
            <w:r w:rsidRPr="00021BC9">
              <w:rPr>
                <w:sz w:val="18"/>
                <w:szCs w:val="18"/>
              </w:rPr>
              <w:t xml:space="preserve">If </w:t>
            </w:r>
            <w:r>
              <w:rPr>
                <w:sz w:val="18"/>
                <w:szCs w:val="18"/>
              </w:rPr>
              <w:t>RP-MUS</w:t>
            </w:r>
            <w:r w:rsidRPr="00021BC9">
              <w:rPr>
                <w:sz w:val="18"/>
                <w:szCs w:val="18"/>
              </w:rPr>
              <w:t xml:space="preserve"> surgery &lt;$1,959</w:t>
            </w:r>
            <w:r w:rsidRPr="00021BC9">
              <w:rPr>
                <w:sz w:val="18"/>
                <w:szCs w:val="18"/>
              </w:rPr>
              <w:br/>
              <w:t>ICER: -</w:t>
            </w:r>
            <w:r>
              <w:rPr>
                <w:sz w:val="18"/>
                <w:szCs w:val="18"/>
              </w:rPr>
              <w:t> </w:t>
            </w:r>
            <w:r w:rsidRPr="00021BC9">
              <w:rPr>
                <w:sz w:val="18"/>
                <w:szCs w:val="18"/>
              </w:rPr>
              <w:t>2,881/QALY</w:t>
            </w:r>
            <w:r>
              <w:rPr>
                <w:sz w:val="18"/>
                <w:szCs w:val="18"/>
              </w:rPr>
              <w:t>.</w:t>
            </w:r>
          </w:p>
          <w:p w14:paraId="0CCB7E50" w14:textId="53ECD387" w:rsidR="000D17CE" w:rsidRPr="00021BC9" w:rsidRDefault="000D17CE">
            <w:pPr>
              <w:pStyle w:val="051Tabletext228pt"/>
              <w:ind w:left="-57" w:right="-57"/>
              <w:rPr>
                <w:sz w:val="18"/>
                <w:szCs w:val="18"/>
              </w:rPr>
            </w:pPr>
            <w:r>
              <w:rPr>
                <w:sz w:val="18"/>
                <w:szCs w:val="18"/>
              </w:rPr>
              <w:t>RP-MUS</w:t>
            </w:r>
            <w:r w:rsidRPr="00021BC9">
              <w:rPr>
                <w:sz w:val="18"/>
                <w:szCs w:val="18"/>
              </w:rPr>
              <w:t xml:space="preserve"> </w:t>
            </w:r>
            <w:r>
              <w:rPr>
                <w:sz w:val="18"/>
                <w:szCs w:val="18"/>
              </w:rPr>
              <w:t xml:space="preserve">is </w:t>
            </w:r>
            <w:r w:rsidRPr="00021BC9">
              <w:rPr>
                <w:sz w:val="18"/>
                <w:szCs w:val="18"/>
              </w:rPr>
              <w:t xml:space="preserve">cost-effective and dominant (cost-saving) </w:t>
            </w:r>
            <w:r>
              <w:rPr>
                <w:sz w:val="18"/>
                <w:szCs w:val="18"/>
              </w:rPr>
              <w:t>in these scenarios.</w:t>
            </w:r>
          </w:p>
        </w:tc>
        <w:tc>
          <w:tcPr>
            <w:tcW w:w="1268" w:type="dxa"/>
          </w:tcPr>
          <w:p w14:paraId="75B98C1D" w14:textId="77777777" w:rsidR="000D17CE" w:rsidRPr="00F9633B" w:rsidRDefault="000D17CE">
            <w:pPr>
              <w:pStyle w:val="051Tabletext228pt"/>
              <w:ind w:left="-57" w:right="-57"/>
              <w:rPr>
                <w:sz w:val="18"/>
                <w:szCs w:val="18"/>
                <w:highlight w:val="cyan"/>
              </w:rPr>
            </w:pPr>
            <w:r>
              <w:rPr>
                <w:sz w:val="18"/>
                <w:szCs w:val="18"/>
              </w:rPr>
              <w:t>RP-MUS</w:t>
            </w:r>
            <w:r w:rsidRPr="00021BC9">
              <w:rPr>
                <w:sz w:val="18"/>
                <w:szCs w:val="18"/>
              </w:rPr>
              <w:t xml:space="preserve"> was more cost-effective than rectus fascial sling</w:t>
            </w:r>
            <w:r>
              <w:rPr>
                <w:sz w:val="18"/>
                <w:szCs w:val="18"/>
              </w:rPr>
              <w:t>.</w:t>
            </w:r>
          </w:p>
        </w:tc>
      </w:tr>
    </w:tbl>
    <w:p w14:paraId="6323A1E2" w14:textId="044F490C" w:rsidR="000D17CE" w:rsidRPr="00B0485F" w:rsidRDefault="000D17CE" w:rsidP="000D17CE">
      <w:pPr>
        <w:pStyle w:val="111Tablefootnoteslast-nostick8pt"/>
        <w:rPr>
          <w:lang w:val="en-AU"/>
        </w:rPr>
      </w:pPr>
      <w:r>
        <w:rPr>
          <w:lang w:val="en-AU"/>
        </w:rPr>
        <w:t xml:space="preserve">Abbreviations: </w:t>
      </w:r>
      <w:r w:rsidRPr="00B0485F">
        <w:rPr>
          <w:lang w:val="en-AU"/>
        </w:rPr>
        <w:t>ICER</w:t>
      </w:r>
      <w:r>
        <w:rPr>
          <w:lang w:val="en-AU"/>
        </w:rPr>
        <w:t>,</w:t>
      </w:r>
      <w:r w:rsidRPr="00B0485F">
        <w:rPr>
          <w:lang w:val="en-AU"/>
        </w:rPr>
        <w:t xml:space="preserve"> incremental cost-effectiveness ratio; NR</w:t>
      </w:r>
      <w:r>
        <w:rPr>
          <w:lang w:val="en-AU"/>
        </w:rPr>
        <w:t>,</w:t>
      </w:r>
      <w:r w:rsidRPr="00B0485F">
        <w:rPr>
          <w:lang w:val="en-AU"/>
        </w:rPr>
        <w:t xml:space="preserve"> not reported; </w:t>
      </w:r>
      <w:r>
        <w:rPr>
          <w:lang w:val="en-AU"/>
        </w:rPr>
        <w:t>PVS, autologous pubovaginal sling; QALY, quality-adjusted life year; RP-MUS,</w:t>
      </w:r>
      <w:r w:rsidRPr="00F9633B">
        <w:rPr>
          <w:lang w:val="en-AU"/>
        </w:rPr>
        <w:t xml:space="preserve"> retropubic </w:t>
      </w:r>
      <w:r>
        <w:rPr>
          <w:lang w:val="en-AU"/>
        </w:rPr>
        <w:t>mid urethral sling</w:t>
      </w:r>
      <w:r w:rsidRPr="00F9633B">
        <w:rPr>
          <w:lang w:val="en-AU"/>
        </w:rPr>
        <w:t xml:space="preserve">; </w:t>
      </w:r>
      <w:r>
        <w:rPr>
          <w:lang w:val="en-AU"/>
        </w:rPr>
        <w:t xml:space="preserve">USD, US dollars; </w:t>
      </w:r>
      <w:proofErr w:type="spellStart"/>
      <w:r w:rsidRPr="00F9633B">
        <w:rPr>
          <w:lang w:val="en-AU"/>
        </w:rPr>
        <w:t>yr</w:t>
      </w:r>
      <w:proofErr w:type="spellEnd"/>
      <w:r>
        <w:rPr>
          <w:lang w:val="en-AU"/>
        </w:rPr>
        <w:t>,</w:t>
      </w:r>
      <w:r w:rsidRPr="00F9633B">
        <w:rPr>
          <w:lang w:val="en-AU"/>
        </w:rPr>
        <w:t xml:space="preserve"> year.</w:t>
      </w:r>
    </w:p>
    <w:p w14:paraId="6906566E" w14:textId="43B035FF" w:rsidR="000D17CE" w:rsidRPr="00B0485F" w:rsidRDefault="000D17CE" w:rsidP="000D17CE">
      <w:pPr>
        <w:pStyle w:val="BodyText"/>
      </w:pPr>
      <w:r>
        <w:t>QALYs were calculated from published health utility scores. QALY values were reported for the hospital perspective but not the health care perspective. The authors concluded that RP-MUS was more cost-effective than rectus fascial sling from a hospital perspective and was the dominant treatment (less costly and more effective) from the health care perspective.</w:t>
      </w:r>
    </w:p>
    <w:p w14:paraId="47469E07" w14:textId="5A1441AA" w:rsidR="000D17CE" w:rsidRPr="005251DB" w:rsidRDefault="000D17CE" w:rsidP="000D17CE">
      <w:pPr>
        <w:pStyle w:val="Heading4"/>
      </w:pPr>
      <w:r w:rsidRPr="005251DB">
        <w:t>Chang (2022)</w:t>
      </w:r>
    </w:p>
    <w:p w14:paraId="7B2946E9" w14:textId="36879F1F" w:rsidR="000D17CE" w:rsidRPr="005251DB" w:rsidRDefault="000D17CE" w:rsidP="000D17CE">
      <w:pPr>
        <w:pStyle w:val="BodyText"/>
      </w:pPr>
      <w:r w:rsidRPr="005251DB">
        <w:t>The</w:t>
      </w:r>
      <w:r w:rsidRPr="005251DB" w:rsidDel="001965EA">
        <w:t xml:space="preserve"> </w:t>
      </w:r>
      <w:r w:rsidRPr="005251DB">
        <w:t xml:space="preserve">characteristics of </w:t>
      </w:r>
      <w:r>
        <w:t xml:space="preserve">the economic analysis by </w:t>
      </w:r>
      <w:r w:rsidRPr="005251DB">
        <w:t>Chang</w:t>
      </w:r>
      <w:r>
        <w:t xml:space="preserve"> and colleagues</w:t>
      </w:r>
      <w:r w:rsidRPr="005251DB">
        <w:t xml:space="preserve"> </w:t>
      </w:r>
      <w:r w:rsidR="00245CE2">
        <w:rPr>
          <w:noProof/>
        </w:rPr>
        <w:t>(Chang 2022)</w:t>
      </w:r>
      <w:r w:rsidRPr="005251DB">
        <w:t xml:space="preserve"> are summarised in </w:t>
      </w:r>
      <w:r w:rsidRPr="005251DB">
        <w:rPr>
          <w:b/>
          <w:bCs/>
        </w:rPr>
        <w:fldChar w:fldCharType="begin"/>
      </w:r>
      <w:r w:rsidRPr="005251DB">
        <w:rPr>
          <w:b/>
          <w:bCs/>
        </w:rPr>
        <w:instrText xml:space="preserve"> REF _Ref131001127 \h  \* MERGEFORMAT </w:instrText>
      </w:r>
      <w:r w:rsidRPr="005251DB">
        <w:rPr>
          <w:b/>
          <w:bCs/>
        </w:rPr>
      </w:r>
      <w:r w:rsidRPr="005251DB">
        <w:rPr>
          <w:b/>
          <w:bCs/>
        </w:rPr>
        <w:fldChar w:fldCharType="separate"/>
      </w:r>
      <w:r w:rsidR="007105D3" w:rsidRPr="007105D3">
        <w:rPr>
          <w:b/>
          <w:bCs/>
        </w:rPr>
        <w:t xml:space="preserve">Table </w:t>
      </w:r>
      <w:r w:rsidR="007105D3" w:rsidRPr="007105D3">
        <w:rPr>
          <w:b/>
          <w:bCs/>
          <w:noProof/>
        </w:rPr>
        <w:t>14</w:t>
      </w:r>
      <w:r w:rsidRPr="005251DB">
        <w:rPr>
          <w:b/>
          <w:bCs/>
        </w:rPr>
        <w:fldChar w:fldCharType="end"/>
      </w:r>
      <w:r w:rsidRPr="005251DB">
        <w:t xml:space="preserve">. The authors chose the two-year time horizon given that most mesh complications should have emerged within two years post-surgery. The authors presented treatment pathways commencing with different interventions as </w:t>
      </w:r>
      <w:r w:rsidRPr="005251DB" w:rsidDel="00B2256B">
        <w:t>first</w:t>
      </w:r>
      <w:r>
        <w:t>-</w:t>
      </w:r>
      <w:r w:rsidRPr="005251DB">
        <w:t xml:space="preserve">line and </w:t>
      </w:r>
      <w:proofErr w:type="gramStart"/>
      <w:r w:rsidRPr="005251DB">
        <w:t>taking into account</w:t>
      </w:r>
      <w:proofErr w:type="gramEnd"/>
      <w:r w:rsidRPr="005251DB">
        <w:t xml:space="preserve"> likely subsequent treatment alternatives or re-treatments.</w:t>
      </w:r>
    </w:p>
    <w:p w14:paraId="799246B6" w14:textId="7BE38CBE" w:rsidR="000D17CE" w:rsidRPr="00B0485F" w:rsidRDefault="000D17CE" w:rsidP="000D17CE">
      <w:pPr>
        <w:pStyle w:val="Caption"/>
      </w:pPr>
      <w:bookmarkStart w:id="103" w:name="_Ref131001127"/>
      <w:bookmarkStart w:id="104" w:name="_Toc165627882"/>
      <w:r w:rsidRPr="005251DB">
        <w:lastRenderedPageBreak/>
        <w:t xml:space="preserve">Table </w:t>
      </w:r>
      <w:fldSimple w:instr=" SEQ Table \* ARABIC ">
        <w:r w:rsidR="007105D3">
          <w:rPr>
            <w:noProof/>
          </w:rPr>
          <w:t>14</w:t>
        </w:r>
      </w:fldSimple>
      <w:bookmarkEnd w:id="103"/>
      <w:r w:rsidRPr="005251DB">
        <w:tab/>
        <w:t>Study characteristics of Chang (2022)</w:t>
      </w:r>
      <w:bookmarkEnd w:id="104"/>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tudy characteristics of Chang (2022)"/>
        <w:tblDescription w:val="This table shows the study characteristics of the Chang (2022) study including country, research question, perspective, time horizon, economic evaluation type, population, intervention, comparator, source of effectiveness inputs, funding and author conflicts of interest. "/>
      </w:tblPr>
      <w:tblGrid>
        <w:gridCol w:w="759"/>
        <w:gridCol w:w="1401"/>
        <w:gridCol w:w="1301"/>
        <w:gridCol w:w="1039"/>
        <w:gridCol w:w="2250"/>
        <w:gridCol w:w="1531"/>
        <w:gridCol w:w="1357"/>
      </w:tblGrid>
      <w:tr w:rsidR="000D17CE" w:rsidRPr="001D07DC" w14:paraId="0F3631D0" w14:textId="77777777">
        <w:trPr>
          <w:tblHeader/>
        </w:trPr>
        <w:tc>
          <w:tcPr>
            <w:tcW w:w="394" w:type="pct"/>
            <w:shd w:val="clear" w:color="auto" w:fill="BFBFBF"/>
          </w:tcPr>
          <w:p w14:paraId="7BAFADDF" w14:textId="77777777" w:rsidR="000D17CE" w:rsidRPr="001D07DC" w:rsidRDefault="000D17CE">
            <w:pPr>
              <w:pStyle w:val="011TableHeading8pt"/>
              <w:ind w:left="-57" w:right="-57"/>
              <w:rPr>
                <w:sz w:val="18"/>
                <w:szCs w:val="24"/>
              </w:rPr>
            </w:pPr>
            <w:r w:rsidRPr="001D07DC">
              <w:rPr>
                <w:sz w:val="18"/>
                <w:szCs w:val="24"/>
              </w:rPr>
              <w:t>Study ID</w:t>
            </w:r>
            <w:r w:rsidRPr="001D07DC">
              <w:rPr>
                <w:sz w:val="18"/>
                <w:szCs w:val="24"/>
              </w:rPr>
              <w:br/>
              <w:t>Country</w:t>
            </w:r>
          </w:p>
        </w:tc>
        <w:tc>
          <w:tcPr>
            <w:tcW w:w="727" w:type="pct"/>
            <w:shd w:val="clear" w:color="auto" w:fill="BFBFBF"/>
          </w:tcPr>
          <w:p w14:paraId="1DAE4AA9" w14:textId="2F458F66" w:rsidR="000D17CE" w:rsidRPr="001D07DC" w:rsidRDefault="000D17CE">
            <w:pPr>
              <w:pStyle w:val="011TableHeading8pt"/>
              <w:ind w:left="-57" w:right="-57"/>
              <w:rPr>
                <w:sz w:val="18"/>
                <w:szCs w:val="24"/>
              </w:rPr>
            </w:pPr>
            <w:r>
              <w:rPr>
                <w:sz w:val="18"/>
                <w:szCs w:val="24"/>
              </w:rPr>
              <w:t>R</w:t>
            </w:r>
            <w:r w:rsidRPr="001D07DC">
              <w:rPr>
                <w:sz w:val="18"/>
                <w:szCs w:val="24"/>
              </w:rPr>
              <w:t>esearch question</w:t>
            </w:r>
          </w:p>
        </w:tc>
        <w:tc>
          <w:tcPr>
            <w:tcW w:w="675" w:type="pct"/>
            <w:shd w:val="clear" w:color="auto" w:fill="BFBFBF"/>
          </w:tcPr>
          <w:p w14:paraId="4272F89B" w14:textId="77777777" w:rsidR="000D17CE" w:rsidRPr="001D07DC" w:rsidRDefault="000D17CE">
            <w:pPr>
              <w:pStyle w:val="011TableHeading8pt"/>
              <w:ind w:left="-57" w:right="-57"/>
              <w:rPr>
                <w:sz w:val="18"/>
                <w:szCs w:val="24"/>
              </w:rPr>
            </w:pPr>
            <w:r w:rsidRPr="001D07DC">
              <w:rPr>
                <w:sz w:val="18"/>
                <w:szCs w:val="24"/>
              </w:rPr>
              <w:t xml:space="preserve">Perspective </w:t>
            </w:r>
            <w:r w:rsidRPr="001D07DC">
              <w:rPr>
                <w:sz w:val="18"/>
                <w:szCs w:val="24"/>
              </w:rPr>
              <w:br/>
              <w:t>Time horizon</w:t>
            </w:r>
            <w:r w:rsidRPr="001D07DC">
              <w:rPr>
                <w:sz w:val="18"/>
                <w:szCs w:val="24"/>
              </w:rPr>
              <w:br/>
              <w:t>EE type</w:t>
            </w:r>
          </w:p>
        </w:tc>
        <w:tc>
          <w:tcPr>
            <w:tcW w:w="539" w:type="pct"/>
            <w:shd w:val="clear" w:color="auto" w:fill="BFBFBF"/>
          </w:tcPr>
          <w:p w14:paraId="4FB82986" w14:textId="77777777" w:rsidR="000D17CE" w:rsidRPr="001D07DC" w:rsidRDefault="000D17CE">
            <w:pPr>
              <w:pStyle w:val="011TableHeading8pt"/>
              <w:ind w:left="-57" w:right="-57"/>
              <w:rPr>
                <w:sz w:val="18"/>
                <w:szCs w:val="24"/>
              </w:rPr>
            </w:pPr>
            <w:r w:rsidRPr="001D07DC">
              <w:rPr>
                <w:sz w:val="18"/>
                <w:szCs w:val="24"/>
              </w:rPr>
              <w:t>Population</w:t>
            </w:r>
          </w:p>
        </w:tc>
        <w:tc>
          <w:tcPr>
            <w:tcW w:w="1167" w:type="pct"/>
            <w:shd w:val="clear" w:color="auto" w:fill="BFBFBF"/>
          </w:tcPr>
          <w:p w14:paraId="671DE400" w14:textId="77777777" w:rsidR="000D17CE" w:rsidRPr="001D07DC" w:rsidRDefault="000D17CE">
            <w:pPr>
              <w:pStyle w:val="011TableHeading8pt"/>
              <w:ind w:left="-57" w:right="-57"/>
              <w:rPr>
                <w:sz w:val="18"/>
                <w:szCs w:val="24"/>
              </w:rPr>
            </w:pPr>
            <w:r w:rsidRPr="001D07DC">
              <w:rPr>
                <w:sz w:val="18"/>
                <w:szCs w:val="24"/>
              </w:rPr>
              <w:t>Intervention</w:t>
            </w:r>
            <w:r w:rsidRPr="001D07DC">
              <w:rPr>
                <w:sz w:val="18"/>
                <w:szCs w:val="24"/>
              </w:rPr>
              <w:br/>
              <w:t>Comparator</w:t>
            </w:r>
          </w:p>
        </w:tc>
        <w:tc>
          <w:tcPr>
            <w:tcW w:w="794" w:type="pct"/>
            <w:shd w:val="clear" w:color="auto" w:fill="BFBFBF"/>
          </w:tcPr>
          <w:p w14:paraId="00C0CA8A" w14:textId="77777777" w:rsidR="000D17CE" w:rsidRPr="001D07DC" w:rsidRDefault="000D17CE">
            <w:pPr>
              <w:pStyle w:val="011TableHeading8pt"/>
              <w:ind w:left="-57" w:right="-57"/>
              <w:rPr>
                <w:sz w:val="18"/>
                <w:szCs w:val="24"/>
              </w:rPr>
            </w:pPr>
            <w:r w:rsidRPr="001D07DC">
              <w:rPr>
                <w:sz w:val="18"/>
                <w:szCs w:val="24"/>
              </w:rPr>
              <w:t>Source of effectiveness inputs</w:t>
            </w:r>
          </w:p>
        </w:tc>
        <w:tc>
          <w:tcPr>
            <w:tcW w:w="704" w:type="pct"/>
            <w:shd w:val="clear" w:color="auto" w:fill="BFBFBF"/>
          </w:tcPr>
          <w:p w14:paraId="7F26D13E" w14:textId="77777777" w:rsidR="000D17CE" w:rsidRPr="001D07DC" w:rsidRDefault="000D17CE">
            <w:pPr>
              <w:pStyle w:val="011TableHeading8pt"/>
              <w:ind w:left="-57" w:right="-57"/>
              <w:rPr>
                <w:sz w:val="18"/>
                <w:szCs w:val="24"/>
              </w:rPr>
            </w:pPr>
            <w:r w:rsidRPr="001D07DC">
              <w:rPr>
                <w:sz w:val="18"/>
                <w:szCs w:val="24"/>
              </w:rPr>
              <w:t>Funding</w:t>
            </w:r>
            <w:r w:rsidRPr="001D07DC">
              <w:rPr>
                <w:sz w:val="18"/>
                <w:szCs w:val="24"/>
              </w:rPr>
              <w:br/>
              <w:t>Author COIs</w:t>
            </w:r>
          </w:p>
        </w:tc>
      </w:tr>
      <w:tr w:rsidR="000D17CE" w:rsidRPr="001D07DC" w14:paraId="18823D5A" w14:textId="77777777">
        <w:tc>
          <w:tcPr>
            <w:tcW w:w="394" w:type="pct"/>
            <w:shd w:val="clear" w:color="auto" w:fill="auto"/>
          </w:tcPr>
          <w:p w14:paraId="2D21A200" w14:textId="77777777" w:rsidR="000D17CE" w:rsidRPr="001D07DC" w:rsidRDefault="000D17CE">
            <w:pPr>
              <w:pStyle w:val="051Tabletext228pt"/>
              <w:ind w:left="-57" w:right="-57"/>
              <w:rPr>
                <w:sz w:val="18"/>
                <w:szCs w:val="24"/>
              </w:rPr>
            </w:pPr>
            <w:r w:rsidRPr="001D07DC">
              <w:rPr>
                <w:sz w:val="18"/>
                <w:szCs w:val="24"/>
              </w:rPr>
              <w:t>Chang 202</w:t>
            </w:r>
            <w:r>
              <w:rPr>
                <w:sz w:val="18"/>
                <w:szCs w:val="24"/>
              </w:rPr>
              <w:t>2</w:t>
            </w:r>
            <w:r w:rsidRPr="001D07DC">
              <w:rPr>
                <w:sz w:val="18"/>
                <w:szCs w:val="24"/>
              </w:rPr>
              <w:br/>
              <w:t>USA</w:t>
            </w:r>
          </w:p>
        </w:tc>
        <w:tc>
          <w:tcPr>
            <w:tcW w:w="727" w:type="pct"/>
          </w:tcPr>
          <w:p w14:paraId="75E29560" w14:textId="77777777" w:rsidR="000D17CE" w:rsidRPr="001D07DC" w:rsidRDefault="000D17CE">
            <w:pPr>
              <w:pStyle w:val="051Tabletext228pt"/>
              <w:ind w:left="-57" w:right="-57"/>
              <w:rPr>
                <w:sz w:val="18"/>
                <w:szCs w:val="24"/>
              </w:rPr>
            </w:pPr>
            <w:r w:rsidRPr="001D07DC">
              <w:rPr>
                <w:sz w:val="18"/>
                <w:szCs w:val="24"/>
              </w:rPr>
              <w:t>What is the cost-effectiveness of non-surgical and surgical options for SUI?</w:t>
            </w:r>
          </w:p>
        </w:tc>
        <w:tc>
          <w:tcPr>
            <w:tcW w:w="675" w:type="pct"/>
            <w:shd w:val="clear" w:color="auto" w:fill="auto"/>
          </w:tcPr>
          <w:p w14:paraId="10896CB4" w14:textId="65ABF788" w:rsidR="000D17CE" w:rsidRPr="001D07DC" w:rsidRDefault="000D17CE">
            <w:pPr>
              <w:pStyle w:val="051Tabletext228pt"/>
              <w:ind w:left="-57" w:right="-57"/>
              <w:rPr>
                <w:sz w:val="18"/>
                <w:szCs w:val="24"/>
              </w:rPr>
            </w:pPr>
            <w:r>
              <w:rPr>
                <w:sz w:val="18"/>
                <w:szCs w:val="24"/>
              </w:rPr>
              <w:t>US h</w:t>
            </w:r>
            <w:r w:rsidRPr="001D07DC">
              <w:rPr>
                <w:sz w:val="18"/>
                <w:szCs w:val="24"/>
              </w:rPr>
              <w:t>ealth</w:t>
            </w:r>
            <w:r>
              <w:rPr>
                <w:sz w:val="18"/>
                <w:szCs w:val="24"/>
              </w:rPr>
              <w:t xml:space="preserve"> </w:t>
            </w:r>
            <w:r w:rsidRPr="001D07DC">
              <w:rPr>
                <w:sz w:val="18"/>
                <w:szCs w:val="24"/>
              </w:rPr>
              <w:t>care</w:t>
            </w:r>
            <w:r w:rsidRPr="001D07DC">
              <w:rPr>
                <w:sz w:val="18"/>
                <w:szCs w:val="24"/>
              </w:rPr>
              <w:br/>
              <w:t xml:space="preserve">2 </w:t>
            </w:r>
            <w:proofErr w:type="spellStart"/>
            <w:r w:rsidRPr="001D07DC">
              <w:rPr>
                <w:sz w:val="18"/>
                <w:szCs w:val="24"/>
              </w:rPr>
              <w:t>yr</w:t>
            </w:r>
            <w:proofErr w:type="spellEnd"/>
            <w:r w:rsidRPr="001D07DC">
              <w:rPr>
                <w:sz w:val="18"/>
                <w:szCs w:val="24"/>
              </w:rPr>
              <w:br/>
            </w:r>
            <w:r>
              <w:rPr>
                <w:sz w:val="18"/>
                <w:szCs w:val="24"/>
              </w:rPr>
              <w:t xml:space="preserve">CUA: </w:t>
            </w:r>
            <w:r w:rsidRPr="001D07DC">
              <w:rPr>
                <w:sz w:val="18"/>
                <w:szCs w:val="24"/>
              </w:rPr>
              <w:t>Model based</w:t>
            </w:r>
            <w:r>
              <w:rPr>
                <w:sz w:val="18"/>
                <w:szCs w:val="24"/>
              </w:rPr>
              <w:t xml:space="preserve"> (</w:t>
            </w:r>
            <w:proofErr w:type="spellStart"/>
            <w:r>
              <w:rPr>
                <w:sz w:val="18"/>
                <w:szCs w:val="24"/>
              </w:rPr>
              <w:t>TreeAge</w:t>
            </w:r>
            <w:proofErr w:type="spellEnd"/>
            <w:r>
              <w:rPr>
                <w:sz w:val="18"/>
                <w:szCs w:val="24"/>
              </w:rPr>
              <w:t xml:space="preserve"> Pro); 2019 costs</w:t>
            </w:r>
          </w:p>
        </w:tc>
        <w:tc>
          <w:tcPr>
            <w:tcW w:w="539" w:type="pct"/>
          </w:tcPr>
          <w:p w14:paraId="031BED5E" w14:textId="77777777" w:rsidR="000D17CE" w:rsidRPr="001D07DC" w:rsidRDefault="000D17CE">
            <w:pPr>
              <w:pStyle w:val="051Tabletext228pt"/>
              <w:ind w:left="-57" w:right="-57"/>
              <w:rPr>
                <w:sz w:val="18"/>
                <w:szCs w:val="24"/>
              </w:rPr>
            </w:pPr>
            <w:r w:rsidRPr="001D07DC">
              <w:rPr>
                <w:sz w:val="18"/>
                <w:szCs w:val="24"/>
              </w:rPr>
              <w:t>SUI</w:t>
            </w:r>
          </w:p>
        </w:tc>
        <w:tc>
          <w:tcPr>
            <w:tcW w:w="1167" w:type="pct"/>
          </w:tcPr>
          <w:p w14:paraId="616DD68F" w14:textId="010CB334" w:rsidR="000D17CE" w:rsidRPr="001D07DC" w:rsidRDefault="000D17CE">
            <w:pPr>
              <w:pStyle w:val="051Tabletext228pt"/>
              <w:ind w:left="-57" w:right="-57"/>
              <w:rPr>
                <w:sz w:val="18"/>
                <w:szCs w:val="24"/>
              </w:rPr>
            </w:pPr>
            <w:r w:rsidRPr="001D07DC">
              <w:rPr>
                <w:sz w:val="18"/>
                <w:szCs w:val="24"/>
              </w:rPr>
              <w:t>MUS (R</w:t>
            </w:r>
            <w:r>
              <w:rPr>
                <w:sz w:val="18"/>
                <w:szCs w:val="24"/>
              </w:rPr>
              <w:t>P</w:t>
            </w:r>
            <w:r w:rsidRPr="001D07DC">
              <w:rPr>
                <w:sz w:val="18"/>
                <w:szCs w:val="24"/>
              </w:rPr>
              <w:t>-MUS &amp; T</w:t>
            </w:r>
            <w:r>
              <w:rPr>
                <w:sz w:val="18"/>
                <w:szCs w:val="24"/>
              </w:rPr>
              <w:t>O</w:t>
            </w:r>
            <w:r w:rsidRPr="001D07DC">
              <w:rPr>
                <w:sz w:val="18"/>
                <w:szCs w:val="24"/>
              </w:rPr>
              <w:t>-MUS)</w:t>
            </w:r>
            <w:r w:rsidRPr="001D07DC">
              <w:rPr>
                <w:sz w:val="18"/>
                <w:szCs w:val="24"/>
              </w:rPr>
              <w:br/>
            </w:r>
            <w:r w:rsidRPr="003622A7">
              <w:rPr>
                <w:color w:val="808080" w:themeColor="background1" w:themeShade="80"/>
                <w:sz w:val="18"/>
                <w:szCs w:val="24"/>
              </w:rPr>
              <w:t>No treatment</w:t>
            </w:r>
            <w:r w:rsidRPr="003622A7">
              <w:rPr>
                <w:color w:val="808080" w:themeColor="background1" w:themeShade="80"/>
                <w:sz w:val="18"/>
                <w:szCs w:val="24"/>
              </w:rPr>
              <w:br/>
              <w:t>Incontinence pessary</w:t>
            </w:r>
            <w:r w:rsidRPr="003622A7">
              <w:rPr>
                <w:color w:val="808080" w:themeColor="background1" w:themeShade="80"/>
                <w:sz w:val="18"/>
                <w:szCs w:val="24"/>
              </w:rPr>
              <w:br/>
              <w:t>Pelvic floor muscle physical therapy</w:t>
            </w:r>
            <w:r w:rsidRPr="003622A7">
              <w:rPr>
                <w:color w:val="808080" w:themeColor="background1" w:themeShade="80"/>
                <w:sz w:val="18"/>
                <w:szCs w:val="24"/>
              </w:rPr>
              <w:br/>
            </w:r>
            <w:r w:rsidRPr="001D07DC">
              <w:rPr>
                <w:sz w:val="18"/>
                <w:szCs w:val="24"/>
              </w:rPr>
              <w:t>Bulking injection</w:t>
            </w:r>
            <w:r>
              <w:rPr>
                <w:sz w:val="18"/>
                <w:szCs w:val="24"/>
                <w:vertAlign w:val="superscript"/>
              </w:rPr>
              <w:t>1</w:t>
            </w:r>
            <w:r w:rsidRPr="001D07DC">
              <w:rPr>
                <w:sz w:val="18"/>
                <w:szCs w:val="24"/>
              </w:rPr>
              <w:br/>
              <w:t xml:space="preserve">Open &amp; laparoscopic Burch </w:t>
            </w:r>
            <w:proofErr w:type="spellStart"/>
            <w:r w:rsidRPr="001D07DC">
              <w:rPr>
                <w:sz w:val="18"/>
                <w:szCs w:val="24"/>
              </w:rPr>
              <w:t>colposuspension</w:t>
            </w:r>
            <w:proofErr w:type="spellEnd"/>
            <w:r w:rsidRPr="001D07DC">
              <w:rPr>
                <w:sz w:val="18"/>
                <w:szCs w:val="24"/>
              </w:rPr>
              <w:t xml:space="preserve">, </w:t>
            </w:r>
            <w:r w:rsidRPr="001D07DC">
              <w:rPr>
                <w:sz w:val="18"/>
                <w:szCs w:val="24"/>
              </w:rPr>
              <w:br/>
              <w:t>PVS</w:t>
            </w:r>
          </w:p>
        </w:tc>
        <w:tc>
          <w:tcPr>
            <w:tcW w:w="794" w:type="pct"/>
          </w:tcPr>
          <w:p w14:paraId="4DCD1A9F" w14:textId="6914089B" w:rsidR="000D17CE" w:rsidRPr="001D07DC" w:rsidRDefault="000D17CE">
            <w:pPr>
              <w:pStyle w:val="051Tabletext228pt"/>
              <w:ind w:left="-57" w:right="-57"/>
              <w:rPr>
                <w:sz w:val="18"/>
                <w:szCs w:val="24"/>
              </w:rPr>
            </w:pPr>
            <w:r w:rsidRPr="001D07DC">
              <w:rPr>
                <w:sz w:val="18"/>
                <w:szCs w:val="24"/>
              </w:rPr>
              <w:t>RCTs cited in reviews of relevant modality in</w:t>
            </w:r>
            <w:r>
              <w:rPr>
                <w:sz w:val="18"/>
                <w:szCs w:val="24"/>
              </w:rPr>
              <w:t xml:space="preserve"> CDSR</w:t>
            </w:r>
            <w:r w:rsidRPr="001D07DC">
              <w:rPr>
                <w:sz w:val="18"/>
                <w:szCs w:val="24"/>
              </w:rPr>
              <w:t xml:space="preserve">; minimum 12 </w:t>
            </w:r>
            <w:proofErr w:type="spellStart"/>
            <w:r w:rsidRPr="001D07DC">
              <w:rPr>
                <w:sz w:val="18"/>
                <w:szCs w:val="24"/>
              </w:rPr>
              <w:t>mo</w:t>
            </w:r>
            <w:proofErr w:type="spellEnd"/>
            <w:r w:rsidRPr="001D07DC">
              <w:rPr>
                <w:sz w:val="18"/>
                <w:szCs w:val="24"/>
              </w:rPr>
              <w:t xml:space="preserve"> follow-up</w:t>
            </w:r>
          </w:p>
        </w:tc>
        <w:tc>
          <w:tcPr>
            <w:tcW w:w="704" w:type="pct"/>
            <w:shd w:val="clear" w:color="auto" w:fill="auto"/>
          </w:tcPr>
          <w:p w14:paraId="50831B1B" w14:textId="77777777" w:rsidR="000D17CE" w:rsidRPr="001D07DC" w:rsidRDefault="000D17CE">
            <w:pPr>
              <w:pStyle w:val="051Tabletext228pt"/>
              <w:ind w:left="-57" w:right="-57"/>
              <w:rPr>
                <w:sz w:val="18"/>
                <w:szCs w:val="24"/>
              </w:rPr>
            </w:pPr>
            <w:r w:rsidRPr="001D07DC">
              <w:rPr>
                <w:sz w:val="18"/>
                <w:szCs w:val="24"/>
              </w:rPr>
              <w:t>Funding: No funding received</w:t>
            </w:r>
          </w:p>
          <w:p w14:paraId="50B3B060" w14:textId="77777777" w:rsidR="000D17CE" w:rsidRPr="001D07DC" w:rsidRDefault="000D17CE">
            <w:pPr>
              <w:pStyle w:val="051Tabletext228pt"/>
              <w:ind w:left="-57" w:right="-57"/>
              <w:rPr>
                <w:sz w:val="18"/>
                <w:szCs w:val="24"/>
              </w:rPr>
            </w:pPr>
            <w:r w:rsidRPr="001D07DC">
              <w:rPr>
                <w:sz w:val="18"/>
                <w:szCs w:val="24"/>
              </w:rPr>
              <w:t>Conflicts: None</w:t>
            </w:r>
          </w:p>
        </w:tc>
      </w:tr>
    </w:tbl>
    <w:p w14:paraId="4A709E49" w14:textId="5BB61AF7" w:rsidR="00384AEF" w:rsidRPr="00061182" w:rsidRDefault="00384AEF" w:rsidP="00061182">
      <w:pPr>
        <w:pStyle w:val="111Tablefootnoteslast-nostick8pt"/>
        <w:spacing w:after="0"/>
      </w:pPr>
      <w:r w:rsidRPr="00061182">
        <w:t>Abbreviations</w:t>
      </w:r>
      <w:r w:rsidR="000D17CE" w:rsidRPr="00061182">
        <w:t xml:space="preserve">: CDSR, Cochrane Database of Systematic Reviews; COI, conflict of interest; CUA, cost-utility analysis; EE, economic evaluation; MUS, mid-urethral sling; PVS, autologous pubovaginal sling; RCT, randomised controlled trial; RP-MUS, retropubic MUS; SUI, stress urinary incontinence; </w:t>
      </w:r>
      <w:r w:rsidR="000D17CE" w:rsidRPr="00061182">
        <w:rPr>
          <w:rStyle w:val="101Tablefootnotes8ptChar"/>
        </w:rPr>
        <w:t xml:space="preserve">TO-MUS, </w:t>
      </w:r>
      <w:proofErr w:type="spellStart"/>
      <w:r w:rsidR="000D17CE" w:rsidRPr="00061182">
        <w:rPr>
          <w:rStyle w:val="101Tablefootnotes8ptChar"/>
        </w:rPr>
        <w:t>transobturator</w:t>
      </w:r>
      <w:proofErr w:type="spellEnd"/>
      <w:r w:rsidR="000D17CE" w:rsidRPr="00061182">
        <w:rPr>
          <w:rStyle w:val="101Tablefootnotes8ptChar"/>
        </w:rPr>
        <w:t xml:space="preserve"> MUS; </w:t>
      </w:r>
      <w:proofErr w:type="spellStart"/>
      <w:proofErr w:type="gramStart"/>
      <w:r w:rsidR="000D17CE" w:rsidRPr="00061182">
        <w:rPr>
          <w:rStyle w:val="101Tablefootnotes8ptChar"/>
        </w:rPr>
        <w:t>yr</w:t>
      </w:r>
      <w:proofErr w:type="spellEnd"/>
      <w:r w:rsidR="000D17CE" w:rsidRPr="00061182">
        <w:rPr>
          <w:rStyle w:val="101Tablefootnotes8ptChar"/>
        </w:rPr>
        <w:t xml:space="preserve"> ,year</w:t>
      </w:r>
      <w:proofErr w:type="gramEnd"/>
      <w:r w:rsidR="000D17CE" w:rsidRPr="00061182">
        <w:rPr>
          <w:rStyle w:val="101Tablefootnotes8ptChar"/>
        </w:rPr>
        <w:t>.</w:t>
      </w:r>
    </w:p>
    <w:p w14:paraId="57785D71" w14:textId="6DD04CC0" w:rsidR="000D17CE" w:rsidRDefault="000D17CE" w:rsidP="00C0109D">
      <w:pPr>
        <w:pStyle w:val="101Tablefootnotes8pt"/>
      </w:pPr>
      <w:r w:rsidRPr="00A92F50">
        <w:rPr>
          <w:vertAlign w:val="superscript"/>
        </w:rPr>
        <w:t>1</w:t>
      </w:r>
      <w:r w:rsidRPr="00061182">
        <w:t xml:space="preserve"> Bulking </w:t>
      </w:r>
      <w:proofErr w:type="gramStart"/>
      <w:r w:rsidRPr="00061182">
        <w:t>agents</w:t>
      </w:r>
      <w:proofErr w:type="gramEnd"/>
      <w:r w:rsidRPr="00061182">
        <w:t xml:space="preserve"> cited: </w:t>
      </w:r>
      <w:proofErr w:type="spellStart"/>
      <w:r w:rsidRPr="00061182">
        <w:t>dextranomer</w:t>
      </w:r>
      <w:proofErr w:type="spellEnd"/>
      <w:r w:rsidRPr="00061182">
        <w:t xml:space="preserve">/hyaluronic acid co-polymer, </w:t>
      </w:r>
      <w:proofErr w:type="spellStart"/>
      <w:r w:rsidRPr="00061182">
        <w:t>glutealdehyde</w:t>
      </w:r>
      <w:proofErr w:type="spellEnd"/>
      <w:r w:rsidRPr="00061182">
        <w:t xml:space="preserve"> cross-linked bovine collagen (or comparable), polydimethylsiloxane, and calcium </w:t>
      </w:r>
      <w:proofErr w:type="spellStart"/>
      <w:r w:rsidRPr="00061182">
        <w:t>hydroxylapatite</w:t>
      </w:r>
      <w:proofErr w:type="spellEnd"/>
      <w:r w:rsidRPr="00061182">
        <w:t>.</w:t>
      </w:r>
    </w:p>
    <w:p w14:paraId="66A1C700" w14:textId="66375467" w:rsidR="00C0109D" w:rsidRPr="00B0485F" w:rsidRDefault="00C0109D" w:rsidP="00C0109D">
      <w:pPr>
        <w:pStyle w:val="111Tablefootnoteslast-nostick8pt"/>
        <w:rPr>
          <w:color w:val="808080" w:themeColor="background1" w:themeShade="80"/>
          <w:lang w:val="en-AU"/>
        </w:rPr>
      </w:pPr>
      <w:r>
        <w:rPr>
          <w:color w:val="808080" w:themeColor="background1" w:themeShade="80"/>
          <w:lang w:val="en-AU"/>
        </w:rPr>
        <w:t xml:space="preserve">Note: </w:t>
      </w:r>
      <w:r w:rsidRPr="00B0485F">
        <w:rPr>
          <w:color w:val="808080" w:themeColor="background1" w:themeShade="80"/>
          <w:lang w:val="en-AU"/>
        </w:rPr>
        <w:t>compar</w:t>
      </w:r>
      <w:r w:rsidR="002B0401">
        <w:rPr>
          <w:color w:val="808080" w:themeColor="background1" w:themeShade="80"/>
          <w:lang w:val="en-AU"/>
        </w:rPr>
        <w:t>ators</w:t>
      </w:r>
      <w:r w:rsidRPr="00B0485F">
        <w:rPr>
          <w:color w:val="808080" w:themeColor="background1" w:themeShade="80"/>
          <w:lang w:val="en-AU"/>
        </w:rPr>
        <w:t xml:space="preserve"> listed in grey</w:t>
      </w:r>
      <w:r>
        <w:rPr>
          <w:color w:val="808080" w:themeColor="background1" w:themeShade="80"/>
          <w:lang w:val="en-AU"/>
        </w:rPr>
        <w:t xml:space="preserve"> </w:t>
      </w:r>
      <w:r w:rsidRPr="00B0485F">
        <w:rPr>
          <w:color w:val="808080" w:themeColor="background1" w:themeShade="80"/>
          <w:lang w:val="en-AU"/>
        </w:rPr>
        <w:t>text are out of scope for this post-listing review.</w:t>
      </w:r>
    </w:p>
    <w:p w14:paraId="3FA59749" w14:textId="77777777" w:rsidR="000D17CE" w:rsidRPr="00B0485F" w:rsidRDefault="000D17CE" w:rsidP="000D17CE">
      <w:pPr>
        <w:pStyle w:val="Heading5"/>
      </w:pPr>
      <w:r w:rsidRPr="00B0485F">
        <w:t>Findings</w:t>
      </w:r>
    </w:p>
    <w:p w14:paraId="4EA9A030" w14:textId="06EE6DED" w:rsidR="000D17CE" w:rsidRPr="00B0485F" w:rsidRDefault="000D17CE" w:rsidP="000D17CE">
      <w:pPr>
        <w:pStyle w:val="BodyText"/>
      </w:pPr>
      <w:r w:rsidRPr="00B0485F">
        <w:t xml:space="preserve">The findings of the </w:t>
      </w:r>
      <w:r w:rsidRPr="00B0485F" w:rsidDel="000B31AC">
        <w:t>cost</w:t>
      </w:r>
      <w:r>
        <w:t>-utility</w:t>
      </w:r>
      <w:r w:rsidRPr="00B0485F">
        <w:t xml:space="preserve"> analysis are presented in </w:t>
      </w:r>
      <w:r w:rsidRPr="00A3639E">
        <w:rPr>
          <w:b/>
          <w:bCs/>
        </w:rPr>
        <w:fldChar w:fldCharType="begin"/>
      </w:r>
      <w:r w:rsidRPr="00A3639E">
        <w:rPr>
          <w:b/>
          <w:bCs/>
        </w:rPr>
        <w:instrText xml:space="preserve"> REF _Ref131001134 \h </w:instrText>
      </w:r>
      <w:r>
        <w:rPr>
          <w:b/>
          <w:bCs/>
        </w:rPr>
        <w:instrText xml:space="preserve"> \* MERGEFORMAT </w:instrText>
      </w:r>
      <w:r w:rsidRPr="00A3639E">
        <w:rPr>
          <w:b/>
          <w:bCs/>
        </w:rPr>
      </w:r>
      <w:r w:rsidRPr="00A3639E">
        <w:rPr>
          <w:b/>
          <w:bCs/>
        </w:rPr>
        <w:fldChar w:fldCharType="separate"/>
      </w:r>
      <w:r w:rsidR="007105D3" w:rsidRPr="007105D3">
        <w:rPr>
          <w:b/>
          <w:bCs/>
        </w:rPr>
        <w:t xml:space="preserve">Table </w:t>
      </w:r>
      <w:r w:rsidR="007105D3" w:rsidRPr="007105D3">
        <w:rPr>
          <w:b/>
          <w:bCs/>
          <w:noProof/>
        </w:rPr>
        <w:t>15</w:t>
      </w:r>
      <w:r w:rsidRPr="00A3639E">
        <w:rPr>
          <w:b/>
          <w:bCs/>
        </w:rPr>
        <w:fldChar w:fldCharType="end"/>
      </w:r>
      <w:r w:rsidRPr="00A412F3">
        <w:t xml:space="preserve">, from </w:t>
      </w:r>
      <w:r w:rsidRPr="00676FCC">
        <w:t>a US health care perspective</w:t>
      </w:r>
      <w:r w:rsidRPr="00B0485F">
        <w:t xml:space="preserve">. </w:t>
      </w:r>
      <w:r>
        <w:t>A second set of analyses where it was assumed MUS were not available has not been included.</w:t>
      </w:r>
    </w:p>
    <w:p w14:paraId="5C733504" w14:textId="631B1481" w:rsidR="000D17CE" w:rsidRPr="00B0485F" w:rsidRDefault="000D17CE" w:rsidP="000D17CE">
      <w:pPr>
        <w:pStyle w:val="Caption"/>
      </w:pPr>
      <w:bookmarkStart w:id="105" w:name="_Ref131001134"/>
      <w:bookmarkStart w:id="106" w:name="_Toc165627883"/>
      <w:r w:rsidRPr="00B0485F">
        <w:t xml:space="preserve">Table </w:t>
      </w:r>
      <w:fldSimple w:instr=" SEQ Table \* ARABIC ">
        <w:r w:rsidR="007105D3">
          <w:rPr>
            <w:noProof/>
          </w:rPr>
          <w:t>15</w:t>
        </w:r>
      </w:fldSimple>
      <w:bookmarkEnd w:id="105"/>
      <w:r w:rsidRPr="00B0485F">
        <w:tab/>
        <w:t>Outcomes of Chang (202</w:t>
      </w:r>
      <w:r>
        <w:t>2</w:t>
      </w:r>
      <w:r w:rsidRPr="00B0485F">
        <w:t>)</w:t>
      </w:r>
      <w:r>
        <w:t xml:space="preserve"> – at 2 years</w:t>
      </w:r>
      <w:bookmarkEnd w:id="106"/>
    </w:p>
    <w:tbl>
      <w:tblPr>
        <w:tblStyle w:val="TableGrid"/>
        <w:tblW w:w="0" w:type="auto"/>
        <w:tblLook w:val="04A0" w:firstRow="1" w:lastRow="0" w:firstColumn="1" w:lastColumn="0" w:noHBand="0" w:noVBand="1"/>
        <w:tblCaption w:val="Outcomes of Chang (2022) at 2 years"/>
        <w:tblDescription w:val="This table shows the outcomes of the Chang (2022) study at 2 years including pathway effectiveness/(pathway increment) (QALY), pathway costs, ICER, sensitivity analysis and conclusion. "/>
      </w:tblPr>
      <w:tblGrid>
        <w:gridCol w:w="634"/>
        <w:gridCol w:w="2201"/>
        <w:gridCol w:w="1985"/>
        <w:gridCol w:w="2126"/>
        <w:gridCol w:w="1514"/>
        <w:gridCol w:w="1178"/>
      </w:tblGrid>
      <w:tr w:rsidR="000D17CE" w:rsidRPr="00381E6F" w14:paraId="1A338A3D" w14:textId="77777777">
        <w:trPr>
          <w:cnfStyle w:val="100000000000" w:firstRow="1" w:lastRow="0" w:firstColumn="0" w:lastColumn="0" w:oddVBand="0" w:evenVBand="0" w:oddHBand="0" w:evenHBand="0" w:firstRowFirstColumn="0" w:firstRowLastColumn="0" w:lastRowFirstColumn="0" w:lastRowLastColumn="0"/>
        </w:trPr>
        <w:tc>
          <w:tcPr>
            <w:tcW w:w="634" w:type="dxa"/>
          </w:tcPr>
          <w:p w14:paraId="4AC5C3A7" w14:textId="77777777" w:rsidR="000D17CE" w:rsidRPr="00381E6F" w:rsidRDefault="000D17CE">
            <w:pPr>
              <w:pStyle w:val="011TableHeading8pt"/>
              <w:ind w:left="-57" w:right="-57"/>
              <w:rPr>
                <w:sz w:val="18"/>
                <w:szCs w:val="24"/>
              </w:rPr>
            </w:pPr>
            <w:r w:rsidRPr="00381E6F">
              <w:rPr>
                <w:sz w:val="18"/>
                <w:szCs w:val="24"/>
              </w:rPr>
              <w:t>Study ID</w:t>
            </w:r>
          </w:p>
        </w:tc>
        <w:tc>
          <w:tcPr>
            <w:tcW w:w="2201" w:type="dxa"/>
          </w:tcPr>
          <w:p w14:paraId="1FEFB869" w14:textId="77777777" w:rsidR="000D17CE" w:rsidRPr="00381E6F" w:rsidRDefault="000D17CE">
            <w:pPr>
              <w:pStyle w:val="011TableHeading8pt"/>
              <w:ind w:left="-57" w:right="-113"/>
              <w:rPr>
                <w:sz w:val="18"/>
                <w:szCs w:val="24"/>
              </w:rPr>
            </w:pPr>
            <w:r w:rsidRPr="00381E6F">
              <w:rPr>
                <w:sz w:val="18"/>
                <w:szCs w:val="24"/>
              </w:rPr>
              <w:t>Pathway Effectiveness / (Pathway Increment) (QALY)</w:t>
            </w:r>
          </w:p>
        </w:tc>
        <w:tc>
          <w:tcPr>
            <w:tcW w:w="1985" w:type="dxa"/>
          </w:tcPr>
          <w:p w14:paraId="4A824659" w14:textId="467319A7" w:rsidR="000D17CE" w:rsidRPr="00381E6F" w:rsidRDefault="000D17CE">
            <w:pPr>
              <w:pStyle w:val="011TableHeading8pt"/>
              <w:ind w:left="-57" w:right="-57"/>
              <w:rPr>
                <w:sz w:val="18"/>
                <w:szCs w:val="24"/>
              </w:rPr>
            </w:pPr>
            <w:r w:rsidRPr="00381E6F">
              <w:rPr>
                <w:sz w:val="18"/>
                <w:szCs w:val="24"/>
              </w:rPr>
              <w:t>Pathway Costs (USD)</w:t>
            </w:r>
          </w:p>
        </w:tc>
        <w:tc>
          <w:tcPr>
            <w:tcW w:w="2126" w:type="dxa"/>
          </w:tcPr>
          <w:p w14:paraId="02D192A3" w14:textId="48ABED31" w:rsidR="000D17CE" w:rsidRPr="00381E6F" w:rsidRDefault="000D17CE">
            <w:pPr>
              <w:pStyle w:val="011TableHeading8pt"/>
              <w:ind w:left="-57" w:right="-57"/>
              <w:rPr>
                <w:sz w:val="18"/>
                <w:szCs w:val="24"/>
              </w:rPr>
            </w:pPr>
            <w:r w:rsidRPr="00381E6F">
              <w:rPr>
                <w:sz w:val="18"/>
                <w:szCs w:val="24"/>
              </w:rPr>
              <w:t>ICER</w:t>
            </w:r>
          </w:p>
        </w:tc>
        <w:tc>
          <w:tcPr>
            <w:tcW w:w="1514" w:type="dxa"/>
          </w:tcPr>
          <w:p w14:paraId="3CF32393" w14:textId="77777777" w:rsidR="000D17CE" w:rsidRPr="00381E6F" w:rsidRDefault="000D17CE">
            <w:pPr>
              <w:pStyle w:val="011TableHeading8pt"/>
              <w:ind w:left="-57" w:right="-57"/>
              <w:rPr>
                <w:sz w:val="18"/>
                <w:szCs w:val="24"/>
              </w:rPr>
            </w:pPr>
            <w:r w:rsidRPr="00381E6F">
              <w:rPr>
                <w:sz w:val="18"/>
                <w:szCs w:val="24"/>
              </w:rPr>
              <w:t>Sensitivity analysis</w:t>
            </w:r>
          </w:p>
        </w:tc>
        <w:tc>
          <w:tcPr>
            <w:tcW w:w="1178" w:type="dxa"/>
          </w:tcPr>
          <w:p w14:paraId="56A88643" w14:textId="77777777" w:rsidR="000D17CE" w:rsidRPr="00381E6F" w:rsidRDefault="000D17CE">
            <w:pPr>
              <w:pStyle w:val="011TableHeading8pt"/>
              <w:ind w:left="-57" w:right="-57"/>
              <w:rPr>
                <w:sz w:val="18"/>
                <w:szCs w:val="24"/>
              </w:rPr>
            </w:pPr>
            <w:r w:rsidRPr="00381E6F">
              <w:rPr>
                <w:sz w:val="18"/>
                <w:szCs w:val="24"/>
              </w:rPr>
              <w:t>Conclusion</w:t>
            </w:r>
          </w:p>
        </w:tc>
      </w:tr>
      <w:tr w:rsidR="000D17CE" w:rsidRPr="00381E6F" w14:paraId="4AC9C354" w14:textId="77777777">
        <w:tc>
          <w:tcPr>
            <w:tcW w:w="634" w:type="dxa"/>
          </w:tcPr>
          <w:p w14:paraId="464B0E17" w14:textId="77777777" w:rsidR="000D17CE" w:rsidRPr="00381E6F" w:rsidRDefault="000D17CE">
            <w:pPr>
              <w:pStyle w:val="051Tabletext228pt"/>
              <w:ind w:left="-57" w:right="-57"/>
              <w:rPr>
                <w:sz w:val="18"/>
                <w:szCs w:val="24"/>
              </w:rPr>
            </w:pPr>
            <w:r w:rsidRPr="00381E6F">
              <w:rPr>
                <w:sz w:val="18"/>
                <w:szCs w:val="24"/>
              </w:rPr>
              <w:t>Chang 202</w:t>
            </w:r>
            <w:r>
              <w:rPr>
                <w:sz w:val="18"/>
                <w:szCs w:val="24"/>
              </w:rPr>
              <w:t>2</w:t>
            </w:r>
            <w:r w:rsidRPr="00381E6F">
              <w:rPr>
                <w:sz w:val="18"/>
                <w:szCs w:val="24"/>
              </w:rPr>
              <w:br/>
              <w:t>USA</w:t>
            </w:r>
          </w:p>
        </w:tc>
        <w:tc>
          <w:tcPr>
            <w:tcW w:w="2201" w:type="dxa"/>
          </w:tcPr>
          <w:p w14:paraId="48687095" w14:textId="77777777" w:rsidR="000D17CE" w:rsidRPr="00381E6F" w:rsidRDefault="000D17CE">
            <w:pPr>
              <w:pStyle w:val="051Tabletext228pt"/>
              <w:tabs>
                <w:tab w:val="left" w:pos="961"/>
              </w:tabs>
              <w:ind w:left="-57" w:right="-57"/>
              <w:rPr>
                <w:sz w:val="18"/>
                <w:szCs w:val="24"/>
              </w:rPr>
            </w:pPr>
            <w:r w:rsidRPr="00381E6F">
              <w:rPr>
                <w:sz w:val="18"/>
                <w:szCs w:val="24"/>
              </w:rPr>
              <w:t xml:space="preserve">MUS: </w:t>
            </w:r>
            <w:r w:rsidRPr="00381E6F">
              <w:rPr>
                <w:sz w:val="18"/>
                <w:szCs w:val="24"/>
              </w:rPr>
              <w:tab/>
              <w:t>1.863 (0.098)</w:t>
            </w:r>
            <w:r w:rsidRPr="00381E6F">
              <w:rPr>
                <w:sz w:val="18"/>
                <w:szCs w:val="24"/>
              </w:rPr>
              <w:br/>
              <w:t xml:space="preserve">Open </w:t>
            </w:r>
            <w:proofErr w:type="spellStart"/>
            <w:r>
              <w:rPr>
                <w:sz w:val="18"/>
                <w:szCs w:val="24"/>
              </w:rPr>
              <w:t>colpo</w:t>
            </w:r>
            <w:proofErr w:type="spellEnd"/>
            <w:r>
              <w:rPr>
                <w:sz w:val="18"/>
                <w:szCs w:val="24"/>
              </w:rPr>
              <w:t>.</w:t>
            </w:r>
            <w:r w:rsidRPr="00381E6F">
              <w:rPr>
                <w:sz w:val="18"/>
                <w:szCs w:val="24"/>
              </w:rPr>
              <w:t xml:space="preserve">: </w:t>
            </w:r>
            <w:r w:rsidRPr="00381E6F">
              <w:rPr>
                <w:sz w:val="18"/>
                <w:szCs w:val="24"/>
              </w:rPr>
              <w:tab/>
            </w:r>
            <w:r>
              <w:rPr>
                <w:sz w:val="18"/>
                <w:szCs w:val="24"/>
              </w:rPr>
              <w:t xml:space="preserve">   </w:t>
            </w:r>
            <w:r w:rsidRPr="00381E6F">
              <w:rPr>
                <w:sz w:val="18"/>
                <w:szCs w:val="24"/>
              </w:rPr>
              <w:t>1.733 (n/a)</w:t>
            </w:r>
            <w:r w:rsidRPr="00381E6F">
              <w:rPr>
                <w:sz w:val="18"/>
                <w:szCs w:val="24"/>
              </w:rPr>
              <w:br/>
              <w:t xml:space="preserve">PVS: </w:t>
            </w:r>
            <w:r w:rsidRPr="00381E6F">
              <w:rPr>
                <w:sz w:val="18"/>
                <w:szCs w:val="24"/>
              </w:rPr>
              <w:tab/>
            </w:r>
            <w:r>
              <w:rPr>
                <w:sz w:val="18"/>
                <w:szCs w:val="24"/>
              </w:rPr>
              <w:t xml:space="preserve">   </w:t>
            </w:r>
            <w:r w:rsidRPr="00381E6F">
              <w:rPr>
                <w:sz w:val="18"/>
                <w:szCs w:val="24"/>
              </w:rPr>
              <w:t>1.683 (n/a)</w:t>
            </w:r>
            <w:r w:rsidRPr="00381E6F">
              <w:rPr>
                <w:sz w:val="18"/>
                <w:szCs w:val="24"/>
              </w:rPr>
              <w:br/>
              <w:t xml:space="preserve">Lap. </w:t>
            </w:r>
            <w:r>
              <w:rPr>
                <w:sz w:val="18"/>
                <w:szCs w:val="24"/>
              </w:rPr>
              <w:t>Colpo.</w:t>
            </w:r>
            <w:r w:rsidRPr="00381E6F">
              <w:rPr>
                <w:sz w:val="18"/>
                <w:szCs w:val="24"/>
              </w:rPr>
              <w:t>:</w:t>
            </w:r>
            <w:r w:rsidRPr="00381E6F">
              <w:rPr>
                <w:sz w:val="18"/>
                <w:szCs w:val="24"/>
              </w:rPr>
              <w:tab/>
            </w:r>
            <w:r>
              <w:rPr>
                <w:sz w:val="18"/>
                <w:szCs w:val="24"/>
              </w:rPr>
              <w:t xml:space="preserve">   </w:t>
            </w:r>
            <w:r w:rsidRPr="00381E6F">
              <w:rPr>
                <w:sz w:val="18"/>
                <w:szCs w:val="24"/>
              </w:rPr>
              <w:t>1.647 (n/a)</w:t>
            </w:r>
            <w:r w:rsidRPr="00381E6F">
              <w:rPr>
                <w:sz w:val="18"/>
                <w:szCs w:val="24"/>
              </w:rPr>
              <w:br/>
              <w:t>Bulking agents: 1.774 (n/a)</w:t>
            </w:r>
          </w:p>
        </w:tc>
        <w:tc>
          <w:tcPr>
            <w:tcW w:w="1985" w:type="dxa"/>
          </w:tcPr>
          <w:p w14:paraId="69B3D101" w14:textId="77777777" w:rsidR="000D17CE" w:rsidRPr="00381E6F" w:rsidRDefault="000D17CE">
            <w:pPr>
              <w:pStyle w:val="051Tabletext228pt"/>
              <w:tabs>
                <w:tab w:val="left" w:pos="1129"/>
              </w:tabs>
              <w:ind w:left="-57" w:right="-57"/>
              <w:rPr>
                <w:sz w:val="18"/>
                <w:szCs w:val="24"/>
              </w:rPr>
            </w:pPr>
            <w:r w:rsidRPr="00381E6F">
              <w:rPr>
                <w:sz w:val="18"/>
                <w:szCs w:val="24"/>
              </w:rPr>
              <w:t xml:space="preserve">MUS: </w:t>
            </w:r>
            <w:r w:rsidRPr="00381E6F">
              <w:rPr>
                <w:sz w:val="18"/>
                <w:szCs w:val="24"/>
              </w:rPr>
              <w:tab/>
              <w:t>$5,816</w:t>
            </w:r>
            <w:r w:rsidRPr="00381E6F">
              <w:rPr>
                <w:sz w:val="18"/>
                <w:szCs w:val="24"/>
              </w:rPr>
              <w:br/>
              <w:t xml:space="preserve">Open </w:t>
            </w:r>
            <w:proofErr w:type="spellStart"/>
            <w:r>
              <w:rPr>
                <w:sz w:val="18"/>
                <w:szCs w:val="24"/>
              </w:rPr>
              <w:t>colpo</w:t>
            </w:r>
            <w:proofErr w:type="spellEnd"/>
            <w:r>
              <w:rPr>
                <w:sz w:val="18"/>
                <w:szCs w:val="24"/>
              </w:rPr>
              <w:t>.</w:t>
            </w:r>
            <w:r w:rsidRPr="00381E6F">
              <w:rPr>
                <w:sz w:val="18"/>
                <w:szCs w:val="24"/>
              </w:rPr>
              <w:t xml:space="preserve">: </w:t>
            </w:r>
            <w:r w:rsidRPr="00381E6F">
              <w:rPr>
                <w:sz w:val="18"/>
                <w:szCs w:val="24"/>
              </w:rPr>
              <w:tab/>
              <w:t xml:space="preserve">$6,865 </w:t>
            </w:r>
            <w:r w:rsidRPr="00381E6F">
              <w:rPr>
                <w:sz w:val="18"/>
                <w:szCs w:val="24"/>
              </w:rPr>
              <w:br/>
              <w:t xml:space="preserve">PVS: </w:t>
            </w:r>
            <w:r w:rsidRPr="00381E6F">
              <w:rPr>
                <w:sz w:val="18"/>
                <w:szCs w:val="24"/>
              </w:rPr>
              <w:tab/>
              <w:t>$7,666</w:t>
            </w:r>
            <w:r w:rsidRPr="00381E6F">
              <w:rPr>
                <w:sz w:val="18"/>
                <w:szCs w:val="24"/>
              </w:rPr>
              <w:br/>
              <w:t xml:space="preserve">Lap. </w:t>
            </w:r>
            <w:r>
              <w:rPr>
                <w:sz w:val="18"/>
                <w:szCs w:val="24"/>
              </w:rPr>
              <w:t>Colpo.</w:t>
            </w:r>
            <w:r w:rsidRPr="00381E6F">
              <w:rPr>
                <w:sz w:val="18"/>
                <w:szCs w:val="24"/>
              </w:rPr>
              <w:t xml:space="preserve">: </w:t>
            </w:r>
            <w:r w:rsidRPr="00381E6F">
              <w:rPr>
                <w:sz w:val="18"/>
                <w:szCs w:val="24"/>
              </w:rPr>
              <w:tab/>
              <w:t>$7,961</w:t>
            </w:r>
            <w:r w:rsidRPr="00381E6F">
              <w:rPr>
                <w:sz w:val="18"/>
                <w:szCs w:val="24"/>
              </w:rPr>
              <w:br/>
              <w:t xml:space="preserve">Bulking agents: </w:t>
            </w:r>
            <w:r w:rsidRPr="00381E6F">
              <w:rPr>
                <w:sz w:val="18"/>
                <w:szCs w:val="24"/>
              </w:rPr>
              <w:tab/>
              <w:t xml:space="preserve">$8,789 </w:t>
            </w:r>
          </w:p>
        </w:tc>
        <w:tc>
          <w:tcPr>
            <w:tcW w:w="2126" w:type="dxa"/>
          </w:tcPr>
          <w:p w14:paraId="3265FB24" w14:textId="77777777" w:rsidR="000D17CE" w:rsidRPr="00381E6F" w:rsidRDefault="000D17CE">
            <w:pPr>
              <w:pStyle w:val="051Tabletext228pt"/>
              <w:tabs>
                <w:tab w:val="left" w:pos="1000"/>
              </w:tabs>
              <w:ind w:left="-57" w:right="-57"/>
              <w:rPr>
                <w:sz w:val="18"/>
                <w:szCs w:val="24"/>
                <w:highlight w:val="yellow"/>
              </w:rPr>
            </w:pPr>
            <w:r w:rsidRPr="00381E6F">
              <w:rPr>
                <w:sz w:val="18"/>
                <w:szCs w:val="24"/>
              </w:rPr>
              <w:t xml:space="preserve">MUS: </w:t>
            </w:r>
            <w:r w:rsidRPr="00381E6F">
              <w:rPr>
                <w:sz w:val="18"/>
                <w:szCs w:val="24"/>
              </w:rPr>
              <w:tab/>
            </w:r>
            <w:r>
              <w:rPr>
                <w:sz w:val="18"/>
                <w:szCs w:val="24"/>
              </w:rPr>
              <w:t xml:space="preserve">       </w:t>
            </w:r>
            <w:r w:rsidRPr="00381E6F">
              <w:rPr>
                <w:sz w:val="18"/>
                <w:szCs w:val="24"/>
              </w:rPr>
              <w:t>$46,518</w:t>
            </w:r>
            <w:r w:rsidRPr="00381E6F">
              <w:rPr>
                <w:sz w:val="18"/>
                <w:szCs w:val="24"/>
              </w:rPr>
              <w:br/>
              <w:t xml:space="preserve">Open </w:t>
            </w:r>
            <w:proofErr w:type="spellStart"/>
            <w:r>
              <w:rPr>
                <w:sz w:val="18"/>
                <w:szCs w:val="24"/>
              </w:rPr>
              <w:t>colpo</w:t>
            </w:r>
            <w:proofErr w:type="spellEnd"/>
            <w:r>
              <w:rPr>
                <w:sz w:val="18"/>
                <w:szCs w:val="24"/>
              </w:rPr>
              <w:t>.</w:t>
            </w:r>
            <w:r w:rsidRPr="00381E6F">
              <w:rPr>
                <w:sz w:val="18"/>
                <w:szCs w:val="24"/>
              </w:rPr>
              <w:t xml:space="preserve">: </w:t>
            </w:r>
            <w:r w:rsidRPr="00381E6F">
              <w:rPr>
                <w:sz w:val="18"/>
                <w:szCs w:val="24"/>
              </w:rPr>
              <w:tab/>
            </w:r>
            <w:r w:rsidRPr="00381E6F">
              <w:rPr>
                <w:sz w:val="18"/>
                <w:szCs w:val="24"/>
              </w:rPr>
              <w:cr/>
            </w:r>
            <w:r>
              <w:rPr>
                <w:sz w:val="18"/>
                <w:szCs w:val="24"/>
              </w:rPr>
              <w:t xml:space="preserve">  </w:t>
            </w:r>
            <w:r w:rsidRPr="00381E6F">
              <w:rPr>
                <w:sz w:val="18"/>
                <w:szCs w:val="24"/>
              </w:rPr>
              <w:t>Dominated</w:t>
            </w:r>
            <w:r w:rsidRPr="00381E6F">
              <w:rPr>
                <w:sz w:val="18"/>
                <w:szCs w:val="24"/>
              </w:rPr>
              <w:br/>
              <w:t xml:space="preserve">PVS: </w:t>
            </w:r>
            <w:r w:rsidRPr="00381E6F">
              <w:rPr>
                <w:sz w:val="18"/>
                <w:szCs w:val="24"/>
              </w:rPr>
              <w:tab/>
            </w:r>
            <w:r>
              <w:rPr>
                <w:sz w:val="18"/>
                <w:szCs w:val="24"/>
              </w:rPr>
              <w:t xml:space="preserve">  </w:t>
            </w:r>
            <w:r w:rsidRPr="00381E6F">
              <w:rPr>
                <w:sz w:val="18"/>
                <w:szCs w:val="24"/>
              </w:rPr>
              <w:t>Dominated</w:t>
            </w:r>
            <w:r w:rsidRPr="00381E6F">
              <w:rPr>
                <w:sz w:val="18"/>
                <w:szCs w:val="24"/>
              </w:rPr>
              <w:br/>
              <w:t xml:space="preserve">Lap. </w:t>
            </w:r>
            <w:r>
              <w:rPr>
                <w:sz w:val="18"/>
                <w:szCs w:val="24"/>
              </w:rPr>
              <w:t>Colpo.</w:t>
            </w:r>
            <w:r w:rsidRPr="00381E6F">
              <w:rPr>
                <w:sz w:val="18"/>
                <w:szCs w:val="24"/>
              </w:rPr>
              <w:t xml:space="preserve">: </w:t>
            </w:r>
            <w:r w:rsidRPr="00381E6F">
              <w:rPr>
                <w:sz w:val="18"/>
                <w:szCs w:val="24"/>
              </w:rPr>
              <w:tab/>
            </w:r>
            <w:r>
              <w:rPr>
                <w:sz w:val="18"/>
                <w:szCs w:val="24"/>
              </w:rPr>
              <w:t xml:space="preserve">  </w:t>
            </w:r>
            <w:r w:rsidRPr="00381E6F">
              <w:rPr>
                <w:sz w:val="18"/>
                <w:szCs w:val="24"/>
              </w:rPr>
              <w:t>Dominated</w:t>
            </w:r>
            <w:r w:rsidRPr="00381E6F">
              <w:rPr>
                <w:sz w:val="18"/>
                <w:szCs w:val="24"/>
              </w:rPr>
              <w:br/>
              <w:t>Bulking agents:</w:t>
            </w:r>
            <w:r>
              <w:rPr>
                <w:sz w:val="18"/>
                <w:szCs w:val="24"/>
              </w:rPr>
              <w:t xml:space="preserve"> </w:t>
            </w:r>
            <w:r w:rsidRPr="00381E6F">
              <w:rPr>
                <w:sz w:val="18"/>
                <w:szCs w:val="24"/>
              </w:rPr>
              <w:t>Dominated</w:t>
            </w:r>
          </w:p>
        </w:tc>
        <w:tc>
          <w:tcPr>
            <w:tcW w:w="1514" w:type="dxa"/>
          </w:tcPr>
          <w:p w14:paraId="0D605D83" w14:textId="3E8F6015" w:rsidR="000D17CE" w:rsidRPr="00381E6F" w:rsidRDefault="000D17CE">
            <w:pPr>
              <w:pStyle w:val="051Tabletext228pt"/>
              <w:ind w:left="-57" w:right="-57"/>
              <w:rPr>
                <w:sz w:val="18"/>
                <w:szCs w:val="24"/>
              </w:rPr>
            </w:pPr>
            <w:r w:rsidRPr="00381E6F">
              <w:rPr>
                <w:sz w:val="18"/>
                <w:szCs w:val="24"/>
              </w:rPr>
              <w:t>Cost-effectiveness change</w:t>
            </w:r>
            <w:r>
              <w:rPr>
                <w:sz w:val="18"/>
                <w:szCs w:val="24"/>
              </w:rPr>
              <w:t>s</w:t>
            </w:r>
            <w:r w:rsidRPr="00381E6F">
              <w:rPr>
                <w:sz w:val="18"/>
                <w:szCs w:val="24"/>
              </w:rPr>
              <w:t xml:space="preserve"> if bulking agents cost</w:t>
            </w:r>
            <w:r>
              <w:rPr>
                <w:sz w:val="18"/>
                <w:szCs w:val="24"/>
              </w:rPr>
              <w:t xml:space="preserve"> decreases</w:t>
            </w:r>
            <w:r w:rsidRPr="00381E6F">
              <w:rPr>
                <w:sz w:val="18"/>
                <w:szCs w:val="24"/>
              </w:rPr>
              <w:t xml:space="preserve"> 12.6%</w:t>
            </w:r>
          </w:p>
        </w:tc>
        <w:tc>
          <w:tcPr>
            <w:tcW w:w="1178" w:type="dxa"/>
          </w:tcPr>
          <w:p w14:paraId="44F01E5E" w14:textId="6601A9DF" w:rsidR="000D17CE" w:rsidRPr="00381E6F" w:rsidRDefault="000D17CE">
            <w:pPr>
              <w:pStyle w:val="051Tabletext228pt"/>
              <w:ind w:left="-57" w:right="-57"/>
              <w:rPr>
                <w:sz w:val="18"/>
                <w:szCs w:val="24"/>
              </w:rPr>
            </w:pPr>
            <w:r w:rsidRPr="00381E6F">
              <w:rPr>
                <w:sz w:val="18"/>
                <w:szCs w:val="24"/>
              </w:rPr>
              <w:t xml:space="preserve">MUS is the only cost-effective </w:t>
            </w:r>
            <w:r>
              <w:rPr>
                <w:sz w:val="18"/>
                <w:szCs w:val="24"/>
              </w:rPr>
              <w:t xml:space="preserve">first-line </w:t>
            </w:r>
            <w:r w:rsidRPr="00381E6F">
              <w:rPr>
                <w:sz w:val="18"/>
                <w:szCs w:val="24"/>
              </w:rPr>
              <w:t xml:space="preserve">treatment option </w:t>
            </w:r>
            <w:r>
              <w:rPr>
                <w:sz w:val="18"/>
                <w:szCs w:val="24"/>
              </w:rPr>
              <w:t xml:space="preserve">for </w:t>
            </w:r>
            <w:r w:rsidRPr="00381E6F">
              <w:rPr>
                <w:sz w:val="18"/>
                <w:szCs w:val="24"/>
              </w:rPr>
              <w:t>SUI</w:t>
            </w:r>
          </w:p>
        </w:tc>
      </w:tr>
    </w:tbl>
    <w:p w14:paraId="39575CC9" w14:textId="65549A64" w:rsidR="000D17CE" w:rsidRPr="00B0485F" w:rsidRDefault="000D17CE" w:rsidP="000D17CE">
      <w:pPr>
        <w:pStyle w:val="111Tablefootnoteslast-nostick8pt"/>
        <w:rPr>
          <w:lang w:val="en-AU"/>
        </w:rPr>
      </w:pPr>
      <w:r>
        <w:rPr>
          <w:lang w:val="en-AU"/>
        </w:rPr>
        <w:t xml:space="preserve">Abbreviations: </w:t>
      </w:r>
      <w:r w:rsidRPr="00B0485F">
        <w:rPr>
          <w:lang w:val="en-AU"/>
        </w:rPr>
        <w:t>ICER</w:t>
      </w:r>
      <w:r>
        <w:rPr>
          <w:lang w:val="en-AU"/>
        </w:rPr>
        <w:t>,</w:t>
      </w:r>
      <w:r w:rsidRPr="00B0485F">
        <w:rPr>
          <w:lang w:val="en-AU"/>
        </w:rPr>
        <w:t xml:space="preserve"> incremental cost-effectiveness ratio; </w:t>
      </w:r>
      <w:r>
        <w:rPr>
          <w:lang w:val="en-AU"/>
        </w:rPr>
        <w:t>Lap. Colp</w:t>
      </w:r>
      <w:r w:rsidR="009D7261">
        <w:rPr>
          <w:lang w:val="en-AU"/>
        </w:rPr>
        <w:t>o</w:t>
      </w:r>
      <w:r>
        <w:rPr>
          <w:lang w:val="en-AU"/>
        </w:rPr>
        <w:t xml:space="preserve">., laparoscopic </w:t>
      </w:r>
      <w:proofErr w:type="spellStart"/>
      <w:r>
        <w:rPr>
          <w:lang w:val="en-AU"/>
        </w:rPr>
        <w:t>colposuspension</w:t>
      </w:r>
      <w:proofErr w:type="spellEnd"/>
      <w:r>
        <w:rPr>
          <w:lang w:val="en-AU"/>
        </w:rPr>
        <w:t xml:space="preserve">; </w:t>
      </w:r>
      <w:r w:rsidRPr="00B0485F">
        <w:rPr>
          <w:lang w:val="en-AU"/>
        </w:rPr>
        <w:t>MUS</w:t>
      </w:r>
      <w:r>
        <w:rPr>
          <w:lang w:val="en-AU"/>
        </w:rPr>
        <w:t>,</w:t>
      </w:r>
      <w:r w:rsidRPr="00B0485F">
        <w:rPr>
          <w:lang w:val="en-AU"/>
        </w:rPr>
        <w:t xml:space="preserve"> mid-urethral sling; </w:t>
      </w:r>
      <w:r>
        <w:rPr>
          <w:lang w:val="en-AU"/>
        </w:rPr>
        <w:t>Open. Colp</w:t>
      </w:r>
      <w:r w:rsidR="009D7261">
        <w:rPr>
          <w:lang w:val="en-AU"/>
        </w:rPr>
        <w:t>o</w:t>
      </w:r>
      <w:r>
        <w:rPr>
          <w:lang w:val="en-AU"/>
        </w:rPr>
        <w:t xml:space="preserve">., open </w:t>
      </w:r>
      <w:proofErr w:type="spellStart"/>
      <w:r>
        <w:rPr>
          <w:lang w:val="en-AU"/>
        </w:rPr>
        <w:t>colposuspension</w:t>
      </w:r>
      <w:proofErr w:type="spellEnd"/>
      <w:r>
        <w:rPr>
          <w:lang w:val="en-AU"/>
        </w:rPr>
        <w:t xml:space="preserve">; </w:t>
      </w:r>
      <w:r w:rsidRPr="00B0485F">
        <w:rPr>
          <w:lang w:val="en-AU"/>
        </w:rPr>
        <w:t>PVS</w:t>
      </w:r>
      <w:r>
        <w:rPr>
          <w:lang w:val="en-AU"/>
        </w:rPr>
        <w:t>,</w:t>
      </w:r>
      <w:r w:rsidRPr="00B0485F">
        <w:rPr>
          <w:lang w:val="en-AU"/>
        </w:rPr>
        <w:t xml:space="preserve"> autologous pubovaginal sling; SUI</w:t>
      </w:r>
      <w:r>
        <w:rPr>
          <w:lang w:val="en-AU"/>
        </w:rPr>
        <w:t>,</w:t>
      </w:r>
      <w:r w:rsidRPr="00B0485F">
        <w:rPr>
          <w:lang w:val="en-AU"/>
        </w:rPr>
        <w:t xml:space="preserve"> stress urinary incontinence; </w:t>
      </w:r>
      <w:r>
        <w:rPr>
          <w:lang w:val="en-AU"/>
        </w:rPr>
        <w:t xml:space="preserve">USD, US dollars; </w:t>
      </w:r>
      <w:proofErr w:type="spellStart"/>
      <w:r w:rsidRPr="00B0485F">
        <w:rPr>
          <w:lang w:val="en-AU"/>
        </w:rPr>
        <w:t>yr</w:t>
      </w:r>
      <w:proofErr w:type="spellEnd"/>
      <w:r>
        <w:rPr>
          <w:lang w:val="en-AU"/>
        </w:rPr>
        <w:t>,</w:t>
      </w:r>
      <w:r w:rsidRPr="00B0485F">
        <w:rPr>
          <w:lang w:val="en-AU"/>
        </w:rPr>
        <w:t xml:space="preserve"> year.</w:t>
      </w:r>
    </w:p>
    <w:p w14:paraId="678F5ABE" w14:textId="1FE20834" w:rsidR="000D17CE" w:rsidRDefault="000D17CE" w:rsidP="000D17CE">
      <w:pPr>
        <w:pStyle w:val="BodyText"/>
      </w:pPr>
      <w:r w:rsidRPr="00B0485F">
        <w:t>The treatment pathway commencing with</w:t>
      </w:r>
      <w:r>
        <w:t xml:space="preserve"> MUS</w:t>
      </w:r>
      <w:r w:rsidRPr="00B0485F">
        <w:t xml:space="preserve"> was the lowest cost, whereas that commencing with bulking agents was the highest cost. </w:t>
      </w:r>
      <w:r>
        <w:t xml:space="preserve">The high cost for urethral bulking (compared to other studies) appears to be due to the authors assumption that patients would receive up to three injection procedures. </w:t>
      </w:r>
      <w:r w:rsidRPr="00B0485F">
        <w:t>Of the available options, commencing treatment with</w:t>
      </w:r>
      <w:r>
        <w:t xml:space="preserve"> MUS</w:t>
      </w:r>
      <w:r w:rsidRPr="00B0485F">
        <w:t xml:space="preserve"> was the only cost-effective option</w:t>
      </w:r>
      <w:r>
        <w:t>;</w:t>
      </w:r>
      <w:r w:rsidRPr="00B0485F">
        <w:t xml:space="preserve"> all other surgical approaches were dominated (that is, less effective as well as more expensive).</w:t>
      </w:r>
    </w:p>
    <w:p w14:paraId="2F37F00F" w14:textId="77777777" w:rsidR="000D17CE" w:rsidRPr="00B0485F" w:rsidRDefault="000D17CE" w:rsidP="000D17CE">
      <w:pPr>
        <w:pStyle w:val="Heading4"/>
      </w:pPr>
      <w:proofErr w:type="spellStart"/>
      <w:r w:rsidRPr="00773296">
        <w:t>Javanbakht</w:t>
      </w:r>
      <w:proofErr w:type="spellEnd"/>
      <w:r w:rsidRPr="00773296">
        <w:t xml:space="preserve"> (2020b)</w:t>
      </w:r>
    </w:p>
    <w:p w14:paraId="10013DE7" w14:textId="54EAA752" w:rsidR="000D17CE" w:rsidRPr="00B0485F" w:rsidRDefault="000D17CE" w:rsidP="000D17CE">
      <w:pPr>
        <w:pStyle w:val="BodyText"/>
      </w:pPr>
      <w:r w:rsidRPr="00B0485F">
        <w:t xml:space="preserve">The characteristics of </w:t>
      </w:r>
      <w:r>
        <w:t xml:space="preserve">the economic analysis commissioned for NICE </w:t>
      </w:r>
      <w:r w:rsidR="00245CE2">
        <w:rPr>
          <w:noProof/>
        </w:rPr>
        <w:t>(Javanbakht 2020b)</w:t>
      </w:r>
      <w:r w:rsidRPr="00B0485F">
        <w:t xml:space="preserve"> are summarised in </w:t>
      </w:r>
      <w:r w:rsidRPr="00A92550">
        <w:rPr>
          <w:b/>
          <w:bCs/>
        </w:rPr>
        <w:fldChar w:fldCharType="begin"/>
      </w:r>
      <w:r w:rsidRPr="00A92550">
        <w:rPr>
          <w:b/>
          <w:bCs/>
        </w:rPr>
        <w:instrText xml:space="preserve"> REF _Ref131001104 \h </w:instrText>
      </w:r>
      <w:r>
        <w:rPr>
          <w:b/>
          <w:bCs/>
        </w:rPr>
        <w:instrText xml:space="preserve"> \* MERGEFORMAT </w:instrText>
      </w:r>
      <w:r w:rsidRPr="00A92550">
        <w:rPr>
          <w:b/>
          <w:bCs/>
        </w:rPr>
      </w:r>
      <w:r w:rsidRPr="00A92550">
        <w:rPr>
          <w:b/>
          <w:bCs/>
        </w:rPr>
        <w:fldChar w:fldCharType="separate"/>
      </w:r>
      <w:r w:rsidR="007105D3" w:rsidRPr="007105D3">
        <w:rPr>
          <w:b/>
          <w:bCs/>
        </w:rPr>
        <w:t xml:space="preserve">Table </w:t>
      </w:r>
      <w:r w:rsidR="007105D3" w:rsidRPr="007105D3">
        <w:rPr>
          <w:b/>
          <w:bCs/>
          <w:noProof/>
        </w:rPr>
        <w:t>16</w:t>
      </w:r>
      <w:r w:rsidRPr="00A92550">
        <w:rPr>
          <w:b/>
          <w:bCs/>
        </w:rPr>
        <w:fldChar w:fldCharType="end"/>
      </w:r>
      <w:r w:rsidRPr="00B0485F">
        <w:t>. Comparators in grey are not relevant to this post-listing review but are included for completeness.</w:t>
      </w:r>
      <w:r>
        <w:t xml:space="preserve"> The NMA that underpins the effectiveness inputs is discussed in </w:t>
      </w:r>
      <w:r>
        <w:rPr>
          <w:b/>
          <w:bCs/>
        </w:rPr>
        <w:t>S</w:t>
      </w:r>
      <w:r w:rsidRPr="00A92550">
        <w:rPr>
          <w:b/>
          <w:bCs/>
        </w:rPr>
        <w:t xml:space="preserve">ection </w:t>
      </w:r>
      <w:r w:rsidRPr="00A92550">
        <w:rPr>
          <w:b/>
          <w:bCs/>
        </w:rPr>
        <w:fldChar w:fldCharType="begin"/>
      </w:r>
      <w:r w:rsidRPr="00A92550">
        <w:rPr>
          <w:b/>
          <w:bCs/>
        </w:rPr>
        <w:instrText xml:space="preserve"> REF _Ref130907248 \r \h </w:instrText>
      </w:r>
      <w:r>
        <w:rPr>
          <w:b/>
          <w:bCs/>
        </w:rPr>
        <w:instrText xml:space="preserve"> \* MERGEFORMAT </w:instrText>
      </w:r>
      <w:r w:rsidRPr="00A92550">
        <w:rPr>
          <w:b/>
          <w:bCs/>
        </w:rPr>
      </w:r>
      <w:r w:rsidRPr="00A92550">
        <w:rPr>
          <w:b/>
          <w:bCs/>
        </w:rPr>
        <w:fldChar w:fldCharType="separate"/>
      </w:r>
      <w:r w:rsidR="007105D3">
        <w:rPr>
          <w:b/>
          <w:bCs/>
        </w:rPr>
        <w:t>2.2.2</w:t>
      </w:r>
      <w:r w:rsidRPr="00A92550">
        <w:rPr>
          <w:b/>
          <w:bCs/>
        </w:rPr>
        <w:fldChar w:fldCharType="end"/>
      </w:r>
      <w:r>
        <w:t>.</w:t>
      </w:r>
    </w:p>
    <w:p w14:paraId="1AB08137" w14:textId="41FBE33F" w:rsidR="000D17CE" w:rsidRPr="00B0485F" w:rsidRDefault="000D17CE" w:rsidP="000D17CE">
      <w:pPr>
        <w:pStyle w:val="Caption"/>
      </w:pPr>
      <w:bookmarkStart w:id="107" w:name="_Ref131001104"/>
      <w:bookmarkStart w:id="108" w:name="_Toc132286056"/>
      <w:bookmarkStart w:id="109" w:name="_Toc165627884"/>
      <w:r w:rsidRPr="00B0485F">
        <w:lastRenderedPageBreak/>
        <w:t xml:space="preserve">Table </w:t>
      </w:r>
      <w:fldSimple w:instr=" SEQ Table \* ARABIC ">
        <w:r w:rsidR="007105D3">
          <w:rPr>
            <w:noProof/>
          </w:rPr>
          <w:t>16</w:t>
        </w:r>
      </w:fldSimple>
      <w:bookmarkEnd w:id="107"/>
      <w:r w:rsidRPr="00B0485F">
        <w:tab/>
        <w:t xml:space="preserve">Study characteristics of </w:t>
      </w:r>
      <w:proofErr w:type="spellStart"/>
      <w:r w:rsidRPr="00B0485F">
        <w:t>Javanbakht</w:t>
      </w:r>
      <w:proofErr w:type="spellEnd"/>
      <w:r w:rsidRPr="00B0485F">
        <w:t xml:space="preserve"> (2020</w:t>
      </w:r>
      <w:r>
        <w:t>b</w:t>
      </w:r>
      <w:r w:rsidRPr="00B0485F">
        <w:t>)</w:t>
      </w:r>
      <w:bookmarkEnd w:id="108"/>
      <w:bookmarkEnd w:id="109"/>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tudy characteristics of Javanbakht (2020b)"/>
        <w:tblDescription w:val="This table shows the study characteristics of the Javanbakht (2020b) study including country, research question, perspective, time horizon, economic evaluation type, population, intervention, comparator, source of effectiveness inputs, funding and author conflicts of interest. "/>
      </w:tblPr>
      <w:tblGrid>
        <w:gridCol w:w="948"/>
        <w:gridCol w:w="1122"/>
        <w:gridCol w:w="1349"/>
        <w:gridCol w:w="1259"/>
        <w:gridCol w:w="2269"/>
        <w:gridCol w:w="1334"/>
        <w:gridCol w:w="1357"/>
      </w:tblGrid>
      <w:tr w:rsidR="000D17CE" w:rsidRPr="00953A46" w14:paraId="61FA9106" w14:textId="77777777">
        <w:trPr>
          <w:cantSplit/>
          <w:tblHeader/>
        </w:trPr>
        <w:tc>
          <w:tcPr>
            <w:tcW w:w="492" w:type="pct"/>
            <w:tcBorders>
              <w:bottom w:val="single" w:sz="4" w:space="0" w:color="auto"/>
            </w:tcBorders>
            <w:shd w:val="clear" w:color="auto" w:fill="BFBFBF"/>
          </w:tcPr>
          <w:p w14:paraId="0059DA99" w14:textId="77777777" w:rsidR="000D17CE" w:rsidRPr="00953A46" w:rsidRDefault="000D17CE">
            <w:pPr>
              <w:pStyle w:val="011TableHeading8pt"/>
              <w:ind w:left="-57" w:right="-57"/>
              <w:rPr>
                <w:sz w:val="18"/>
                <w:szCs w:val="24"/>
              </w:rPr>
            </w:pPr>
            <w:r w:rsidRPr="00953A46">
              <w:rPr>
                <w:sz w:val="18"/>
                <w:szCs w:val="24"/>
              </w:rPr>
              <w:t>Study ID</w:t>
            </w:r>
            <w:r w:rsidRPr="00953A46">
              <w:rPr>
                <w:sz w:val="18"/>
                <w:szCs w:val="24"/>
              </w:rPr>
              <w:br/>
              <w:t>Country</w:t>
            </w:r>
          </w:p>
        </w:tc>
        <w:tc>
          <w:tcPr>
            <w:tcW w:w="582" w:type="pct"/>
            <w:tcBorders>
              <w:bottom w:val="single" w:sz="4" w:space="0" w:color="auto"/>
            </w:tcBorders>
            <w:shd w:val="clear" w:color="auto" w:fill="BFBFBF"/>
          </w:tcPr>
          <w:p w14:paraId="1223DB3A" w14:textId="6ED2D917" w:rsidR="000D17CE" w:rsidRPr="00953A46" w:rsidRDefault="000D17CE">
            <w:pPr>
              <w:pStyle w:val="011TableHeading8pt"/>
              <w:ind w:left="-57" w:right="-57"/>
              <w:rPr>
                <w:sz w:val="18"/>
                <w:szCs w:val="24"/>
              </w:rPr>
            </w:pPr>
            <w:r>
              <w:rPr>
                <w:sz w:val="18"/>
                <w:szCs w:val="24"/>
              </w:rPr>
              <w:t>R</w:t>
            </w:r>
            <w:r w:rsidRPr="00953A46">
              <w:rPr>
                <w:sz w:val="18"/>
                <w:szCs w:val="24"/>
              </w:rPr>
              <w:t>esearch question</w:t>
            </w:r>
          </w:p>
        </w:tc>
        <w:tc>
          <w:tcPr>
            <w:tcW w:w="700" w:type="pct"/>
            <w:tcBorders>
              <w:bottom w:val="single" w:sz="4" w:space="0" w:color="auto"/>
            </w:tcBorders>
            <w:shd w:val="clear" w:color="auto" w:fill="BFBFBF"/>
          </w:tcPr>
          <w:p w14:paraId="049E0A08" w14:textId="77777777" w:rsidR="000D17CE" w:rsidRPr="00953A46" w:rsidRDefault="000D17CE">
            <w:pPr>
              <w:pStyle w:val="011TableHeading8pt"/>
              <w:ind w:left="-57" w:right="-57"/>
              <w:rPr>
                <w:sz w:val="18"/>
                <w:szCs w:val="24"/>
              </w:rPr>
            </w:pPr>
            <w:r w:rsidRPr="00953A46">
              <w:rPr>
                <w:sz w:val="18"/>
                <w:szCs w:val="24"/>
              </w:rPr>
              <w:t xml:space="preserve">Perspective </w:t>
            </w:r>
            <w:r w:rsidRPr="00953A46">
              <w:rPr>
                <w:sz w:val="18"/>
                <w:szCs w:val="24"/>
              </w:rPr>
              <w:br/>
              <w:t>Time horizon</w:t>
            </w:r>
            <w:r w:rsidRPr="00953A46">
              <w:rPr>
                <w:sz w:val="18"/>
                <w:szCs w:val="24"/>
              </w:rPr>
              <w:br/>
              <w:t>EE type</w:t>
            </w:r>
          </w:p>
        </w:tc>
        <w:tc>
          <w:tcPr>
            <w:tcW w:w="653" w:type="pct"/>
            <w:tcBorders>
              <w:bottom w:val="single" w:sz="4" w:space="0" w:color="auto"/>
            </w:tcBorders>
            <w:shd w:val="clear" w:color="auto" w:fill="BFBFBF"/>
          </w:tcPr>
          <w:p w14:paraId="3DF37B1A" w14:textId="77777777" w:rsidR="000D17CE" w:rsidRPr="00953A46" w:rsidRDefault="000D17CE">
            <w:pPr>
              <w:pStyle w:val="011TableHeading8pt"/>
              <w:ind w:left="-57" w:right="-57"/>
              <w:rPr>
                <w:sz w:val="18"/>
                <w:szCs w:val="24"/>
              </w:rPr>
            </w:pPr>
            <w:r w:rsidRPr="00953A46">
              <w:rPr>
                <w:sz w:val="18"/>
                <w:szCs w:val="24"/>
              </w:rPr>
              <w:t>Population</w:t>
            </w:r>
          </w:p>
        </w:tc>
        <w:tc>
          <w:tcPr>
            <w:tcW w:w="1177" w:type="pct"/>
            <w:tcBorders>
              <w:bottom w:val="single" w:sz="4" w:space="0" w:color="auto"/>
            </w:tcBorders>
            <w:shd w:val="clear" w:color="auto" w:fill="BFBFBF"/>
          </w:tcPr>
          <w:p w14:paraId="40C66832" w14:textId="77777777" w:rsidR="000D17CE" w:rsidRPr="00953A46" w:rsidRDefault="000D17CE">
            <w:pPr>
              <w:pStyle w:val="011TableHeading8pt"/>
              <w:ind w:left="-57" w:right="-57"/>
              <w:rPr>
                <w:sz w:val="18"/>
                <w:szCs w:val="24"/>
              </w:rPr>
            </w:pPr>
            <w:r w:rsidRPr="00953A46">
              <w:rPr>
                <w:sz w:val="18"/>
                <w:szCs w:val="24"/>
              </w:rPr>
              <w:t>Intervention</w:t>
            </w:r>
            <w:r w:rsidRPr="00953A46">
              <w:rPr>
                <w:sz w:val="18"/>
                <w:szCs w:val="24"/>
              </w:rPr>
              <w:br/>
              <w:t>Comparator</w:t>
            </w:r>
          </w:p>
        </w:tc>
        <w:tc>
          <w:tcPr>
            <w:tcW w:w="692" w:type="pct"/>
            <w:tcBorders>
              <w:bottom w:val="single" w:sz="4" w:space="0" w:color="auto"/>
            </w:tcBorders>
            <w:shd w:val="clear" w:color="auto" w:fill="BFBFBF"/>
          </w:tcPr>
          <w:p w14:paraId="16982AB8" w14:textId="77777777" w:rsidR="000D17CE" w:rsidRPr="00953A46" w:rsidRDefault="000D17CE">
            <w:pPr>
              <w:pStyle w:val="011TableHeading8pt"/>
              <w:ind w:left="-57" w:right="-57"/>
              <w:rPr>
                <w:sz w:val="18"/>
                <w:szCs w:val="24"/>
              </w:rPr>
            </w:pPr>
            <w:r w:rsidRPr="00953A46">
              <w:rPr>
                <w:sz w:val="18"/>
                <w:szCs w:val="24"/>
              </w:rPr>
              <w:t>Source of effectiveness inputs</w:t>
            </w:r>
          </w:p>
        </w:tc>
        <w:tc>
          <w:tcPr>
            <w:tcW w:w="705" w:type="pct"/>
            <w:tcBorders>
              <w:bottom w:val="single" w:sz="4" w:space="0" w:color="auto"/>
            </w:tcBorders>
            <w:shd w:val="clear" w:color="auto" w:fill="BFBFBF"/>
          </w:tcPr>
          <w:p w14:paraId="66ABA58A" w14:textId="77777777" w:rsidR="000D17CE" w:rsidRPr="00953A46" w:rsidRDefault="000D17CE">
            <w:pPr>
              <w:pStyle w:val="011TableHeading8pt"/>
              <w:ind w:left="-57" w:right="-57"/>
              <w:rPr>
                <w:sz w:val="18"/>
                <w:szCs w:val="24"/>
              </w:rPr>
            </w:pPr>
            <w:r w:rsidRPr="00953A46">
              <w:rPr>
                <w:sz w:val="18"/>
                <w:szCs w:val="24"/>
              </w:rPr>
              <w:t>Funding</w:t>
            </w:r>
            <w:r w:rsidRPr="00953A46">
              <w:rPr>
                <w:sz w:val="18"/>
                <w:szCs w:val="24"/>
              </w:rPr>
              <w:br/>
              <w:t>Author COIs</w:t>
            </w:r>
          </w:p>
        </w:tc>
      </w:tr>
      <w:tr w:rsidR="000D17CE" w:rsidRPr="00953A46" w14:paraId="3D32CA20" w14:textId="77777777">
        <w:trPr>
          <w:cantSplit/>
        </w:trPr>
        <w:tc>
          <w:tcPr>
            <w:tcW w:w="492" w:type="pct"/>
            <w:tcBorders>
              <w:bottom w:val="single" w:sz="4" w:space="0" w:color="auto"/>
            </w:tcBorders>
            <w:shd w:val="clear" w:color="auto" w:fill="auto"/>
          </w:tcPr>
          <w:p w14:paraId="649A709D" w14:textId="77777777" w:rsidR="000D17CE" w:rsidRPr="00953A46" w:rsidRDefault="000D17CE">
            <w:pPr>
              <w:pStyle w:val="051Tabletext228pt"/>
              <w:ind w:left="-57" w:right="-57"/>
              <w:rPr>
                <w:sz w:val="18"/>
                <w:szCs w:val="24"/>
              </w:rPr>
            </w:pPr>
            <w:proofErr w:type="spellStart"/>
            <w:r w:rsidRPr="00953A46">
              <w:rPr>
                <w:sz w:val="18"/>
                <w:szCs w:val="24"/>
              </w:rPr>
              <w:t>Javanbakht</w:t>
            </w:r>
            <w:proofErr w:type="spellEnd"/>
            <w:r w:rsidRPr="00953A46">
              <w:rPr>
                <w:sz w:val="18"/>
                <w:szCs w:val="24"/>
              </w:rPr>
              <w:t xml:space="preserve"> 2020</w:t>
            </w:r>
            <w:r>
              <w:rPr>
                <w:sz w:val="18"/>
                <w:szCs w:val="24"/>
              </w:rPr>
              <w:t>b</w:t>
            </w:r>
            <w:r w:rsidRPr="00953A46">
              <w:rPr>
                <w:sz w:val="18"/>
                <w:szCs w:val="24"/>
              </w:rPr>
              <w:br/>
              <w:t>UK</w:t>
            </w:r>
          </w:p>
        </w:tc>
        <w:tc>
          <w:tcPr>
            <w:tcW w:w="582" w:type="pct"/>
            <w:tcBorders>
              <w:bottom w:val="single" w:sz="4" w:space="0" w:color="auto"/>
            </w:tcBorders>
          </w:tcPr>
          <w:p w14:paraId="727FB18C" w14:textId="77777777" w:rsidR="000D17CE" w:rsidRPr="00953A46" w:rsidRDefault="000D17CE">
            <w:pPr>
              <w:pStyle w:val="051Tabletext228pt"/>
              <w:ind w:left="-57" w:right="-57"/>
              <w:rPr>
                <w:sz w:val="18"/>
                <w:szCs w:val="24"/>
              </w:rPr>
            </w:pPr>
            <w:r w:rsidRPr="00953A46">
              <w:rPr>
                <w:sz w:val="18"/>
                <w:szCs w:val="24"/>
              </w:rPr>
              <w:t xml:space="preserve">What </w:t>
            </w:r>
            <w:r>
              <w:rPr>
                <w:sz w:val="18"/>
                <w:szCs w:val="24"/>
              </w:rPr>
              <w:t xml:space="preserve">are the </w:t>
            </w:r>
            <w:r w:rsidRPr="00953A46">
              <w:rPr>
                <w:sz w:val="18"/>
                <w:szCs w:val="24"/>
              </w:rPr>
              <w:t>costs and effectiveness of 9 surgical interventions for SUI?</w:t>
            </w:r>
          </w:p>
        </w:tc>
        <w:tc>
          <w:tcPr>
            <w:tcW w:w="700" w:type="pct"/>
            <w:tcBorders>
              <w:bottom w:val="single" w:sz="4" w:space="0" w:color="auto"/>
            </w:tcBorders>
            <w:shd w:val="clear" w:color="auto" w:fill="auto"/>
          </w:tcPr>
          <w:p w14:paraId="27CB4E6F" w14:textId="0347534F" w:rsidR="000D17CE" w:rsidRPr="00953A46" w:rsidRDefault="000D17CE">
            <w:pPr>
              <w:pStyle w:val="051Tabletext228pt"/>
              <w:ind w:left="-57" w:right="-57"/>
              <w:rPr>
                <w:sz w:val="18"/>
                <w:szCs w:val="24"/>
              </w:rPr>
            </w:pPr>
            <w:r>
              <w:rPr>
                <w:sz w:val="18"/>
                <w:szCs w:val="24"/>
              </w:rPr>
              <w:t>UK NHS &amp; personal social services</w:t>
            </w:r>
            <w:r w:rsidRPr="00953A46">
              <w:rPr>
                <w:sz w:val="18"/>
                <w:szCs w:val="24"/>
              </w:rPr>
              <w:br/>
              <w:t xml:space="preserve">1 </w:t>
            </w:r>
            <w:proofErr w:type="spellStart"/>
            <w:r w:rsidRPr="00953A46">
              <w:rPr>
                <w:sz w:val="18"/>
                <w:szCs w:val="24"/>
              </w:rPr>
              <w:t>yr</w:t>
            </w:r>
            <w:proofErr w:type="spellEnd"/>
            <w:r w:rsidRPr="00953A46">
              <w:rPr>
                <w:sz w:val="18"/>
                <w:szCs w:val="24"/>
              </w:rPr>
              <w:t xml:space="preserve">; 10 </w:t>
            </w:r>
            <w:proofErr w:type="spellStart"/>
            <w:r w:rsidRPr="00953A46">
              <w:rPr>
                <w:sz w:val="18"/>
                <w:szCs w:val="24"/>
              </w:rPr>
              <w:t>yr</w:t>
            </w:r>
            <w:proofErr w:type="spellEnd"/>
            <w:r w:rsidRPr="00953A46">
              <w:rPr>
                <w:sz w:val="18"/>
                <w:szCs w:val="24"/>
              </w:rPr>
              <w:t>; lifetime</w:t>
            </w:r>
            <w:r w:rsidRPr="00953A46">
              <w:rPr>
                <w:sz w:val="18"/>
                <w:szCs w:val="24"/>
              </w:rPr>
              <w:br/>
            </w:r>
            <w:r>
              <w:rPr>
                <w:sz w:val="18"/>
                <w:szCs w:val="24"/>
              </w:rPr>
              <w:t xml:space="preserve">CUA: </w:t>
            </w:r>
            <w:r w:rsidRPr="00A64633">
              <w:rPr>
                <w:sz w:val="18"/>
                <w:szCs w:val="24"/>
              </w:rPr>
              <w:t>Markov micro-simulation model</w:t>
            </w:r>
            <w:r>
              <w:rPr>
                <w:sz w:val="18"/>
                <w:szCs w:val="24"/>
              </w:rPr>
              <w:t>; 3.5% annual discount rate; 2018/19 costs</w:t>
            </w:r>
          </w:p>
        </w:tc>
        <w:tc>
          <w:tcPr>
            <w:tcW w:w="653" w:type="pct"/>
            <w:tcBorders>
              <w:bottom w:val="single" w:sz="4" w:space="0" w:color="auto"/>
            </w:tcBorders>
          </w:tcPr>
          <w:p w14:paraId="3D8CB47E" w14:textId="77777777" w:rsidR="000D17CE" w:rsidRPr="00953A46" w:rsidRDefault="000D17CE">
            <w:pPr>
              <w:pStyle w:val="051Tabletext228pt"/>
              <w:ind w:left="-57" w:right="-57"/>
              <w:rPr>
                <w:sz w:val="18"/>
                <w:szCs w:val="24"/>
              </w:rPr>
            </w:pPr>
            <w:r w:rsidRPr="00953A46">
              <w:rPr>
                <w:sz w:val="18"/>
                <w:szCs w:val="24"/>
              </w:rPr>
              <w:t xml:space="preserve">SUI; stress-predominant MUI, </w:t>
            </w:r>
            <w:r w:rsidRPr="00953A46">
              <w:rPr>
                <w:sz w:val="18"/>
                <w:szCs w:val="24"/>
              </w:rPr>
              <w:br/>
              <w:t xml:space="preserve">Age 45-55 </w:t>
            </w:r>
            <w:proofErr w:type="spellStart"/>
            <w:r w:rsidRPr="00953A46">
              <w:rPr>
                <w:sz w:val="18"/>
                <w:szCs w:val="24"/>
              </w:rPr>
              <w:t>yr</w:t>
            </w:r>
            <w:proofErr w:type="spellEnd"/>
          </w:p>
        </w:tc>
        <w:tc>
          <w:tcPr>
            <w:tcW w:w="1177" w:type="pct"/>
            <w:tcBorders>
              <w:bottom w:val="single" w:sz="4" w:space="0" w:color="auto"/>
            </w:tcBorders>
          </w:tcPr>
          <w:p w14:paraId="59F51A24" w14:textId="77777777" w:rsidR="000D17CE" w:rsidRPr="00953A46" w:rsidRDefault="000D17CE">
            <w:pPr>
              <w:pStyle w:val="051Tabletext228pt"/>
              <w:ind w:left="-57" w:right="-57"/>
              <w:rPr>
                <w:sz w:val="18"/>
                <w:szCs w:val="24"/>
              </w:rPr>
            </w:pPr>
            <w:r w:rsidRPr="00953A46">
              <w:rPr>
                <w:sz w:val="18"/>
                <w:szCs w:val="24"/>
              </w:rPr>
              <w:t>Retropubic MUS (reference)</w:t>
            </w:r>
          </w:p>
          <w:p w14:paraId="2AF8C526" w14:textId="77777777" w:rsidR="000D17CE" w:rsidRPr="00CE46B2" w:rsidRDefault="000D17CE">
            <w:pPr>
              <w:pStyle w:val="051Tabletext228pt"/>
              <w:ind w:left="-57" w:right="-57"/>
              <w:rPr>
                <w:color w:val="808080" w:themeColor="background1" w:themeShade="80"/>
                <w:sz w:val="18"/>
                <w:szCs w:val="24"/>
              </w:rPr>
            </w:pPr>
            <w:r w:rsidRPr="00CE46B2">
              <w:rPr>
                <w:color w:val="808080" w:themeColor="background1" w:themeShade="80"/>
                <w:sz w:val="18"/>
                <w:szCs w:val="24"/>
              </w:rPr>
              <w:t xml:space="preserve">Single incision </w:t>
            </w:r>
            <w:proofErr w:type="gramStart"/>
            <w:r w:rsidRPr="00CE46B2">
              <w:rPr>
                <w:color w:val="808080" w:themeColor="background1" w:themeShade="80"/>
                <w:sz w:val="18"/>
                <w:szCs w:val="24"/>
              </w:rPr>
              <w:t>mini-sling</w:t>
            </w:r>
            <w:proofErr w:type="gramEnd"/>
            <w:r w:rsidRPr="00CE46B2">
              <w:rPr>
                <w:color w:val="808080" w:themeColor="background1" w:themeShade="80"/>
                <w:sz w:val="18"/>
                <w:szCs w:val="24"/>
              </w:rPr>
              <w:t xml:space="preserve"> </w:t>
            </w:r>
          </w:p>
          <w:p w14:paraId="24B01620" w14:textId="77777777" w:rsidR="000D17CE" w:rsidRPr="00953A46" w:rsidRDefault="000D17CE">
            <w:pPr>
              <w:pStyle w:val="051Tabletext228pt"/>
              <w:ind w:left="-57" w:right="-57"/>
              <w:rPr>
                <w:sz w:val="18"/>
                <w:szCs w:val="24"/>
              </w:rPr>
            </w:pPr>
            <w:proofErr w:type="spellStart"/>
            <w:r w:rsidRPr="00953A46">
              <w:rPr>
                <w:sz w:val="18"/>
                <w:szCs w:val="24"/>
              </w:rPr>
              <w:t>Transobturator</w:t>
            </w:r>
            <w:proofErr w:type="spellEnd"/>
            <w:r w:rsidRPr="00953A46">
              <w:rPr>
                <w:sz w:val="18"/>
                <w:szCs w:val="24"/>
              </w:rPr>
              <w:t xml:space="preserve"> MUS </w:t>
            </w:r>
          </w:p>
          <w:p w14:paraId="124DA2DE" w14:textId="77777777" w:rsidR="000D17CE" w:rsidRPr="00CE46B2" w:rsidRDefault="000D17CE">
            <w:pPr>
              <w:pStyle w:val="051Tabletext228pt"/>
              <w:ind w:left="-57" w:right="-57"/>
              <w:rPr>
                <w:color w:val="808080" w:themeColor="background1" w:themeShade="80"/>
                <w:sz w:val="18"/>
                <w:szCs w:val="24"/>
              </w:rPr>
            </w:pPr>
            <w:r w:rsidRPr="00CE46B2">
              <w:rPr>
                <w:color w:val="808080" w:themeColor="background1" w:themeShade="80"/>
                <w:sz w:val="18"/>
                <w:szCs w:val="24"/>
              </w:rPr>
              <w:t>Bladder neck needle suspension</w:t>
            </w:r>
          </w:p>
          <w:p w14:paraId="476DDEF0" w14:textId="77777777" w:rsidR="000D17CE" w:rsidRPr="00953A46" w:rsidRDefault="000D17CE">
            <w:pPr>
              <w:pStyle w:val="051Tabletext228pt"/>
              <w:ind w:left="-57" w:right="-57"/>
              <w:rPr>
                <w:sz w:val="18"/>
                <w:szCs w:val="24"/>
              </w:rPr>
            </w:pPr>
            <w:r w:rsidRPr="00953A46">
              <w:rPr>
                <w:sz w:val="18"/>
                <w:szCs w:val="24"/>
              </w:rPr>
              <w:t xml:space="preserve">Bulking agents </w:t>
            </w:r>
          </w:p>
          <w:p w14:paraId="5D0E712E" w14:textId="77777777" w:rsidR="000D17CE" w:rsidRPr="00CE46B2" w:rsidRDefault="000D17CE">
            <w:pPr>
              <w:pStyle w:val="051Tabletext228pt"/>
              <w:ind w:left="-57" w:right="-57"/>
              <w:rPr>
                <w:color w:val="808080" w:themeColor="background1" w:themeShade="80"/>
                <w:sz w:val="18"/>
                <w:szCs w:val="24"/>
              </w:rPr>
            </w:pPr>
            <w:r w:rsidRPr="00CE46B2">
              <w:rPr>
                <w:color w:val="808080" w:themeColor="background1" w:themeShade="80"/>
                <w:sz w:val="18"/>
                <w:szCs w:val="24"/>
              </w:rPr>
              <w:t xml:space="preserve">Traditional </w:t>
            </w:r>
            <w:proofErr w:type="spellStart"/>
            <w:r w:rsidRPr="00CE46B2">
              <w:rPr>
                <w:color w:val="808080" w:themeColor="background1" w:themeShade="80"/>
                <w:sz w:val="18"/>
                <w:szCs w:val="24"/>
              </w:rPr>
              <w:t>suburethral</w:t>
            </w:r>
            <w:proofErr w:type="spellEnd"/>
            <w:r w:rsidRPr="00CE46B2">
              <w:rPr>
                <w:color w:val="808080" w:themeColor="background1" w:themeShade="80"/>
                <w:sz w:val="18"/>
                <w:szCs w:val="24"/>
              </w:rPr>
              <w:t xml:space="preserve"> sling </w:t>
            </w:r>
          </w:p>
          <w:p w14:paraId="0E18E34E" w14:textId="77777777" w:rsidR="000D17CE" w:rsidRPr="00CE46B2" w:rsidRDefault="000D17CE">
            <w:pPr>
              <w:pStyle w:val="051Tabletext228pt"/>
              <w:ind w:left="-57" w:right="-57"/>
              <w:rPr>
                <w:color w:val="808080" w:themeColor="background1" w:themeShade="80"/>
                <w:sz w:val="18"/>
                <w:szCs w:val="24"/>
              </w:rPr>
            </w:pPr>
            <w:r w:rsidRPr="00CE46B2">
              <w:rPr>
                <w:color w:val="808080" w:themeColor="background1" w:themeShade="80"/>
                <w:sz w:val="18"/>
                <w:szCs w:val="24"/>
              </w:rPr>
              <w:t xml:space="preserve">Anterior repair </w:t>
            </w:r>
          </w:p>
          <w:p w14:paraId="6BD4E8E5" w14:textId="77777777" w:rsidR="000D17CE" w:rsidRPr="00953A46" w:rsidRDefault="000D17CE">
            <w:pPr>
              <w:pStyle w:val="051Tabletext228pt"/>
              <w:ind w:left="-57" w:right="-57"/>
              <w:rPr>
                <w:sz w:val="18"/>
                <w:szCs w:val="24"/>
              </w:rPr>
            </w:pPr>
            <w:r w:rsidRPr="00953A46">
              <w:rPr>
                <w:sz w:val="18"/>
                <w:szCs w:val="24"/>
              </w:rPr>
              <w:t xml:space="preserve">Open </w:t>
            </w:r>
            <w:proofErr w:type="spellStart"/>
            <w:r w:rsidRPr="00953A46">
              <w:rPr>
                <w:sz w:val="18"/>
                <w:szCs w:val="24"/>
              </w:rPr>
              <w:t>colposuspension</w:t>
            </w:r>
            <w:proofErr w:type="spellEnd"/>
          </w:p>
          <w:p w14:paraId="61F796EB" w14:textId="77777777" w:rsidR="000D17CE" w:rsidRPr="00953A46" w:rsidRDefault="000D17CE">
            <w:pPr>
              <w:pStyle w:val="051Tabletext228pt"/>
              <w:ind w:left="-57" w:right="-57"/>
              <w:rPr>
                <w:sz w:val="18"/>
                <w:szCs w:val="24"/>
              </w:rPr>
            </w:pPr>
            <w:r w:rsidRPr="00953A46">
              <w:rPr>
                <w:sz w:val="18"/>
                <w:szCs w:val="24"/>
              </w:rPr>
              <w:t xml:space="preserve">Laparoscopic </w:t>
            </w:r>
            <w:proofErr w:type="spellStart"/>
            <w:r w:rsidRPr="00953A46">
              <w:rPr>
                <w:sz w:val="18"/>
                <w:szCs w:val="24"/>
              </w:rPr>
              <w:t>colposuspension</w:t>
            </w:r>
            <w:proofErr w:type="spellEnd"/>
          </w:p>
        </w:tc>
        <w:tc>
          <w:tcPr>
            <w:tcW w:w="692" w:type="pct"/>
            <w:tcBorders>
              <w:bottom w:val="single" w:sz="4" w:space="0" w:color="auto"/>
            </w:tcBorders>
          </w:tcPr>
          <w:p w14:paraId="7265ADC7" w14:textId="6253B25F" w:rsidR="000D17CE" w:rsidRPr="00953A46" w:rsidRDefault="000D17CE">
            <w:pPr>
              <w:pStyle w:val="051Tabletext228pt"/>
              <w:ind w:left="-57" w:right="-57"/>
              <w:rPr>
                <w:sz w:val="18"/>
                <w:szCs w:val="24"/>
              </w:rPr>
            </w:pPr>
            <w:proofErr w:type="spellStart"/>
            <w:r w:rsidRPr="00953A46">
              <w:rPr>
                <w:sz w:val="18"/>
                <w:szCs w:val="24"/>
              </w:rPr>
              <w:t>Bra</w:t>
            </w:r>
            <w:r>
              <w:rPr>
                <w:sz w:val="18"/>
                <w:szCs w:val="24"/>
              </w:rPr>
              <w:t>z</w:t>
            </w:r>
            <w:r w:rsidRPr="00953A46">
              <w:rPr>
                <w:sz w:val="18"/>
                <w:szCs w:val="24"/>
              </w:rPr>
              <w:t>zelli</w:t>
            </w:r>
            <w:proofErr w:type="spellEnd"/>
            <w:r w:rsidRPr="00953A46">
              <w:rPr>
                <w:sz w:val="18"/>
                <w:szCs w:val="24"/>
              </w:rPr>
              <w:t xml:space="preserve"> (2019)</w:t>
            </w:r>
            <w:r>
              <w:rPr>
                <w:sz w:val="18"/>
                <w:szCs w:val="24"/>
              </w:rPr>
              <w:t xml:space="preserve"> NMA</w:t>
            </w:r>
          </w:p>
        </w:tc>
        <w:tc>
          <w:tcPr>
            <w:tcW w:w="705" w:type="pct"/>
            <w:tcBorders>
              <w:bottom w:val="single" w:sz="4" w:space="0" w:color="auto"/>
            </w:tcBorders>
            <w:shd w:val="clear" w:color="auto" w:fill="auto"/>
          </w:tcPr>
          <w:p w14:paraId="41C8A786" w14:textId="49529776" w:rsidR="000D17CE" w:rsidRPr="00953A46" w:rsidRDefault="000D17CE">
            <w:pPr>
              <w:pStyle w:val="051Tabletext228pt"/>
              <w:ind w:left="-57" w:right="-57"/>
              <w:rPr>
                <w:sz w:val="18"/>
                <w:szCs w:val="24"/>
              </w:rPr>
            </w:pPr>
            <w:r w:rsidRPr="00953A46">
              <w:rPr>
                <w:sz w:val="18"/>
                <w:szCs w:val="24"/>
              </w:rPr>
              <w:t>Funding: NIHR HTA Programme</w:t>
            </w:r>
          </w:p>
          <w:p w14:paraId="49CF9FD0" w14:textId="77777777" w:rsidR="000D17CE" w:rsidRPr="00953A46" w:rsidRDefault="000D17CE">
            <w:pPr>
              <w:pStyle w:val="051Tabletext228pt"/>
              <w:ind w:left="-57" w:right="-57"/>
              <w:rPr>
                <w:sz w:val="18"/>
                <w:szCs w:val="24"/>
              </w:rPr>
            </w:pPr>
            <w:r w:rsidRPr="00953A46">
              <w:rPr>
                <w:sz w:val="18"/>
                <w:szCs w:val="24"/>
              </w:rPr>
              <w:t>Conflicts: none</w:t>
            </w:r>
          </w:p>
        </w:tc>
      </w:tr>
    </w:tbl>
    <w:p w14:paraId="6081061D" w14:textId="77777777" w:rsidR="000D17CE" w:rsidRDefault="000D17CE" w:rsidP="00826BA6">
      <w:pPr>
        <w:pStyle w:val="101Tablefootnotes8pt"/>
      </w:pPr>
      <w:r>
        <w:t xml:space="preserve">Abbreviations: </w:t>
      </w:r>
      <w:r w:rsidRPr="00B0485F">
        <w:t>COI</w:t>
      </w:r>
      <w:r>
        <w:t>,</w:t>
      </w:r>
      <w:r w:rsidRPr="00B0485F">
        <w:t xml:space="preserve"> conflict of interest; </w:t>
      </w:r>
      <w:r>
        <w:t xml:space="preserve">CUA, cost-utility analysis; </w:t>
      </w:r>
      <w:r w:rsidRPr="00B0485F">
        <w:t>EE</w:t>
      </w:r>
      <w:r>
        <w:t>,</w:t>
      </w:r>
      <w:r w:rsidRPr="00B0485F">
        <w:t xml:space="preserve"> economic evaluation; HTA</w:t>
      </w:r>
      <w:r>
        <w:t>,</w:t>
      </w:r>
      <w:r w:rsidRPr="00B0485F">
        <w:t xml:space="preserve"> Health Technology Assessment; </w:t>
      </w:r>
      <w:proofErr w:type="spellStart"/>
      <w:r w:rsidRPr="00B0485F">
        <w:t>mo</w:t>
      </w:r>
      <w:proofErr w:type="spellEnd"/>
      <w:r>
        <w:t>,</w:t>
      </w:r>
      <w:r w:rsidRPr="00B0485F">
        <w:t xml:space="preserve"> month(s); MUI</w:t>
      </w:r>
      <w:r>
        <w:t>,</w:t>
      </w:r>
      <w:r w:rsidRPr="00B0485F">
        <w:t xml:space="preserve"> mixed urinary incontinence; MUS</w:t>
      </w:r>
      <w:r>
        <w:t>,</w:t>
      </w:r>
      <w:r w:rsidRPr="00B0485F">
        <w:t xml:space="preserve"> mid-urethral sling; </w:t>
      </w:r>
      <w:r>
        <w:t xml:space="preserve">NHS, National Health Service; </w:t>
      </w:r>
      <w:r w:rsidRPr="00B0485F">
        <w:t>NIHR</w:t>
      </w:r>
      <w:r>
        <w:t xml:space="preserve">, </w:t>
      </w:r>
      <w:r w:rsidRPr="00B0485F">
        <w:t xml:space="preserve">National Institute for Health and Care Research; </w:t>
      </w:r>
      <w:r>
        <w:t xml:space="preserve">NMA, network meta-analysis; </w:t>
      </w:r>
      <w:r w:rsidRPr="00B0485F">
        <w:t>NR</w:t>
      </w:r>
      <w:r>
        <w:t>,</w:t>
      </w:r>
      <w:r w:rsidRPr="00B0485F">
        <w:t xml:space="preserve"> not reported; RCT</w:t>
      </w:r>
      <w:r>
        <w:t>,</w:t>
      </w:r>
      <w:r w:rsidRPr="00B0485F">
        <w:t xml:space="preserve"> randomi</w:t>
      </w:r>
      <w:r>
        <w:t>s</w:t>
      </w:r>
      <w:r w:rsidRPr="00B0485F">
        <w:t>ed controlled trial;</w:t>
      </w:r>
      <w:r>
        <w:t xml:space="preserve"> </w:t>
      </w:r>
      <w:r w:rsidRPr="00B0485F">
        <w:t>SUI</w:t>
      </w:r>
      <w:r>
        <w:t>,</w:t>
      </w:r>
      <w:r w:rsidRPr="00B0485F">
        <w:t xml:space="preserve"> stress urinary incontinence; </w:t>
      </w:r>
      <w:r>
        <w:t xml:space="preserve">UK, United Kingdom; </w:t>
      </w:r>
      <w:proofErr w:type="spellStart"/>
      <w:r w:rsidRPr="00B0485F">
        <w:t>yr</w:t>
      </w:r>
      <w:proofErr w:type="spellEnd"/>
      <w:r>
        <w:t>,</w:t>
      </w:r>
      <w:r w:rsidRPr="00B0485F">
        <w:t xml:space="preserve"> year.</w:t>
      </w:r>
    </w:p>
    <w:p w14:paraId="7010440F" w14:textId="54F902A5" w:rsidR="00826BA6" w:rsidRPr="002B0401" w:rsidRDefault="00826BA6" w:rsidP="002B0401">
      <w:pPr>
        <w:pStyle w:val="111Tablefootnoteslast-nostick8pt"/>
        <w:rPr>
          <w:color w:val="808080" w:themeColor="background1" w:themeShade="80"/>
        </w:rPr>
      </w:pPr>
      <w:r w:rsidRPr="002B0401">
        <w:rPr>
          <w:color w:val="808080" w:themeColor="background1" w:themeShade="80"/>
        </w:rPr>
        <w:t xml:space="preserve">Note: </w:t>
      </w:r>
      <w:r w:rsidR="002B0401">
        <w:rPr>
          <w:color w:val="808080" w:themeColor="background1" w:themeShade="80"/>
        </w:rPr>
        <w:t>c</w:t>
      </w:r>
      <w:r w:rsidRPr="002B0401">
        <w:rPr>
          <w:color w:val="808080" w:themeColor="background1" w:themeShade="80"/>
        </w:rPr>
        <w:t>ompar</w:t>
      </w:r>
      <w:r w:rsidR="002B0401">
        <w:rPr>
          <w:color w:val="808080" w:themeColor="background1" w:themeShade="80"/>
        </w:rPr>
        <w:t>ators</w:t>
      </w:r>
      <w:r w:rsidRPr="002B0401">
        <w:rPr>
          <w:color w:val="808080" w:themeColor="background1" w:themeShade="80"/>
        </w:rPr>
        <w:t xml:space="preserve"> listed in grey text are out of scope for this post-listing review.</w:t>
      </w:r>
    </w:p>
    <w:p w14:paraId="50D4743B" w14:textId="77777777" w:rsidR="000D17CE" w:rsidRPr="00B0485F" w:rsidRDefault="000D17CE" w:rsidP="000D17CE">
      <w:pPr>
        <w:pStyle w:val="Heading5"/>
      </w:pPr>
      <w:r w:rsidRPr="00B0485F">
        <w:t>Findings</w:t>
      </w:r>
    </w:p>
    <w:p w14:paraId="017BD248" w14:textId="1A798F29" w:rsidR="000D17CE" w:rsidRPr="00B0485F" w:rsidRDefault="000D17CE" w:rsidP="000D17CE">
      <w:pPr>
        <w:pStyle w:val="BodyText"/>
      </w:pPr>
      <w:r w:rsidRPr="00B0485F">
        <w:t xml:space="preserve">The findings of the </w:t>
      </w:r>
      <w:r w:rsidRPr="00B0485F" w:rsidDel="005648F7">
        <w:t>cost</w:t>
      </w:r>
      <w:r>
        <w:t xml:space="preserve">-utility </w:t>
      </w:r>
      <w:r w:rsidRPr="00B0485F">
        <w:t xml:space="preserve">analysis are presented in </w:t>
      </w:r>
      <w:r w:rsidRPr="00A92550">
        <w:rPr>
          <w:b/>
          <w:bCs/>
        </w:rPr>
        <w:fldChar w:fldCharType="begin"/>
      </w:r>
      <w:r w:rsidRPr="00A92550">
        <w:rPr>
          <w:b/>
          <w:bCs/>
        </w:rPr>
        <w:instrText xml:space="preserve"> REF _Ref132285233 \h </w:instrText>
      </w:r>
      <w:r>
        <w:rPr>
          <w:b/>
          <w:bCs/>
        </w:rPr>
        <w:instrText xml:space="preserve"> \* MERGEFORMAT </w:instrText>
      </w:r>
      <w:r w:rsidRPr="00A92550">
        <w:rPr>
          <w:b/>
          <w:bCs/>
        </w:rPr>
      </w:r>
      <w:r w:rsidRPr="00A92550">
        <w:rPr>
          <w:b/>
          <w:bCs/>
        </w:rPr>
        <w:fldChar w:fldCharType="separate"/>
      </w:r>
      <w:r w:rsidR="007105D3" w:rsidRPr="007105D3">
        <w:rPr>
          <w:b/>
          <w:bCs/>
        </w:rPr>
        <w:t xml:space="preserve">Table </w:t>
      </w:r>
      <w:r w:rsidR="007105D3" w:rsidRPr="007105D3">
        <w:rPr>
          <w:b/>
          <w:bCs/>
          <w:noProof/>
        </w:rPr>
        <w:t>17</w:t>
      </w:r>
      <w:r w:rsidRPr="00A92550">
        <w:rPr>
          <w:b/>
          <w:bCs/>
        </w:rPr>
        <w:fldChar w:fldCharType="end"/>
      </w:r>
      <w:r w:rsidRPr="00130AB3">
        <w:t>, from the perspective of the UK NHS and personal social services</w:t>
      </w:r>
      <w:r w:rsidRPr="00B0485F">
        <w:t xml:space="preserve">. Of the interventions studied, </w:t>
      </w:r>
      <w:r>
        <w:t>four</w:t>
      </w:r>
      <w:r w:rsidRPr="00B0485F">
        <w:t xml:space="preserve"> comparisons are relevant:</w:t>
      </w:r>
    </w:p>
    <w:p w14:paraId="063EB547" w14:textId="3D616671" w:rsidR="000D17CE" w:rsidRPr="00B0485F" w:rsidRDefault="000D17CE" w:rsidP="000D17CE">
      <w:pPr>
        <w:pStyle w:val="BodyText"/>
        <w:numPr>
          <w:ilvl w:val="0"/>
          <w:numId w:val="28"/>
        </w:numPr>
        <w:spacing w:after="0"/>
      </w:pPr>
      <w:r>
        <w:t>RP-MUS</w:t>
      </w:r>
      <w:r w:rsidRPr="00B0485F">
        <w:t xml:space="preserve"> versus</w:t>
      </w:r>
      <w:r>
        <w:t xml:space="preserve"> TO-MUS</w:t>
      </w:r>
    </w:p>
    <w:p w14:paraId="2EBD2336" w14:textId="5CA3D5B1" w:rsidR="000D17CE" w:rsidRPr="00B0485F" w:rsidRDefault="000D17CE" w:rsidP="000D17CE">
      <w:pPr>
        <w:pStyle w:val="BodyText"/>
        <w:numPr>
          <w:ilvl w:val="0"/>
          <w:numId w:val="28"/>
        </w:numPr>
        <w:spacing w:after="0"/>
      </w:pPr>
      <w:r>
        <w:t>RP-MUS</w:t>
      </w:r>
      <w:r w:rsidRPr="00B0485F">
        <w:t xml:space="preserve"> versus bulking agents</w:t>
      </w:r>
    </w:p>
    <w:p w14:paraId="28FC995B" w14:textId="4657B85C" w:rsidR="000D17CE" w:rsidRDefault="000D17CE" w:rsidP="000D17CE">
      <w:pPr>
        <w:pStyle w:val="BodyText"/>
        <w:numPr>
          <w:ilvl w:val="0"/>
          <w:numId w:val="28"/>
        </w:numPr>
        <w:spacing w:after="0"/>
      </w:pPr>
      <w:r>
        <w:t>RP-MUS</w:t>
      </w:r>
      <w:r w:rsidRPr="00B0485F">
        <w:t xml:space="preserve"> versus open </w:t>
      </w:r>
      <w:proofErr w:type="spellStart"/>
      <w:r w:rsidRPr="00B0485F">
        <w:t>colposuspension</w:t>
      </w:r>
      <w:proofErr w:type="spellEnd"/>
    </w:p>
    <w:p w14:paraId="7D93FE3A" w14:textId="1449BC92" w:rsidR="000D17CE" w:rsidRDefault="000D17CE" w:rsidP="000D17CE">
      <w:pPr>
        <w:pStyle w:val="BodyText"/>
        <w:numPr>
          <w:ilvl w:val="0"/>
          <w:numId w:val="28"/>
        </w:numPr>
      </w:pPr>
      <w:r>
        <w:t xml:space="preserve">RP-MUS versus laparoscopic </w:t>
      </w:r>
      <w:proofErr w:type="spellStart"/>
      <w:r>
        <w:t>colposuspension</w:t>
      </w:r>
      <w:proofErr w:type="spellEnd"/>
      <w:r w:rsidRPr="00B0485F">
        <w:t>.</w:t>
      </w:r>
    </w:p>
    <w:p w14:paraId="05B3D434" w14:textId="788BB036" w:rsidR="000D17CE" w:rsidRDefault="000D17CE" w:rsidP="000D17CE">
      <w:pPr>
        <w:pStyle w:val="BodyText"/>
      </w:pPr>
      <w:r>
        <w:t xml:space="preserve">The comparison with traditional </w:t>
      </w:r>
      <w:proofErr w:type="spellStart"/>
      <w:r>
        <w:t>suburetheral</w:t>
      </w:r>
      <w:proofErr w:type="spellEnd"/>
      <w:r>
        <w:t xml:space="preserve"> slings has been excluded, consistent with </w:t>
      </w:r>
      <w:r w:rsidRPr="007E45FA">
        <w:rPr>
          <w:b/>
          <w:bCs/>
        </w:rPr>
        <w:t xml:space="preserve">Section </w:t>
      </w:r>
      <w:r w:rsidRPr="007E45FA">
        <w:rPr>
          <w:b/>
          <w:bCs/>
        </w:rPr>
        <w:fldChar w:fldCharType="begin"/>
      </w:r>
      <w:r w:rsidRPr="007E45FA">
        <w:rPr>
          <w:b/>
          <w:bCs/>
        </w:rPr>
        <w:instrText xml:space="preserve"> REF _Ref130907248 \r \h </w:instrText>
      </w:r>
      <w:r>
        <w:rPr>
          <w:b/>
          <w:bCs/>
        </w:rPr>
        <w:instrText xml:space="preserve"> \* MERGEFORMAT </w:instrText>
      </w:r>
      <w:r w:rsidRPr="007E45FA">
        <w:rPr>
          <w:b/>
          <w:bCs/>
        </w:rPr>
      </w:r>
      <w:r w:rsidRPr="007E45FA">
        <w:rPr>
          <w:b/>
          <w:bCs/>
        </w:rPr>
        <w:fldChar w:fldCharType="separate"/>
      </w:r>
      <w:r w:rsidR="007105D3">
        <w:rPr>
          <w:b/>
          <w:bCs/>
        </w:rPr>
        <w:t>2.2.2</w:t>
      </w:r>
      <w:r w:rsidRPr="007E45FA">
        <w:rPr>
          <w:b/>
          <w:bCs/>
        </w:rPr>
        <w:fldChar w:fldCharType="end"/>
      </w:r>
      <w:r>
        <w:t>, on the basis that it includes studies of both synthetic and native tissue.</w:t>
      </w:r>
    </w:p>
    <w:p w14:paraId="5EE077CD" w14:textId="1FAD7613" w:rsidR="000D17CE" w:rsidRPr="00B0485F" w:rsidRDefault="000D17CE" w:rsidP="000D17CE">
      <w:pPr>
        <w:pStyle w:val="Caption"/>
      </w:pPr>
      <w:bookmarkStart w:id="110" w:name="_Ref132285233"/>
      <w:bookmarkStart w:id="111" w:name="_Toc132286057"/>
      <w:bookmarkStart w:id="112" w:name="_Toc165627885"/>
      <w:r w:rsidRPr="00B0485F">
        <w:t xml:space="preserve">Table </w:t>
      </w:r>
      <w:bookmarkStart w:id="113" w:name="_Ref131001114"/>
      <w:r>
        <w:fldChar w:fldCharType="begin"/>
      </w:r>
      <w:r>
        <w:instrText xml:space="preserve"> SEQ Table \* ARABIC </w:instrText>
      </w:r>
      <w:r>
        <w:fldChar w:fldCharType="separate"/>
      </w:r>
      <w:r w:rsidR="007105D3">
        <w:rPr>
          <w:noProof/>
        </w:rPr>
        <w:t>17</w:t>
      </w:r>
      <w:r>
        <w:rPr>
          <w:noProof/>
        </w:rPr>
        <w:fldChar w:fldCharType="end"/>
      </w:r>
      <w:bookmarkEnd w:id="110"/>
      <w:bookmarkEnd w:id="113"/>
      <w:r w:rsidRPr="00B0485F">
        <w:tab/>
        <w:t xml:space="preserve">Outcomes of </w:t>
      </w:r>
      <w:proofErr w:type="spellStart"/>
      <w:r w:rsidRPr="00B0485F">
        <w:t>Javanbakht</w:t>
      </w:r>
      <w:proofErr w:type="spellEnd"/>
      <w:r w:rsidRPr="00B0485F">
        <w:t xml:space="preserve"> (2020</w:t>
      </w:r>
      <w:r>
        <w:t>b</w:t>
      </w:r>
      <w:r w:rsidRPr="00B0485F">
        <w:t>)</w:t>
      </w:r>
      <w:bookmarkEnd w:id="111"/>
      <w:r>
        <w:t xml:space="preserve"> – at 10 years and lifetime</w:t>
      </w:r>
      <w:bookmarkEnd w:id="112"/>
    </w:p>
    <w:tbl>
      <w:tblPr>
        <w:tblStyle w:val="TableGrid"/>
        <w:tblW w:w="0" w:type="auto"/>
        <w:tblLook w:val="04A0" w:firstRow="1" w:lastRow="0" w:firstColumn="1" w:lastColumn="0" w:noHBand="0" w:noVBand="1"/>
        <w:tblCaption w:val="Outcomes of Javanbakht (2020b) at 10 years and lifetime"/>
        <w:tblDescription w:val="This table shows the outcomes of the Javanbakht (2020b) study at 10 years and lifetime including incremental effectiveness (QALYs), incremental costs, ICER, sensitivity analysis and conclusion. "/>
      </w:tblPr>
      <w:tblGrid>
        <w:gridCol w:w="983"/>
        <w:gridCol w:w="2042"/>
        <w:gridCol w:w="2042"/>
        <w:gridCol w:w="2043"/>
        <w:gridCol w:w="1350"/>
        <w:gridCol w:w="1178"/>
      </w:tblGrid>
      <w:tr w:rsidR="000D17CE" w:rsidRPr="00C358FF" w14:paraId="533FF329" w14:textId="77777777" w:rsidTr="006D3B92">
        <w:trPr>
          <w:cnfStyle w:val="100000000000" w:firstRow="1" w:lastRow="0" w:firstColumn="0" w:lastColumn="0" w:oddVBand="0" w:evenVBand="0" w:oddHBand="0" w:evenHBand="0" w:firstRowFirstColumn="0" w:firstRowLastColumn="0" w:lastRowFirstColumn="0" w:lastRowLastColumn="0"/>
          <w:cantSplit w:val="0"/>
        </w:trPr>
        <w:tc>
          <w:tcPr>
            <w:tcW w:w="983" w:type="dxa"/>
          </w:tcPr>
          <w:p w14:paraId="6460D40E" w14:textId="77777777" w:rsidR="000D17CE" w:rsidRPr="00C358FF" w:rsidRDefault="000D17CE">
            <w:pPr>
              <w:pStyle w:val="011TableHeading8pt"/>
              <w:ind w:left="-57" w:right="-57"/>
              <w:rPr>
                <w:sz w:val="18"/>
                <w:szCs w:val="18"/>
              </w:rPr>
            </w:pPr>
            <w:r w:rsidRPr="00C358FF">
              <w:rPr>
                <w:sz w:val="18"/>
                <w:szCs w:val="18"/>
              </w:rPr>
              <w:t>Study ID</w:t>
            </w:r>
          </w:p>
        </w:tc>
        <w:tc>
          <w:tcPr>
            <w:tcW w:w="2042" w:type="dxa"/>
          </w:tcPr>
          <w:p w14:paraId="71B3FC18" w14:textId="77777777" w:rsidR="000D17CE" w:rsidRPr="00C358FF" w:rsidRDefault="000D17CE">
            <w:pPr>
              <w:pStyle w:val="011TableHeading8pt"/>
              <w:ind w:left="-57" w:right="-57"/>
              <w:rPr>
                <w:sz w:val="18"/>
                <w:szCs w:val="18"/>
              </w:rPr>
            </w:pPr>
            <w:r w:rsidRPr="00C358FF">
              <w:rPr>
                <w:sz w:val="18"/>
                <w:szCs w:val="18"/>
              </w:rPr>
              <w:t>Incremental effectiveness (QALY</w:t>
            </w:r>
            <w:r>
              <w:rPr>
                <w:sz w:val="18"/>
                <w:szCs w:val="18"/>
              </w:rPr>
              <w:t>s</w:t>
            </w:r>
            <w:r w:rsidRPr="00C358FF">
              <w:rPr>
                <w:sz w:val="18"/>
                <w:szCs w:val="18"/>
              </w:rPr>
              <w:t>)</w:t>
            </w:r>
          </w:p>
        </w:tc>
        <w:tc>
          <w:tcPr>
            <w:tcW w:w="2042" w:type="dxa"/>
          </w:tcPr>
          <w:p w14:paraId="20DB0AD9" w14:textId="1C9EB1AD" w:rsidR="000D17CE" w:rsidRPr="00C358FF" w:rsidRDefault="000D17CE">
            <w:pPr>
              <w:pStyle w:val="011TableHeading8pt"/>
              <w:ind w:left="-57" w:right="-57"/>
              <w:rPr>
                <w:sz w:val="18"/>
                <w:szCs w:val="18"/>
              </w:rPr>
            </w:pPr>
            <w:r w:rsidRPr="00C358FF">
              <w:rPr>
                <w:sz w:val="18"/>
                <w:szCs w:val="18"/>
              </w:rPr>
              <w:t>Incremental costs</w:t>
            </w:r>
            <w:r w:rsidRPr="00D40D4C">
              <w:rPr>
                <w:sz w:val="18"/>
                <w:szCs w:val="24"/>
              </w:rPr>
              <w:t xml:space="preserve"> (GBP)</w:t>
            </w:r>
          </w:p>
        </w:tc>
        <w:tc>
          <w:tcPr>
            <w:tcW w:w="2043" w:type="dxa"/>
          </w:tcPr>
          <w:p w14:paraId="0E3BF07D" w14:textId="662703CD" w:rsidR="000D17CE" w:rsidRPr="00C358FF" w:rsidRDefault="000D17CE">
            <w:pPr>
              <w:pStyle w:val="011TableHeading8pt"/>
              <w:ind w:left="-57" w:right="-57"/>
              <w:rPr>
                <w:sz w:val="18"/>
                <w:szCs w:val="18"/>
              </w:rPr>
            </w:pPr>
            <w:r w:rsidRPr="00C358FF">
              <w:rPr>
                <w:sz w:val="18"/>
                <w:szCs w:val="18"/>
              </w:rPr>
              <w:t xml:space="preserve">ICER </w:t>
            </w:r>
          </w:p>
        </w:tc>
        <w:tc>
          <w:tcPr>
            <w:tcW w:w="1350" w:type="dxa"/>
          </w:tcPr>
          <w:p w14:paraId="2C85B418" w14:textId="77777777" w:rsidR="000D17CE" w:rsidRPr="00C358FF" w:rsidRDefault="000D17CE">
            <w:pPr>
              <w:pStyle w:val="011TableHeading8pt"/>
              <w:ind w:left="-57" w:right="-57"/>
              <w:rPr>
                <w:sz w:val="18"/>
                <w:szCs w:val="18"/>
              </w:rPr>
            </w:pPr>
            <w:r w:rsidRPr="00C358FF">
              <w:rPr>
                <w:sz w:val="18"/>
                <w:szCs w:val="18"/>
              </w:rPr>
              <w:t>Sensitivity analysis</w:t>
            </w:r>
          </w:p>
        </w:tc>
        <w:tc>
          <w:tcPr>
            <w:tcW w:w="1178" w:type="dxa"/>
          </w:tcPr>
          <w:p w14:paraId="205AB78A" w14:textId="77777777" w:rsidR="000D17CE" w:rsidRPr="00C358FF" w:rsidRDefault="000D17CE">
            <w:pPr>
              <w:pStyle w:val="011TableHeading8pt"/>
              <w:ind w:left="-57" w:right="-57"/>
              <w:rPr>
                <w:sz w:val="18"/>
                <w:szCs w:val="18"/>
              </w:rPr>
            </w:pPr>
            <w:r w:rsidRPr="00C358FF">
              <w:rPr>
                <w:sz w:val="18"/>
                <w:szCs w:val="18"/>
              </w:rPr>
              <w:t>Conclusion</w:t>
            </w:r>
          </w:p>
        </w:tc>
      </w:tr>
      <w:tr w:rsidR="000D17CE" w:rsidRPr="00C358FF" w14:paraId="1BF81E49" w14:textId="77777777" w:rsidTr="006D3B92">
        <w:trPr>
          <w:cantSplit w:val="0"/>
        </w:trPr>
        <w:tc>
          <w:tcPr>
            <w:tcW w:w="983" w:type="dxa"/>
          </w:tcPr>
          <w:p w14:paraId="5760576A" w14:textId="77777777" w:rsidR="000D17CE" w:rsidRPr="00E620F2" w:rsidRDefault="000D17CE">
            <w:pPr>
              <w:pStyle w:val="051Tabletext228pt"/>
              <w:ind w:left="-57" w:right="-57"/>
              <w:rPr>
                <w:sz w:val="18"/>
                <w:szCs w:val="18"/>
              </w:rPr>
            </w:pPr>
            <w:proofErr w:type="spellStart"/>
            <w:r w:rsidRPr="00E620F2">
              <w:rPr>
                <w:sz w:val="18"/>
                <w:szCs w:val="18"/>
              </w:rPr>
              <w:t>Javanbakht</w:t>
            </w:r>
            <w:proofErr w:type="spellEnd"/>
            <w:r w:rsidRPr="00E620F2">
              <w:rPr>
                <w:sz w:val="18"/>
                <w:szCs w:val="18"/>
              </w:rPr>
              <w:t xml:space="preserve"> 2020</w:t>
            </w:r>
            <w:r>
              <w:rPr>
                <w:sz w:val="18"/>
                <w:szCs w:val="18"/>
              </w:rPr>
              <w:t>b</w:t>
            </w:r>
            <w:r w:rsidRPr="00E620F2">
              <w:rPr>
                <w:sz w:val="18"/>
                <w:szCs w:val="18"/>
              </w:rPr>
              <w:br/>
              <w:t>UK</w:t>
            </w:r>
          </w:p>
        </w:tc>
        <w:tc>
          <w:tcPr>
            <w:tcW w:w="2042" w:type="dxa"/>
          </w:tcPr>
          <w:p w14:paraId="26067073" w14:textId="01C9CA95" w:rsidR="000D17CE" w:rsidRPr="00E620F2" w:rsidRDefault="000D17CE">
            <w:pPr>
              <w:pStyle w:val="051Tabletext228pt"/>
              <w:shd w:val="clear" w:color="auto" w:fill="D9D9D9" w:themeFill="background1" w:themeFillShade="D9"/>
              <w:ind w:left="-57" w:right="-57"/>
              <w:rPr>
                <w:sz w:val="18"/>
                <w:szCs w:val="18"/>
              </w:rPr>
            </w:pPr>
            <w:r w:rsidRPr="00E620F2">
              <w:rPr>
                <w:sz w:val="18"/>
                <w:szCs w:val="18"/>
              </w:rPr>
              <w:t>10</w:t>
            </w:r>
            <w:r>
              <w:rPr>
                <w:sz w:val="18"/>
                <w:szCs w:val="18"/>
              </w:rPr>
              <w:t>-</w:t>
            </w:r>
            <w:r w:rsidRPr="00E620F2">
              <w:rPr>
                <w:sz w:val="18"/>
                <w:szCs w:val="18"/>
              </w:rPr>
              <w:t>yr time horizon</w:t>
            </w:r>
          </w:p>
          <w:p w14:paraId="6014B7AE"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TO-MUS</w:t>
            </w:r>
            <w:r w:rsidRPr="00E620F2">
              <w:rPr>
                <w:sz w:val="18"/>
                <w:szCs w:val="18"/>
              </w:rPr>
              <w:br/>
              <w:t xml:space="preserve">−0.163 </w:t>
            </w:r>
          </w:p>
          <w:p w14:paraId="15D76821" w14:textId="77777777" w:rsidR="000D17CE"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open </w:t>
            </w:r>
            <w:proofErr w:type="spellStart"/>
            <w:r w:rsidRPr="00E620F2">
              <w:rPr>
                <w:sz w:val="18"/>
                <w:szCs w:val="18"/>
                <w:u w:val="single"/>
              </w:rPr>
              <w:t>colpo</w:t>
            </w:r>
            <w:proofErr w:type="spellEnd"/>
            <w:r w:rsidRPr="00E620F2">
              <w:rPr>
                <w:sz w:val="18"/>
                <w:szCs w:val="18"/>
                <w:u w:val="single"/>
              </w:rPr>
              <w:t>.</w:t>
            </w:r>
            <w:r w:rsidRPr="00E620F2">
              <w:rPr>
                <w:sz w:val="18"/>
                <w:szCs w:val="18"/>
              </w:rPr>
              <w:br/>
              <w:t>−0.066</w:t>
            </w:r>
          </w:p>
          <w:p w14:paraId="03C26C45" w14:textId="77777777" w:rsidR="000D17CE" w:rsidRPr="00912801"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lap</w:t>
            </w:r>
            <w:r w:rsidRPr="00E620F2">
              <w:rPr>
                <w:sz w:val="18"/>
                <w:szCs w:val="18"/>
                <w:u w:val="single"/>
              </w:rPr>
              <w:t xml:space="preserve"> </w:t>
            </w:r>
            <w:proofErr w:type="spellStart"/>
            <w:r w:rsidRPr="00E620F2">
              <w:rPr>
                <w:sz w:val="18"/>
                <w:szCs w:val="18"/>
                <w:u w:val="single"/>
              </w:rPr>
              <w:t>colpo</w:t>
            </w:r>
            <w:proofErr w:type="spellEnd"/>
            <w:r w:rsidRPr="00E620F2">
              <w:rPr>
                <w:sz w:val="18"/>
                <w:szCs w:val="18"/>
                <w:u w:val="single"/>
              </w:rPr>
              <w:t>.</w:t>
            </w:r>
            <w:r w:rsidRPr="00E620F2">
              <w:rPr>
                <w:sz w:val="18"/>
                <w:szCs w:val="18"/>
              </w:rPr>
              <w:br/>
              <w:t>−0.</w:t>
            </w:r>
            <w:r>
              <w:rPr>
                <w:sz w:val="18"/>
                <w:szCs w:val="18"/>
              </w:rPr>
              <w:t>164</w:t>
            </w:r>
          </w:p>
          <w:p w14:paraId="54C041F8"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bulking agents</w:t>
            </w:r>
            <w:r w:rsidRPr="00E620F2">
              <w:rPr>
                <w:sz w:val="18"/>
                <w:szCs w:val="18"/>
                <w:u w:val="single"/>
              </w:rPr>
              <w:br/>
            </w:r>
            <w:r w:rsidRPr="00E620F2">
              <w:rPr>
                <w:sz w:val="18"/>
                <w:szCs w:val="18"/>
              </w:rPr>
              <w:t>−0.202</w:t>
            </w:r>
          </w:p>
          <w:p w14:paraId="6EAFBC0E" w14:textId="77777777" w:rsidR="000D17CE" w:rsidRPr="00E620F2" w:rsidRDefault="000D17CE">
            <w:pPr>
              <w:pStyle w:val="051Tabletext228pt"/>
              <w:shd w:val="clear" w:color="auto" w:fill="D9D9D9" w:themeFill="background1" w:themeFillShade="D9"/>
              <w:ind w:left="-57" w:right="-57"/>
              <w:rPr>
                <w:sz w:val="18"/>
                <w:szCs w:val="18"/>
              </w:rPr>
            </w:pPr>
            <w:r w:rsidRPr="00E620F2">
              <w:rPr>
                <w:sz w:val="18"/>
                <w:szCs w:val="18"/>
              </w:rPr>
              <w:t>Lifetime time horizon</w:t>
            </w:r>
          </w:p>
          <w:p w14:paraId="66CE53AE"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TO-MUS</w:t>
            </w:r>
            <w:r w:rsidRPr="00E620F2">
              <w:rPr>
                <w:sz w:val="18"/>
                <w:szCs w:val="18"/>
              </w:rPr>
              <w:br/>
              <w:t>−0.580</w:t>
            </w:r>
          </w:p>
          <w:p w14:paraId="146D17F3" w14:textId="77777777" w:rsidR="000D17CE" w:rsidRDefault="000D17CE">
            <w:pPr>
              <w:pStyle w:val="051Tabletext228pt"/>
              <w:ind w:left="-57" w:right="-57"/>
              <w:rPr>
                <w:sz w:val="18"/>
                <w:szCs w:val="18"/>
                <w:u w:val="single"/>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open </w:t>
            </w:r>
            <w:proofErr w:type="spellStart"/>
            <w:r w:rsidRPr="00E620F2">
              <w:rPr>
                <w:sz w:val="18"/>
                <w:szCs w:val="18"/>
                <w:u w:val="single"/>
              </w:rPr>
              <w:t>colpo</w:t>
            </w:r>
            <w:proofErr w:type="spellEnd"/>
            <w:r w:rsidRPr="00E620F2">
              <w:rPr>
                <w:sz w:val="18"/>
                <w:szCs w:val="18"/>
                <w:u w:val="single"/>
              </w:rPr>
              <w:t>.</w:t>
            </w:r>
            <w:r w:rsidRPr="00E620F2">
              <w:rPr>
                <w:sz w:val="18"/>
                <w:szCs w:val="18"/>
              </w:rPr>
              <w:br/>
              <w:t>−0.175</w:t>
            </w:r>
            <w:r w:rsidRPr="00E620F2">
              <w:rPr>
                <w:sz w:val="18"/>
                <w:szCs w:val="18"/>
                <w:u w:val="single"/>
              </w:rPr>
              <w:t xml:space="preserve"> </w:t>
            </w:r>
          </w:p>
          <w:p w14:paraId="383C81AC"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lap</w:t>
            </w:r>
            <w:r w:rsidRPr="00E620F2">
              <w:rPr>
                <w:sz w:val="18"/>
                <w:szCs w:val="18"/>
                <w:u w:val="single"/>
              </w:rPr>
              <w:t xml:space="preserve"> </w:t>
            </w:r>
            <w:proofErr w:type="spellStart"/>
            <w:r w:rsidRPr="00E620F2">
              <w:rPr>
                <w:sz w:val="18"/>
                <w:szCs w:val="18"/>
                <w:u w:val="single"/>
              </w:rPr>
              <w:t>colpo</w:t>
            </w:r>
            <w:proofErr w:type="spellEnd"/>
            <w:r w:rsidRPr="00E620F2">
              <w:rPr>
                <w:sz w:val="18"/>
                <w:szCs w:val="18"/>
                <w:u w:val="single"/>
              </w:rPr>
              <w:t>.</w:t>
            </w:r>
            <w:r w:rsidRPr="00E620F2">
              <w:rPr>
                <w:sz w:val="18"/>
                <w:szCs w:val="18"/>
              </w:rPr>
              <w:br/>
              <w:t>−0.</w:t>
            </w:r>
            <w:r>
              <w:rPr>
                <w:sz w:val="18"/>
                <w:szCs w:val="18"/>
              </w:rPr>
              <w:t>492</w:t>
            </w:r>
          </w:p>
          <w:p w14:paraId="04476666"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bulking agents</w:t>
            </w:r>
            <w:r w:rsidRPr="00E620F2">
              <w:rPr>
                <w:sz w:val="18"/>
                <w:szCs w:val="18"/>
                <w:u w:val="single"/>
              </w:rPr>
              <w:br/>
            </w:r>
            <w:r w:rsidRPr="00E620F2">
              <w:rPr>
                <w:sz w:val="18"/>
                <w:szCs w:val="18"/>
              </w:rPr>
              <w:t>−0.503</w:t>
            </w:r>
          </w:p>
        </w:tc>
        <w:tc>
          <w:tcPr>
            <w:tcW w:w="2042" w:type="dxa"/>
          </w:tcPr>
          <w:p w14:paraId="42301266" w14:textId="356D7A51" w:rsidR="000D17CE" w:rsidRPr="00E620F2" w:rsidRDefault="000D17CE">
            <w:pPr>
              <w:pStyle w:val="051Tabletext228pt"/>
              <w:shd w:val="clear" w:color="auto" w:fill="D9D9D9" w:themeFill="background1" w:themeFillShade="D9"/>
              <w:ind w:left="-57" w:right="-57"/>
              <w:rPr>
                <w:sz w:val="18"/>
                <w:szCs w:val="18"/>
              </w:rPr>
            </w:pPr>
            <w:r w:rsidRPr="00E620F2">
              <w:rPr>
                <w:sz w:val="18"/>
                <w:szCs w:val="18"/>
              </w:rPr>
              <w:t>10</w:t>
            </w:r>
            <w:r>
              <w:rPr>
                <w:sz w:val="18"/>
                <w:szCs w:val="18"/>
              </w:rPr>
              <w:t>-</w:t>
            </w:r>
            <w:r w:rsidRPr="00E620F2">
              <w:rPr>
                <w:sz w:val="18"/>
                <w:szCs w:val="18"/>
              </w:rPr>
              <w:t>yr time horizon</w:t>
            </w:r>
          </w:p>
          <w:p w14:paraId="493EA780"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TO-MUS</w:t>
            </w:r>
            <w:r w:rsidRPr="00E620F2">
              <w:rPr>
                <w:sz w:val="18"/>
                <w:szCs w:val="18"/>
              </w:rPr>
              <w:br/>
            </w:r>
            <w:r w:rsidRPr="00E620F2">
              <w:rPr>
                <w:rFonts w:cs="Calibri"/>
                <w:sz w:val="18"/>
                <w:szCs w:val="18"/>
              </w:rPr>
              <w:t>£</w:t>
            </w:r>
            <w:r w:rsidRPr="00E620F2">
              <w:rPr>
                <w:sz w:val="18"/>
                <w:szCs w:val="18"/>
              </w:rPr>
              <w:t>614</w:t>
            </w:r>
          </w:p>
          <w:p w14:paraId="03ACA82E"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open </w:t>
            </w:r>
            <w:proofErr w:type="spellStart"/>
            <w:r w:rsidRPr="00E620F2">
              <w:rPr>
                <w:sz w:val="18"/>
                <w:szCs w:val="18"/>
                <w:u w:val="single"/>
              </w:rPr>
              <w:t>colpo</w:t>
            </w:r>
            <w:proofErr w:type="spellEnd"/>
            <w:r w:rsidRPr="00E620F2">
              <w:rPr>
                <w:sz w:val="18"/>
                <w:szCs w:val="18"/>
                <w:u w:val="single"/>
              </w:rPr>
              <w:t>.</w:t>
            </w:r>
            <w:r w:rsidRPr="00E620F2">
              <w:rPr>
                <w:sz w:val="18"/>
                <w:szCs w:val="18"/>
              </w:rPr>
              <w:br/>
            </w:r>
            <w:r w:rsidRPr="00E620F2">
              <w:rPr>
                <w:rFonts w:cs="Calibri"/>
                <w:sz w:val="18"/>
                <w:szCs w:val="18"/>
              </w:rPr>
              <w:t>£</w:t>
            </w:r>
            <w:r w:rsidRPr="00E620F2">
              <w:rPr>
                <w:sz w:val="18"/>
                <w:szCs w:val="18"/>
              </w:rPr>
              <w:t>2</w:t>
            </w:r>
            <w:r>
              <w:rPr>
                <w:sz w:val="18"/>
                <w:szCs w:val="18"/>
              </w:rPr>
              <w:t>,</w:t>
            </w:r>
            <w:r w:rsidRPr="00E620F2">
              <w:rPr>
                <w:sz w:val="18"/>
                <w:szCs w:val="18"/>
              </w:rPr>
              <w:t>691</w:t>
            </w:r>
          </w:p>
          <w:p w14:paraId="11BC958D"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lap</w:t>
            </w:r>
            <w:r w:rsidRPr="00E620F2">
              <w:rPr>
                <w:sz w:val="18"/>
                <w:szCs w:val="18"/>
                <w:u w:val="single"/>
              </w:rPr>
              <w:t xml:space="preserve"> </w:t>
            </w:r>
            <w:proofErr w:type="spellStart"/>
            <w:r w:rsidRPr="00E620F2">
              <w:rPr>
                <w:sz w:val="18"/>
                <w:szCs w:val="18"/>
                <w:u w:val="single"/>
              </w:rPr>
              <w:t>colpo</w:t>
            </w:r>
            <w:proofErr w:type="spellEnd"/>
            <w:r w:rsidRPr="00E620F2">
              <w:rPr>
                <w:sz w:val="18"/>
                <w:szCs w:val="18"/>
                <w:u w:val="single"/>
              </w:rPr>
              <w:t>.</w:t>
            </w:r>
            <w:r w:rsidRPr="00E620F2">
              <w:rPr>
                <w:sz w:val="18"/>
                <w:szCs w:val="18"/>
              </w:rPr>
              <w:br/>
            </w:r>
            <w:r w:rsidRPr="00E620F2">
              <w:rPr>
                <w:rFonts w:cs="Calibri"/>
                <w:sz w:val="18"/>
                <w:szCs w:val="18"/>
              </w:rPr>
              <w:t>£</w:t>
            </w:r>
            <w:r>
              <w:rPr>
                <w:rFonts w:cs="Calibri"/>
                <w:sz w:val="18"/>
                <w:szCs w:val="18"/>
              </w:rPr>
              <w:t>3,092</w:t>
            </w:r>
          </w:p>
          <w:p w14:paraId="0AC1F57A"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bulking agents</w:t>
            </w:r>
            <w:r w:rsidRPr="00E620F2">
              <w:rPr>
                <w:sz w:val="18"/>
                <w:szCs w:val="18"/>
              </w:rPr>
              <w:br/>
            </w:r>
            <w:r w:rsidRPr="00E620F2">
              <w:rPr>
                <w:rFonts w:cs="Calibri"/>
                <w:sz w:val="18"/>
                <w:szCs w:val="18"/>
              </w:rPr>
              <w:t>£</w:t>
            </w:r>
            <w:r w:rsidRPr="00E620F2">
              <w:rPr>
                <w:sz w:val="18"/>
                <w:szCs w:val="18"/>
              </w:rPr>
              <w:t>977</w:t>
            </w:r>
          </w:p>
          <w:p w14:paraId="4DF30616" w14:textId="77777777" w:rsidR="000D17CE" w:rsidRPr="00E620F2" w:rsidRDefault="000D17CE">
            <w:pPr>
              <w:pStyle w:val="051Tabletext228pt"/>
              <w:shd w:val="clear" w:color="auto" w:fill="D9D9D9" w:themeFill="background1" w:themeFillShade="D9"/>
              <w:ind w:left="-57" w:right="-57"/>
              <w:rPr>
                <w:sz w:val="18"/>
                <w:szCs w:val="18"/>
              </w:rPr>
            </w:pPr>
            <w:r w:rsidRPr="00E620F2">
              <w:rPr>
                <w:sz w:val="18"/>
                <w:szCs w:val="18"/>
              </w:rPr>
              <w:t>Lifetime time horizon</w:t>
            </w:r>
          </w:p>
          <w:p w14:paraId="7F3D5FBE"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TO-MUS</w:t>
            </w:r>
            <w:r w:rsidRPr="00E620F2">
              <w:rPr>
                <w:sz w:val="18"/>
                <w:szCs w:val="18"/>
              </w:rPr>
              <w:br/>
            </w:r>
            <w:r w:rsidRPr="00E620F2">
              <w:rPr>
                <w:rFonts w:cs="Calibri"/>
                <w:sz w:val="18"/>
                <w:szCs w:val="18"/>
              </w:rPr>
              <w:t>£</w:t>
            </w:r>
            <w:r w:rsidRPr="00E620F2">
              <w:rPr>
                <w:sz w:val="18"/>
                <w:szCs w:val="18"/>
              </w:rPr>
              <w:t>1</w:t>
            </w:r>
            <w:r>
              <w:rPr>
                <w:sz w:val="18"/>
                <w:szCs w:val="18"/>
              </w:rPr>
              <w:t>,</w:t>
            </w:r>
            <w:r w:rsidRPr="00E620F2">
              <w:rPr>
                <w:sz w:val="18"/>
                <w:szCs w:val="18"/>
              </w:rPr>
              <w:t>103</w:t>
            </w:r>
          </w:p>
          <w:p w14:paraId="708EEF7C" w14:textId="77777777" w:rsidR="000D17CE"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open </w:t>
            </w:r>
            <w:proofErr w:type="spellStart"/>
            <w:r w:rsidRPr="00E620F2">
              <w:rPr>
                <w:sz w:val="18"/>
                <w:szCs w:val="18"/>
                <w:u w:val="single"/>
              </w:rPr>
              <w:t>colpo</w:t>
            </w:r>
            <w:proofErr w:type="spellEnd"/>
            <w:r w:rsidRPr="00E620F2">
              <w:rPr>
                <w:sz w:val="18"/>
                <w:szCs w:val="18"/>
                <w:u w:val="single"/>
              </w:rPr>
              <w:t>.</w:t>
            </w:r>
            <w:r w:rsidRPr="00E620F2">
              <w:rPr>
                <w:sz w:val="18"/>
                <w:szCs w:val="18"/>
              </w:rPr>
              <w:br/>
            </w:r>
            <w:r w:rsidRPr="00E620F2">
              <w:rPr>
                <w:rFonts w:cs="Calibri"/>
                <w:sz w:val="18"/>
                <w:szCs w:val="18"/>
              </w:rPr>
              <w:t>£</w:t>
            </w:r>
            <w:r w:rsidRPr="00E620F2">
              <w:rPr>
                <w:sz w:val="18"/>
                <w:szCs w:val="18"/>
              </w:rPr>
              <w:t>2</w:t>
            </w:r>
            <w:r>
              <w:rPr>
                <w:sz w:val="18"/>
                <w:szCs w:val="18"/>
              </w:rPr>
              <w:t>,</w:t>
            </w:r>
            <w:r w:rsidRPr="00E620F2">
              <w:rPr>
                <w:sz w:val="18"/>
                <w:szCs w:val="18"/>
              </w:rPr>
              <w:t>535</w:t>
            </w:r>
          </w:p>
          <w:p w14:paraId="368664CE"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lap</w:t>
            </w:r>
            <w:r w:rsidRPr="00E620F2">
              <w:rPr>
                <w:sz w:val="18"/>
                <w:szCs w:val="18"/>
                <w:u w:val="single"/>
              </w:rPr>
              <w:t xml:space="preserve"> </w:t>
            </w:r>
            <w:proofErr w:type="spellStart"/>
            <w:r w:rsidRPr="00E620F2">
              <w:rPr>
                <w:sz w:val="18"/>
                <w:szCs w:val="18"/>
                <w:u w:val="single"/>
              </w:rPr>
              <w:t>colpo</w:t>
            </w:r>
            <w:proofErr w:type="spellEnd"/>
            <w:r w:rsidRPr="00E620F2">
              <w:rPr>
                <w:sz w:val="18"/>
                <w:szCs w:val="18"/>
                <w:u w:val="single"/>
              </w:rPr>
              <w:t>.</w:t>
            </w:r>
            <w:r w:rsidRPr="00E620F2">
              <w:rPr>
                <w:sz w:val="18"/>
                <w:szCs w:val="18"/>
              </w:rPr>
              <w:br/>
            </w:r>
            <w:r w:rsidRPr="00E620F2">
              <w:rPr>
                <w:rFonts w:cs="Calibri"/>
                <w:sz w:val="18"/>
                <w:szCs w:val="18"/>
              </w:rPr>
              <w:t>£</w:t>
            </w:r>
            <w:r>
              <w:rPr>
                <w:rFonts w:cs="Calibri"/>
                <w:sz w:val="18"/>
                <w:szCs w:val="18"/>
              </w:rPr>
              <w:t>3,369</w:t>
            </w:r>
          </w:p>
          <w:p w14:paraId="5CD5F6F2"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bulking agents</w:t>
            </w:r>
            <w:r w:rsidRPr="00E620F2">
              <w:rPr>
                <w:sz w:val="18"/>
                <w:szCs w:val="18"/>
              </w:rPr>
              <w:br/>
            </w:r>
            <w:r w:rsidRPr="00E620F2">
              <w:rPr>
                <w:rFonts w:cs="Calibri"/>
                <w:sz w:val="18"/>
                <w:szCs w:val="18"/>
              </w:rPr>
              <w:t>£</w:t>
            </w:r>
            <w:r w:rsidRPr="00E620F2">
              <w:rPr>
                <w:sz w:val="18"/>
                <w:szCs w:val="18"/>
              </w:rPr>
              <w:t>1</w:t>
            </w:r>
            <w:r>
              <w:rPr>
                <w:sz w:val="18"/>
                <w:szCs w:val="18"/>
              </w:rPr>
              <w:t>,</w:t>
            </w:r>
            <w:r w:rsidRPr="00E620F2">
              <w:rPr>
                <w:sz w:val="18"/>
                <w:szCs w:val="18"/>
              </w:rPr>
              <w:t>221</w:t>
            </w:r>
          </w:p>
        </w:tc>
        <w:tc>
          <w:tcPr>
            <w:tcW w:w="2043" w:type="dxa"/>
          </w:tcPr>
          <w:p w14:paraId="176F8007" w14:textId="43FA3425" w:rsidR="000D17CE" w:rsidRPr="00E620F2" w:rsidRDefault="000D17CE">
            <w:pPr>
              <w:pStyle w:val="051Tabletext228pt"/>
              <w:shd w:val="clear" w:color="auto" w:fill="D9D9D9" w:themeFill="background1" w:themeFillShade="D9"/>
              <w:ind w:left="-57" w:right="-57"/>
              <w:rPr>
                <w:sz w:val="18"/>
                <w:szCs w:val="18"/>
              </w:rPr>
            </w:pPr>
            <w:r w:rsidRPr="00E620F2">
              <w:rPr>
                <w:sz w:val="18"/>
                <w:szCs w:val="18"/>
              </w:rPr>
              <w:t>10</w:t>
            </w:r>
            <w:r>
              <w:rPr>
                <w:sz w:val="18"/>
                <w:szCs w:val="18"/>
              </w:rPr>
              <w:t>-</w:t>
            </w:r>
            <w:r w:rsidRPr="00E620F2">
              <w:rPr>
                <w:sz w:val="18"/>
                <w:szCs w:val="18"/>
              </w:rPr>
              <w:t>yr time horizon</w:t>
            </w:r>
          </w:p>
          <w:p w14:paraId="2B8F456A"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TO-MUS</w:t>
            </w:r>
            <w:r w:rsidRPr="00E620F2">
              <w:rPr>
                <w:sz w:val="18"/>
                <w:szCs w:val="18"/>
              </w:rPr>
              <w:br/>
            </w:r>
            <w:r w:rsidRPr="00E620F2">
              <w:rPr>
                <w:rFonts w:cs="Calibri"/>
                <w:sz w:val="18"/>
                <w:szCs w:val="18"/>
              </w:rPr>
              <w:t>Dominated</w:t>
            </w:r>
          </w:p>
          <w:p w14:paraId="3266C82E" w14:textId="77777777" w:rsidR="000D17CE" w:rsidRDefault="000D17CE">
            <w:pPr>
              <w:pStyle w:val="051Tabletext228pt"/>
              <w:ind w:left="-57" w:right="-57"/>
              <w:rPr>
                <w:rFonts w:cs="Calibri"/>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open </w:t>
            </w:r>
            <w:proofErr w:type="spellStart"/>
            <w:r w:rsidRPr="00E620F2">
              <w:rPr>
                <w:sz w:val="18"/>
                <w:szCs w:val="18"/>
                <w:u w:val="single"/>
              </w:rPr>
              <w:t>colpo</w:t>
            </w:r>
            <w:proofErr w:type="spellEnd"/>
            <w:r w:rsidRPr="00E620F2">
              <w:rPr>
                <w:sz w:val="18"/>
                <w:szCs w:val="18"/>
                <w:u w:val="single"/>
              </w:rPr>
              <w:t>.</w:t>
            </w:r>
            <w:r w:rsidRPr="00E620F2">
              <w:rPr>
                <w:sz w:val="18"/>
                <w:szCs w:val="18"/>
              </w:rPr>
              <w:br/>
            </w:r>
            <w:r w:rsidRPr="00E620F2">
              <w:rPr>
                <w:rFonts w:cs="Calibri"/>
                <w:sz w:val="18"/>
                <w:szCs w:val="18"/>
              </w:rPr>
              <w:t>Dominated</w:t>
            </w:r>
          </w:p>
          <w:p w14:paraId="2C1A49EE" w14:textId="77777777" w:rsidR="000D17CE" w:rsidRDefault="000D17CE">
            <w:pPr>
              <w:pStyle w:val="051Tabletext228pt"/>
              <w:ind w:left="-57" w:right="-57"/>
              <w:rPr>
                <w:sz w:val="18"/>
                <w:szCs w:val="18"/>
                <w:u w:val="single"/>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lap</w:t>
            </w:r>
            <w:r w:rsidRPr="00E620F2">
              <w:rPr>
                <w:sz w:val="18"/>
                <w:szCs w:val="18"/>
                <w:u w:val="single"/>
              </w:rPr>
              <w:t xml:space="preserve"> </w:t>
            </w:r>
            <w:proofErr w:type="spellStart"/>
            <w:r w:rsidRPr="00E620F2">
              <w:rPr>
                <w:sz w:val="18"/>
                <w:szCs w:val="18"/>
                <w:u w:val="single"/>
              </w:rPr>
              <w:t>colpo</w:t>
            </w:r>
            <w:proofErr w:type="spellEnd"/>
            <w:r w:rsidRPr="00E620F2">
              <w:rPr>
                <w:sz w:val="18"/>
                <w:szCs w:val="18"/>
                <w:u w:val="single"/>
              </w:rPr>
              <w:t>.</w:t>
            </w:r>
          </w:p>
          <w:p w14:paraId="0792F24D" w14:textId="77777777" w:rsidR="000D17CE" w:rsidRPr="00E620F2" w:rsidRDefault="000D17CE">
            <w:pPr>
              <w:pStyle w:val="051Tabletext228pt"/>
              <w:ind w:left="-57" w:right="-57"/>
              <w:rPr>
                <w:sz w:val="18"/>
                <w:szCs w:val="18"/>
              </w:rPr>
            </w:pPr>
            <w:r w:rsidRPr="00E620F2">
              <w:rPr>
                <w:rFonts w:cs="Calibri"/>
                <w:sz w:val="18"/>
                <w:szCs w:val="18"/>
              </w:rPr>
              <w:t>Dominated</w:t>
            </w:r>
          </w:p>
          <w:p w14:paraId="2B662859"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bulking agents</w:t>
            </w:r>
            <w:r w:rsidRPr="00E620F2">
              <w:rPr>
                <w:sz w:val="18"/>
                <w:szCs w:val="18"/>
                <w:u w:val="single"/>
              </w:rPr>
              <w:br/>
            </w:r>
            <w:r w:rsidRPr="00E620F2">
              <w:rPr>
                <w:rFonts w:cs="Calibri"/>
                <w:sz w:val="18"/>
                <w:szCs w:val="18"/>
              </w:rPr>
              <w:t>Dominated</w:t>
            </w:r>
          </w:p>
          <w:p w14:paraId="0926B6E7" w14:textId="77777777" w:rsidR="000D17CE" w:rsidRPr="00E620F2" w:rsidRDefault="000D17CE">
            <w:pPr>
              <w:pStyle w:val="051Tabletext228pt"/>
              <w:shd w:val="clear" w:color="auto" w:fill="D9D9D9" w:themeFill="background1" w:themeFillShade="D9"/>
              <w:ind w:left="-57" w:right="-57"/>
              <w:rPr>
                <w:sz w:val="18"/>
                <w:szCs w:val="18"/>
              </w:rPr>
            </w:pPr>
            <w:r w:rsidRPr="00E620F2">
              <w:rPr>
                <w:sz w:val="18"/>
                <w:szCs w:val="18"/>
              </w:rPr>
              <w:t>Lifetime time horizon</w:t>
            </w:r>
          </w:p>
          <w:p w14:paraId="2D4363DB"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TO-MUS</w:t>
            </w:r>
            <w:r w:rsidRPr="00E620F2">
              <w:rPr>
                <w:sz w:val="18"/>
                <w:szCs w:val="18"/>
              </w:rPr>
              <w:br/>
            </w:r>
            <w:r w:rsidRPr="00E620F2">
              <w:rPr>
                <w:rFonts w:cs="Calibri"/>
                <w:sz w:val="18"/>
                <w:szCs w:val="18"/>
              </w:rPr>
              <w:t>Dominated</w:t>
            </w:r>
          </w:p>
          <w:p w14:paraId="0D5A9B48" w14:textId="77777777" w:rsidR="000D17CE" w:rsidRDefault="000D17CE">
            <w:pPr>
              <w:pStyle w:val="051Tabletext228pt"/>
              <w:ind w:left="-57" w:right="-57"/>
              <w:rPr>
                <w:sz w:val="18"/>
                <w:szCs w:val="18"/>
                <w:u w:val="single"/>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open </w:t>
            </w:r>
            <w:proofErr w:type="spellStart"/>
            <w:r w:rsidRPr="00E620F2">
              <w:rPr>
                <w:sz w:val="18"/>
                <w:szCs w:val="18"/>
                <w:u w:val="single"/>
              </w:rPr>
              <w:t>colpo</w:t>
            </w:r>
            <w:proofErr w:type="spellEnd"/>
            <w:r w:rsidRPr="00E620F2">
              <w:rPr>
                <w:sz w:val="18"/>
                <w:szCs w:val="18"/>
                <w:u w:val="single"/>
              </w:rPr>
              <w:t>.</w:t>
            </w:r>
            <w:r w:rsidRPr="00E620F2">
              <w:rPr>
                <w:sz w:val="18"/>
                <w:szCs w:val="18"/>
              </w:rPr>
              <w:br/>
            </w:r>
            <w:r w:rsidRPr="00E620F2">
              <w:rPr>
                <w:rFonts w:cs="Calibri"/>
                <w:sz w:val="18"/>
                <w:szCs w:val="18"/>
              </w:rPr>
              <w:t>Dominated</w:t>
            </w:r>
            <w:r w:rsidRPr="00E620F2">
              <w:rPr>
                <w:sz w:val="18"/>
                <w:szCs w:val="18"/>
                <w:u w:val="single"/>
              </w:rPr>
              <w:t xml:space="preserve"> </w:t>
            </w:r>
          </w:p>
          <w:p w14:paraId="6803E103" w14:textId="77777777" w:rsidR="000D17CE" w:rsidRDefault="000D17CE">
            <w:pPr>
              <w:pStyle w:val="051Tabletext228pt"/>
              <w:ind w:left="-57" w:right="-57"/>
              <w:rPr>
                <w:sz w:val="18"/>
                <w:szCs w:val="18"/>
                <w:u w:val="single"/>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w:t>
            </w:r>
            <w:r>
              <w:rPr>
                <w:sz w:val="18"/>
                <w:szCs w:val="18"/>
                <w:u w:val="single"/>
              </w:rPr>
              <w:t>lap</w:t>
            </w:r>
            <w:r w:rsidRPr="00E620F2">
              <w:rPr>
                <w:sz w:val="18"/>
                <w:szCs w:val="18"/>
                <w:u w:val="single"/>
              </w:rPr>
              <w:t xml:space="preserve"> </w:t>
            </w:r>
            <w:proofErr w:type="spellStart"/>
            <w:r w:rsidRPr="00E620F2">
              <w:rPr>
                <w:sz w:val="18"/>
                <w:szCs w:val="18"/>
                <w:u w:val="single"/>
              </w:rPr>
              <w:t>colpo</w:t>
            </w:r>
            <w:proofErr w:type="spellEnd"/>
            <w:r w:rsidRPr="00E620F2">
              <w:rPr>
                <w:sz w:val="18"/>
                <w:szCs w:val="18"/>
                <w:u w:val="single"/>
              </w:rPr>
              <w:t>.</w:t>
            </w:r>
          </w:p>
          <w:p w14:paraId="77DC1158" w14:textId="77777777" w:rsidR="000D17CE" w:rsidRPr="00E620F2" w:rsidRDefault="000D17CE">
            <w:pPr>
              <w:pStyle w:val="051Tabletext228pt"/>
              <w:ind w:left="-57" w:right="-57"/>
              <w:rPr>
                <w:sz w:val="18"/>
                <w:szCs w:val="18"/>
              </w:rPr>
            </w:pPr>
            <w:r w:rsidRPr="00E620F2">
              <w:rPr>
                <w:rFonts w:cs="Calibri"/>
                <w:sz w:val="18"/>
                <w:szCs w:val="18"/>
              </w:rPr>
              <w:t>Dominated</w:t>
            </w:r>
          </w:p>
          <w:p w14:paraId="50925454" w14:textId="77777777" w:rsidR="000D17CE" w:rsidRPr="00E620F2" w:rsidRDefault="000D17CE">
            <w:pPr>
              <w:pStyle w:val="051Tabletext228pt"/>
              <w:ind w:left="-57" w:right="-57"/>
              <w:rPr>
                <w:sz w:val="18"/>
                <w:szCs w:val="18"/>
              </w:rPr>
            </w:pPr>
            <w:r>
              <w:rPr>
                <w:sz w:val="18"/>
                <w:szCs w:val="18"/>
                <w:u w:val="single"/>
              </w:rPr>
              <w:t>RP-MUS</w:t>
            </w:r>
            <w:r w:rsidRPr="00E620F2">
              <w:rPr>
                <w:sz w:val="18"/>
                <w:szCs w:val="18"/>
                <w:u w:val="single"/>
              </w:rPr>
              <w:t xml:space="preserve"> v</w:t>
            </w:r>
            <w:r>
              <w:rPr>
                <w:sz w:val="18"/>
                <w:szCs w:val="18"/>
                <w:u w:val="single"/>
              </w:rPr>
              <w:t>s.</w:t>
            </w:r>
            <w:r w:rsidRPr="00E620F2">
              <w:rPr>
                <w:sz w:val="18"/>
                <w:szCs w:val="18"/>
                <w:u w:val="single"/>
              </w:rPr>
              <w:t xml:space="preserve"> bulking agents</w:t>
            </w:r>
            <w:r w:rsidRPr="00E620F2">
              <w:rPr>
                <w:sz w:val="18"/>
                <w:szCs w:val="18"/>
              </w:rPr>
              <w:br/>
            </w:r>
            <w:r w:rsidRPr="00E620F2">
              <w:rPr>
                <w:rFonts w:cs="Calibri"/>
                <w:sz w:val="18"/>
                <w:szCs w:val="18"/>
              </w:rPr>
              <w:t>Dominated</w:t>
            </w:r>
          </w:p>
        </w:tc>
        <w:tc>
          <w:tcPr>
            <w:tcW w:w="1350" w:type="dxa"/>
          </w:tcPr>
          <w:p w14:paraId="18BA01FF" w14:textId="77777777" w:rsidR="000D17CE" w:rsidRPr="00E620F2" w:rsidRDefault="000D17CE">
            <w:pPr>
              <w:pStyle w:val="051Tabletext228pt"/>
              <w:ind w:left="-57" w:right="-57"/>
              <w:rPr>
                <w:sz w:val="18"/>
                <w:szCs w:val="18"/>
              </w:rPr>
            </w:pPr>
            <w:r w:rsidRPr="00E620F2">
              <w:rPr>
                <w:sz w:val="18"/>
                <w:szCs w:val="18"/>
              </w:rPr>
              <w:t>Using (higher) mesh complication rates from Keltie 2017 makes no difference to CEA</w:t>
            </w:r>
            <w:r>
              <w:rPr>
                <w:sz w:val="18"/>
                <w:szCs w:val="18"/>
              </w:rPr>
              <w:t xml:space="preserve"> outcome</w:t>
            </w:r>
            <w:r w:rsidRPr="00E620F2">
              <w:rPr>
                <w:sz w:val="18"/>
                <w:szCs w:val="18"/>
              </w:rPr>
              <w:t xml:space="preserve">. </w:t>
            </w:r>
          </w:p>
          <w:p w14:paraId="32EB4132" w14:textId="77777777" w:rsidR="000D17CE" w:rsidRPr="00E620F2" w:rsidRDefault="000D17CE">
            <w:pPr>
              <w:pStyle w:val="051Tabletext228pt"/>
              <w:ind w:left="-57" w:right="-57"/>
              <w:rPr>
                <w:sz w:val="18"/>
                <w:szCs w:val="18"/>
              </w:rPr>
            </w:pPr>
            <w:r w:rsidRPr="00E620F2">
              <w:rPr>
                <w:sz w:val="18"/>
                <w:szCs w:val="18"/>
              </w:rPr>
              <w:t>If complication rate is 10% or 20%, sub-urethral sling is more cost-effective.</w:t>
            </w:r>
          </w:p>
        </w:tc>
        <w:tc>
          <w:tcPr>
            <w:tcW w:w="1178" w:type="dxa"/>
          </w:tcPr>
          <w:p w14:paraId="0630DF6D" w14:textId="77777777" w:rsidR="000D17CE" w:rsidRPr="00C358FF" w:rsidRDefault="000D17CE">
            <w:pPr>
              <w:pStyle w:val="051Tabletext228pt"/>
              <w:ind w:left="-57" w:right="-57"/>
              <w:rPr>
                <w:sz w:val="18"/>
                <w:szCs w:val="18"/>
              </w:rPr>
            </w:pPr>
            <w:r>
              <w:rPr>
                <w:sz w:val="18"/>
                <w:szCs w:val="18"/>
              </w:rPr>
              <w:t>RP-MUS</w:t>
            </w:r>
            <w:r w:rsidRPr="00E620F2">
              <w:rPr>
                <w:sz w:val="18"/>
                <w:szCs w:val="18"/>
              </w:rPr>
              <w:t xml:space="preserve"> is the most cost-effective over 10-yr and lifetime time horizons</w:t>
            </w:r>
            <w:r>
              <w:rPr>
                <w:sz w:val="18"/>
                <w:szCs w:val="18"/>
              </w:rPr>
              <w:t>.</w:t>
            </w:r>
          </w:p>
        </w:tc>
      </w:tr>
    </w:tbl>
    <w:p w14:paraId="18AE8727" w14:textId="67623A6E" w:rsidR="000D17CE" w:rsidRPr="00B0485F" w:rsidRDefault="000D17CE" w:rsidP="000D17CE">
      <w:pPr>
        <w:pStyle w:val="111Tablefootnoteslast-nostick8pt"/>
        <w:rPr>
          <w:lang w:val="en-AU"/>
        </w:rPr>
      </w:pPr>
      <w:r>
        <w:rPr>
          <w:lang w:val="en-AU"/>
        </w:rPr>
        <w:t xml:space="preserve">Abbreviations: CEA, cost-effectiveness analysis; GBP, Britain pound; </w:t>
      </w:r>
      <w:r w:rsidRPr="00B0485F">
        <w:rPr>
          <w:lang w:val="en-AU"/>
        </w:rPr>
        <w:t>ICER</w:t>
      </w:r>
      <w:r>
        <w:rPr>
          <w:lang w:val="en-AU"/>
        </w:rPr>
        <w:t>,</w:t>
      </w:r>
      <w:r w:rsidRPr="00B0485F">
        <w:rPr>
          <w:lang w:val="en-AU"/>
        </w:rPr>
        <w:t xml:space="preserve"> incremental cost-effectiveness ratio</w:t>
      </w:r>
      <w:r w:rsidRPr="00505465">
        <w:rPr>
          <w:lang w:val="en-AU"/>
        </w:rPr>
        <w:t xml:space="preserve">; lap </w:t>
      </w:r>
      <w:proofErr w:type="spellStart"/>
      <w:r w:rsidRPr="00505465">
        <w:rPr>
          <w:lang w:val="en-AU"/>
        </w:rPr>
        <w:t>colpo</w:t>
      </w:r>
      <w:proofErr w:type="spellEnd"/>
      <w:r w:rsidRPr="00505465">
        <w:rPr>
          <w:lang w:val="en-AU"/>
        </w:rPr>
        <w:t xml:space="preserve">, laparoscopic retropubic </w:t>
      </w:r>
      <w:proofErr w:type="spellStart"/>
      <w:r w:rsidRPr="00505465">
        <w:rPr>
          <w:lang w:val="en-AU"/>
        </w:rPr>
        <w:t>colposuspension</w:t>
      </w:r>
      <w:proofErr w:type="spellEnd"/>
      <w:r w:rsidRPr="00505465">
        <w:rPr>
          <w:lang w:val="en-AU"/>
        </w:rPr>
        <w:t xml:space="preserve">; open </w:t>
      </w:r>
      <w:proofErr w:type="spellStart"/>
      <w:r w:rsidRPr="00505465">
        <w:rPr>
          <w:lang w:val="en-AU"/>
        </w:rPr>
        <w:t>colpo</w:t>
      </w:r>
      <w:proofErr w:type="spellEnd"/>
      <w:r w:rsidRPr="00505465">
        <w:rPr>
          <w:lang w:val="en-AU"/>
        </w:rPr>
        <w:t xml:space="preserve">, open abdominal retropubic </w:t>
      </w:r>
      <w:proofErr w:type="spellStart"/>
      <w:r w:rsidRPr="00505465">
        <w:rPr>
          <w:lang w:val="en-AU"/>
        </w:rPr>
        <w:t>colposuspension</w:t>
      </w:r>
      <w:proofErr w:type="spellEnd"/>
      <w:r w:rsidRPr="00505465">
        <w:rPr>
          <w:lang w:val="en-AU"/>
        </w:rPr>
        <w:t xml:space="preserve">; MUS, mid-urethral sling; NR, not reported; </w:t>
      </w:r>
      <w:r>
        <w:rPr>
          <w:lang w:val="en-AU"/>
        </w:rPr>
        <w:t>RP-MUS</w:t>
      </w:r>
      <w:r w:rsidRPr="00505465">
        <w:rPr>
          <w:lang w:val="en-AU"/>
        </w:rPr>
        <w:t xml:space="preserve">, retropubic MUS; </w:t>
      </w:r>
      <w:r>
        <w:rPr>
          <w:lang w:val="en-AU"/>
        </w:rPr>
        <w:t>TO-MUS</w:t>
      </w:r>
      <w:r w:rsidRPr="00505465">
        <w:rPr>
          <w:lang w:val="en-AU"/>
        </w:rPr>
        <w:t xml:space="preserve">, </w:t>
      </w:r>
      <w:proofErr w:type="spellStart"/>
      <w:r w:rsidRPr="00505465">
        <w:rPr>
          <w:lang w:val="en-AU"/>
        </w:rPr>
        <w:t>transobturator</w:t>
      </w:r>
      <w:proofErr w:type="spellEnd"/>
      <w:r w:rsidRPr="00505465">
        <w:rPr>
          <w:lang w:val="en-AU"/>
        </w:rPr>
        <w:t xml:space="preserve"> MUS; </w:t>
      </w:r>
      <w:proofErr w:type="spellStart"/>
      <w:r w:rsidRPr="00505465">
        <w:rPr>
          <w:lang w:val="en-AU"/>
        </w:rPr>
        <w:t>yr</w:t>
      </w:r>
      <w:proofErr w:type="spellEnd"/>
      <w:r w:rsidRPr="00505465">
        <w:rPr>
          <w:lang w:val="en-AU"/>
        </w:rPr>
        <w:t>, year.</w:t>
      </w:r>
    </w:p>
    <w:p w14:paraId="75A45C9D" w14:textId="71FF04EF" w:rsidR="000D17CE" w:rsidRDefault="000D17CE" w:rsidP="000D17CE">
      <w:pPr>
        <w:pStyle w:val="BodyText"/>
      </w:pPr>
      <w:r w:rsidRPr="00B0485F">
        <w:lastRenderedPageBreak/>
        <w:t xml:space="preserve">Costs and QALYs were modelled over </w:t>
      </w:r>
      <w:r>
        <w:t>1-</w:t>
      </w:r>
      <w:r w:rsidRPr="00B0485F">
        <w:t>year, 10</w:t>
      </w:r>
      <w:r>
        <w:t>-</w:t>
      </w:r>
      <w:proofErr w:type="gramStart"/>
      <w:r w:rsidRPr="00B0485F">
        <w:t>year</w:t>
      </w:r>
      <w:proofErr w:type="gramEnd"/>
      <w:r w:rsidRPr="00B0485F">
        <w:t xml:space="preserve"> and lifetime horizons. The reference intervention for the </w:t>
      </w:r>
      <w:r>
        <w:t>1-</w:t>
      </w:r>
      <w:r w:rsidRPr="00B0485F">
        <w:t>year analysis was single incision mini-sling, which is out of scope for this work and as such only the 10</w:t>
      </w:r>
      <w:r>
        <w:t>-</w:t>
      </w:r>
      <w:r w:rsidRPr="00B0485F">
        <w:t xml:space="preserve">year and lifetime horizon analyses are reproduced here. </w:t>
      </w:r>
      <w:r>
        <w:t>RP-MUS</w:t>
      </w:r>
      <w:r w:rsidRPr="00B0485F">
        <w:t xml:space="preserve"> was the reference intervention for the other time horizon analyses as it was the most likely to be cost-effective. </w:t>
      </w:r>
      <w:r>
        <w:t xml:space="preserve">The authors conducted sensitivity analyses using a range of complication rates, including those reported in an 8-year study of 92,246 women </w:t>
      </w:r>
      <w:r w:rsidR="00245CE2">
        <w:rPr>
          <w:noProof/>
        </w:rPr>
        <w:t>(Keltie 2017)</w:t>
      </w:r>
      <w:r>
        <w:t>.</w:t>
      </w:r>
    </w:p>
    <w:p w14:paraId="3D81DC63" w14:textId="79944230" w:rsidR="000D17CE" w:rsidRDefault="000D17CE" w:rsidP="000D17CE">
      <w:pPr>
        <w:pStyle w:val="BodyText"/>
      </w:pPr>
      <w:r>
        <w:t xml:space="preserve">Over a 10-year time horizon, RP-MUS was found to be the dominant strategy (less costly and more effective than all other surgical interventions for the treatment of SUI) with a greater than 90% probability of being cost-effective at a </w:t>
      </w:r>
      <w:r>
        <w:rPr>
          <w:rFonts w:cs="Calibri"/>
        </w:rPr>
        <w:t>£</w:t>
      </w:r>
      <w:r>
        <w:t>20,000 willingness-to-pay threshold.</w:t>
      </w:r>
    </w:p>
    <w:p w14:paraId="39F0846D" w14:textId="77777777" w:rsidR="000D17CE" w:rsidRDefault="000D17CE" w:rsidP="000D17CE">
      <w:pPr>
        <w:pStyle w:val="BodyText"/>
      </w:pPr>
      <w:r>
        <w:t>Over a lifetime horizon, RP-MUS is also the dominant strategy over the relevant comparators. The traditional (</w:t>
      </w:r>
      <w:proofErr w:type="spellStart"/>
      <w:r>
        <w:t>suburethral</w:t>
      </w:r>
      <w:proofErr w:type="spellEnd"/>
      <w:r>
        <w:t xml:space="preserve">) sling is the only intervention not dominated by RP-MUS (ICER of </w:t>
      </w:r>
      <w:r>
        <w:rPr>
          <w:rFonts w:cs="Calibri"/>
        </w:rPr>
        <w:t>£</w:t>
      </w:r>
      <w:r>
        <w:t xml:space="preserve">45,340) and with a high probability of being cost-effective. Open </w:t>
      </w:r>
      <w:proofErr w:type="spellStart"/>
      <w:r>
        <w:t>colposuspension</w:t>
      </w:r>
      <w:proofErr w:type="spellEnd"/>
      <w:r>
        <w:t xml:space="preserve"> had a 6% probability of being cost-effective at a </w:t>
      </w:r>
      <w:r>
        <w:rPr>
          <w:rFonts w:cs="Calibri"/>
        </w:rPr>
        <w:t>£</w:t>
      </w:r>
      <w:r>
        <w:t>20,000 willingness-to-pay threshold.</w:t>
      </w:r>
    </w:p>
    <w:p w14:paraId="5B1527DB" w14:textId="77777777" w:rsidR="000D17CE" w:rsidRPr="00B0485F" w:rsidRDefault="000D17CE" w:rsidP="000D17CE">
      <w:pPr>
        <w:pStyle w:val="BodyText"/>
      </w:pPr>
      <w:r>
        <w:t>The authors note that the findings are largely driven by the low initial cost of RP-MUS as it is conducted in a day procedure and further that the results “should be interpreted with caution as the long-term performance of all surgical treatments in terms of both continence and unanticipated adverse effects is not reliably known.”</w:t>
      </w:r>
    </w:p>
    <w:p w14:paraId="2AE167B9" w14:textId="77777777" w:rsidR="00F26DC9" w:rsidRPr="00B0485F" w:rsidRDefault="00F26DC9" w:rsidP="00F26DC9">
      <w:pPr>
        <w:pStyle w:val="Heading4"/>
      </w:pPr>
      <w:r w:rsidRPr="00B0485F">
        <w:t>Kunkle (2015)</w:t>
      </w:r>
    </w:p>
    <w:p w14:paraId="2454E612" w14:textId="622D61F2" w:rsidR="00F26DC9" w:rsidRPr="00B0485F" w:rsidRDefault="00F26DC9" w:rsidP="00F26DC9">
      <w:pPr>
        <w:pStyle w:val="BodyText"/>
      </w:pPr>
      <w:r w:rsidRPr="00B0485F">
        <w:t xml:space="preserve">The characteristics of </w:t>
      </w:r>
      <w:r>
        <w:t xml:space="preserve">the economic analysis by </w:t>
      </w:r>
      <w:r w:rsidRPr="00B0485F">
        <w:t>Kunkle</w:t>
      </w:r>
      <w:r>
        <w:t xml:space="preserve"> and colleagues </w:t>
      </w:r>
      <w:r w:rsidR="00245CE2">
        <w:rPr>
          <w:noProof/>
        </w:rPr>
        <w:t>(Kunkle 2015)</w:t>
      </w:r>
      <w:r>
        <w:t xml:space="preserve"> </w:t>
      </w:r>
      <w:r w:rsidRPr="00B0485F">
        <w:t xml:space="preserve">are summarised in </w:t>
      </w:r>
      <w:r w:rsidRPr="00174842">
        <w:rPr>
          <w:b/>
          <w:bCs/>
        </w:rPr>
        <w:fldChar w:fldCharType="begin"/>
      </w:r>
      <w:r w:rsidRPr="00174842">
        <w:rPr>
          <w:b/>
          <w:bCs/>
        </w:rPr>
        <w:instrText xml:space="preserve"> REF _Ref129622406 \h  \* MERGEFORMAT </w:instrText>
      </w:r>
      <w:r w:rsidRPr="00174842">
        <w:rPr>
          <w:b/>
          <w:bCs/>
        </w:rPr>
      </w:r>
      <w:r w:rsidRPr="00174842">
        <w:rPr>
          <w:b/>
          <w:bCs/>
        </w:rPr>
        <w:fldChar w:fldCharType="separate"/>
      </w:r>
      <w:r w:rsidR="007105D3" w:rsidRPr="007105D3">
        <w:rPr>
          <w:b/>
          <w:bCs/>
        </w:rPr>
        <w:t xml:space="preserve">Table </w:t>
      </w:r>
      <w:r w:rsidR="007105D3" w:rsidRPr="007105D3">
        <w:rPr>
          <w:b/>
          <w:bCs/>
          <w:noProof/>
        </w:rPr>
        <w:t>18</w:t>
      </w:r>
      <w:r w:rsidRPr="00174842">
        <w:rPr>
          <w:b/>
          <w:bCs/>
        </w:rPr>
        <w:fldChar w:fldCharType="end"/>
      </w:r>
      <w:r w:rsidRPr="00B0485F">
        <w:t>. The studied comparator was</w:t>
      </w:r>
      <w:r>
        <w:t xml:space="preserve"> MUS</w:t>
      </w:r>
      <w:r w:rsidRPr="00B0485F">
        <w:t xml:space="preserve"> (</w:t>
      </w:r>
      <w:r>
        <w:t>both</w:t>
      </w:r>
      <w:r w:rsidRPr="00B0485F">
        <w:t xml:space="preserve"> </w:t>
      </w:r>
      <w:r>
        <w:t>RP</w:t>
      </w:r>
      <w:r w:rsidRPr="00B0485F">
        <w:t xml:space="preserve"> </w:t>
      </w:r>
      <w:r>
        <w:t>and</w:t>
      </w:r>
      <w:r w:rsidRPr="00B0485F">
        <w:t xml:space="preserve"> </w:t>
      </w:r>
      <w:r>
        <w:t>TO were acceptable</w:t>
      </w:r>
      <w:r w:rsidRPr="00B0485F">
        <w:t>).</w:t>
      </w:r>
    </w:p>
    <w:p w14:paraId="680B0D6A" w14:textId="6115F4E3" w:rsidR="00F26DC9" w:rsidRPr="00B0485F" w:rsidRDefault="00F26DC9" w:rsidP="00F26DC9">
      <w:pPr>
        <w:pStyle w:val="Caption"/>
      </w:pPr>
      <w:bookmarkStart w:id="114" w:name="_Ref129622406"/>
      <w:bookmarkStart w:id="115" w:name="_Toc132286052"/>
      <w:bookmarkStart w:id="116" w:name="_Toc165627886"/>
      <w:r w:rsidRPr="00B0485F">
        <w:t xml:space="preserve">Table </w:t>
      </w:r>
      <w:fldSimple w:instr=" SEQ Table \* ARABIC ">
        <w:r w:rsidR="007105D3">
          <w:rPr>
            <w:noProof/>
          </w:rPr>
          <w:t>18</w:t>
        </w:r>
      </w:fldSimple>
      <w:bookmarkEnd w:id="114"/>
      <w:r w:rsidRPr="00B0485F">
        <w:tab/>
        <w:t>Study characteristics of Kunkle (2015)</w:t>
      </w:r>
      <w:bookmarkEnd w:id="115"/>
      <w:bookmarkEnd w:id="11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tudy characteristics of Kunkle (2015)"/>
        <w:tblDescription w:val="This table shows the study characteristics of the Kunkle (2015) study including country, research question, perspective, time horizon, economic evaluation type, population, intervention, comparator, source of effectiveness inputs, funding and author conflicts of interest. "/>
      </w:tblPr>
      <w:tblGrid>
        <w:gridCol w:w="920"/>
        <w:gridCol w:w="1870"/>
        <w:gridCol w:w="1471"/>
        <w:gridCol w:w="1320"/>
        <w:gridCol w:w="1440"/>
        <w:gridCol w:w="1349"/>
        <w:gridCol w:w="1268"/>
      </w:tblGrid>
      <w:tr w:rsidR="00F26DC9" w:rsidRPr="00D40D4C" w14:paraId="2F39E868" w14:textId="77777777" w:rsidTr="00F53DDB">
        <w:trPr>
          <w:tblHeader/>
        </w:trPr>
        <w:tc>
          <w:tcPr>
            <w:tcW w:w="477" w:type="pct"/>
            <w:shd w:val="clear" w:color="auto" w:fill="BFBFBF"/>
          </w:tcPr>
          <w:p w14:paraId="0B0E8349" w14:textId="77777777" w:rsidR="00F26DC9" w:rsidRPr="00D40D4C" w:rsidRDefault="00F26DC9">
            <w:pPr>
              <w:pStyle w:val="011TableHeading8pt"/>
              <w:ind w:left="-57" w:right="57"/>
              <w:rPr>
                <w:sz w:val="18"/>
                <w:szCs w:val="24"/>
              </w:rPr>
            </w:pPr>
            <w:r w:rsidRPr="00D40D4C">
              <w:rPr>
                <w:sz w:val="18"/>
                <w:szCs w:val="24"/>
              </w:rPr>
              <w:t>Study ID</w:t>
            </w:r>
            <w:r w:rsidRPr="00D40D4C">
              <w:rPr>
                <w:sz w:val="18"/>
                <w:szCs w:val="24"/>
              </w:rPr>
              <w:br/>
              <w:t>Country</w:t>
            </w:r>
          </w:p>
        </w:tc>
        <w:tc>
          <w:tcPr>
            <w:tcW w:w="970" w:type="pct"/>
            <w:shd w:val="clear" w:color="auto" w:fill="BFBFBF"/>
          </w:tcPr>
          <w:p w14:paraId="46CF50F3" w14:textId="02585E07" w:rsidR="00F26DC9" w:rsidRPr="00D40D4C" w:rsidRDefault="00F26DC9">
            <w:pPr>
              <w:pStyle w:val="011TableHeading8pt"/>
              <w:ind w:left="-57" w:right="57"/>
              <w:rPr>
                <w:sz w:val="18"/>
                <w:szCs w:val="24"/>
              </w:rPr>
            </w:pPr>
            <w:r>
              <w:rPr>
                <w:sz w:val="18"/>
                <w:szCs w:val="24"/>
              </w:rPr>
              <w:t>R</w:t>
            </w:r>
            <w:r w:rsidRPr="00D40D4C">
              <w:rPr>
                <w:sz w:val="18"/>
                <w:szCs w:val="24"/>
              </w:rPr>
              <w:t>esearch question</w:t>
            </w:r>
          </w:p>
        </w:tc>
        <w:tc>
          <w:tcPr>
            <w:tcW w:w="763" w:type="pct"/>
            <w:shd w:val="clear" w:color="auto" w:fill="BFBFBF"/>
          </w:tcPr>
          <w:p w14:paraId="1A61546B" w14:textId="77777777" w:rsidR="00F26DC9" w:rsidRPr="00D40D4C" w:rsidRDefault="00F26DC9">
            <w:pPr>
              <w:pStyle w:val="011TableHeading8pt"/>
              <w:ind w:left="-57" w:right="57"/>
              <w:rPr>
                <w:sz w:val="18"/>
                <w:szCs w:val="24"/>
              </w:rPr>
            </w:pPr>
            <w:r w:rsidRPr="00D40D4C">
              <w:rPr>
                <w:sz w:val="18"/>
                <w:szCs w:val="24"/>
              </w:rPr>
              <w:t xml:space="preserve">Perspective </w:t>
            </w:r>
            <w:r w:rsidRPr="00D40D4C">
              <w:rPr>
                <w:sz w:val="18"/>
                <w:szCs w:val="24"/>
              </w:rPr>
              <w:br/>
              <w:t>Time horizon</w:t>
            </w:r>
            <w:r w:rsidRPr="00D40D4C">
              <w:rPr>
                <w:sz w:val="18"/>
                <w:szCs w:val="24"/>
              </w:rPr>
              <w:br/>
              <w:t>EE type</w:t>
            </w:r>
          </w:p>
        </w:tc>
        <w:tc>
          <w:tcPr>
            <w:tcW w:w="685" w:type="pct"/>
            <w:shd w:val="clear" w:color="auto" w:fill="BFBFBF"/>
          </w:tcPr>
          <w:p w14:paraId="22F0540E" w14:textId="77777777" w:rsidR="00F26DC9" w:rsidRPr="00D40D4C" w:rsidRDefault="00F26DC9">
            <w:pPr>
              <w:pStyle w:val="011TableHeading8pt"/>
              <w:ind w:left="-57" w:right="57"/>
              <w:rPr>
                <w:sz w:val="18"/>
                <w:szCs w:val="24"/>
              </w:rPr>
            </w:pPr>
            <w:r w:rsidRPr="00D40D4C">
              <w:rPr>
                <w:sz w:val="18"/>
                <w:szCs w:val="24"/>
              </w:rPr>
              <w:t>Population</w:t>
            </w:r>
          </w:p>
        </w:tc>
        <w:tc>
          <w:tcPr>
            <w:tcW w:w="747" w:type="pct"/>
            <w:shd w:val="clear" w:color="auto" w:fill="BFBFBF"/>
          </w:tcPr>
          <w:p w14:paraId="78D565FD" w14:textId="77777777" w:rsidR="00F26DC9" w:rsidRPr="00D40D4C" w:rsidRDefault="00F26DC9">
            <w:pPr>
              <w:pStyle w:val="011TableHeading8pt"/>
              <w:ind w:left="-57" w:right="57"/>
              <w:rPr>
                <w:sz w:val="18"/>
                <w:szCs w:val="24"/>
              </w:rPr>
            </w:pPr>
            <w:r w:rsidRPr="00D40D4C">
              <w:rPr>
                <w:sz w:val="18"/>
                <w:szCs w:val="24"/>
              </w:rPr>
              <w:t>Intervention</w:t>
            </w:r>
            <w:r>
              <w:rPr>
                <w:sz w:val="18"/>
                <w:szCs w:val="24"/>
                <w:vertAlign w:val="superscript"/>
              </w:rPr>
              <w:t>1</w:t>
            </w:r>
            <w:r w:rsidRPr="00D40D4C">
              <w:rPr>
                <w:sz w:val="18"/>
                <w:szCs w:val="24"/>
              </w:rPr>
              <w:br/>
              <w:t>Comparator</w:t>
            </w:r>
          </w:p>
        </w:tc>
        <w:tc>
          <w:tcPr>
            <w:tcW w:w="700" w:type="pct"/>
            <w:shd w:val="clear" w:color="auto" w:fill="BFBFBF"/>
          </w:tcPr>
          <w:p w14:paraId="2DB69100" w14:textId="77777777" w:rsidR="00F26DC9" w:rsidRPr="00D40D4C" w:rsidRDefault="00F26DC9">
            <w:pPr>
              <w:pStyle w:val="011TableHeading8pt"/>
              <w:ind w:left="-57" w:right="57"/>
              <w:rPr>
                <w:sz w:val="18"/>
                <w:szCs w:val="24"/>
              </w:rPr>
            </w:pPr>
            <w:r w:rsidRPr="00D40D4C">
              <w:rPr>
                <w:sz w:val="18"/>
                <w:szCs w:val="24"/>
              </w:rPr>
              <w:t>Source of effectiveness inputs</w:t>
            </w:r>
          </w:p>
        </w:tc>
        <w:tc>
          <w:tcPr>
            <w:tcW w:w="658" w:type="pct"/>
            <w:shd w:val="clear" w:color="auto" w:fill="BFBFBF"/>
          </w:tcPr>
          <w:p w14:paraId="4FE56AAA" w14:textId="77777777" w:rsidR="00F26DC9" w:rsidRPr="00D40D4C" w:rsidRDefault="00F26DC9">
            <w:pPr>
              <w:pStyle w:val="011TableHeading8pt"/>
              <w:ind w:left="-57" w:right="57"/>
              <w:rPr>
                <w:sz w:val="18"/>
                <w:szCs w:val="24"/>
              </w:rPr>
            </w:pPr>
            <w:r w:rsidRPr="00D40D4C">
              <w:rPr>
                <w:sz w:val="18"/>
                <w:szCs w:val="24"/>
              </w:rPr>
              <w:t>Funding</w:t>
            </w:r>
            <w:r w:rsidRPr="00D40D4C">
              <w:rPr>
                <w:sz w:val="18"/>
                <w:szCs w:val="24"/>
              </w:rPr>
              <w:br/>
              <w:t>Author COIs</w:t>
            </w:r>
          </w:p>
        </w:tc>
      </w:tr>
      <w:tr w:rsidR="00F26DC9" w:rsidRPr="00D40D4C" w14:paraId="6483CBE1" w14:textId="77777777" w:rsidTr="00F53DDB">
        <w:tc>
          <w:tcPr>
            <w:tcW w:w="477" w:type="pct"/>
            <w:shd w:val="clear" w:color="auto" w:fill="auto"/>
          </w:tcPr>
          <w:p w14:paraId="5B959FCB" w14:textId="77777777" w:rsidR="00F26DC9" w:rsidRPr="00D40D4C" w:rsidRDefault="00F26DC9">
            <w:pPr>
              <w:pStyle w:val="051Tabletext228pt"/>
              <w:ind w:left="-57" w:right="57"/>
              <w:rPr>
                <w:sz w:val="18"/>
                <w:szCs w:val="24"/>
              </w:rPr>
            </w:pPr>
            <w:r w:rsidRPr="00D40D4C">
              <w:rPr>
                <w:sz w:val="18"/>
                <w:szCs w:val="24"/>
              </w:rPr>
              <w:t>Kunkle 2015</w:t>
            </w:r>
            <w:r w:rsidRPr="00D40D4C">
              <w:rPr>
                <w:sz w:val="18"/>
                <w:szCs w:val="24"/>
              </w:rPr>
              <w:br/>
              <w:t>USA</w:t>
            </w:r>
          </w:p>
        </w:tc>
        <w:tc>
          <w:tcPr>
            <w:tcW w:w="970" w:type="pct"/>
          </w:tcPr>
          <w:p w14:paraId="661B927B" w14:textId="77777777" w:rsidR="00F26DC9" w:rsidRPr="00D40D4C" w:rsidRDefault="00F26DC9">
            <w:pPr>
              <w:pStyle w:val="051Tabletext228pt"/>
              <w:ind w:left="-57" w:right="57"/>
              <w:rPr>
                <w:sz w:val="18"/>
                <w:szCs w:val="24"/>
              </w:rPr>
            </w:pPr>
            <w:r w:rsidRPr="00D40D4C">
              <w:rPr>
                <w:sz w:val="18"/>
                <w:szCs w:val="24"/>
              </w:rPr>
              <w:t xml:space="preserve">What is the cost utility of urethral bulking agents compared with MUS in </w:t>
            </w:r>
            <w:r>
              <w:rPr>
                <w:sz w:val="18"/>
                <w:szCs w:val="24"/>
              </w:rPr>
              <w:t xml:space="preserve">the </w:t>
            </w:r>
            <w:r w:rsidRPr="00D40D4C">
              <w:rPr>
                <w:sz w:val="18"/>
                <w:szCs w:val="24"/>
              </w:rPr>
              <w:t>treatment of SUI?</w:t>
            </w:r>
          </w:p>
        </w:tc>
        <w:tc>
          <w:tcPr>
            <w:tcW w:w="763" w:type="pct"/>
            <w:shd w:val="clear" w:color="auto" w:fill="auto"/>
          </w:tcPr>
          <w:p w14:paraId="4ACF693A" w14:textId="69D5B204" w:rsidR="00F26DC9" w:rsidRPr="00D40D4C" w:rsidRDefault="00F26DC9">
            <w:pPr>
              <w:pStyle w:val="051Tabletext228pt"/>
              <w:ind w:left="-57" w:right="57"/>
              <w:rPr>
                <w:sz w:val="18"/>
                <w:szCs w:val="24"/>
              </w:rPr>
            </w:pPr>
            <w:r>
              <w:rPr>
                <w:sz w:val="18"/>
                <w:szCs w:val="24"/>
              </w:rPr>
              <w:t>US h</w:t>
            </w:r>
            <w:r w:rsidRPr="00D40D4C">
              <w:rPr>
                <w:sz w:val="18"/>
                <w:szCs w:val="24"/>
              </w:rPr>
              <w:t>ealth</w:t>
            </w:r>
            <w:r>
              <w:rPr>
                <w:sz w:val="18"/>
                <w:szCs w:val="24"/>
              </w:rPr>
              <w:t xml:space="preserve"> </w:t>
            </w:r>
            <w:r w:rsidRPr="00D40D4C">
              <w:rPr>
                <w:sz w:val="18"/>
                <w:szCs w:val="24"/>
              </w:rPr>
              <w:t>care</w:t>
            </w:r>
            <w:r w:rsidRPr="00D40D4C">
              <w:rPr>
                <w:sz w:val="18"/>
                <w:szCs w:val="24"/>
              </w:rPr>
              <w:br/>
              <w:t xml:space="preserve">1 </w:t>
            </w:r>
            <w:proofErr w:type="spellStart"/>
            <w:r w:rsidRPr="00D40D4C">
              <w:rPr>
                <w:sz w:val="18"/>
                <w:szCs w:val="24"/>
              </w:rPr>
              <w:t>yr</w:t>
            </w:r>
            <w:proofErr w:type="spellEnd"/>
            <w:r w:rsidRPr="00D40D4C">
              <w:rPr>
                <w:sz w:val="18"/>
                <w:szCs w:val="24"/>
              </w:rPr>
              <w:br/>
            </w:r>
            <w:r>
              <w:rPr>
                <w:sz w:val="18"/>
                <w:szCs w:val="24"/>
              </w:rPr>
              <w:t xml:space="preserve">CUA: </w:t>
            </w:r>
            <w:r w:rsidRPr="00A64633">
              <w:rPr>
                <w:sz w:val="18"/>
                <w:szCs w:val="24"/>
              </w:rPr>
              <w:t>Decision analytic model</w:t>
            </w:r>
            <w:r>
              <w:rPr>
                <w:sz w:val="18"/>
                <w:szCs w:val="24"/>
              </w:rPr>
              <w:t xml:space="preserve"> (+Monte Carlo simulation); 2013 costs</w:t>
            </w:r>
          </w:p>
        </w:tc>
        <w:tc>
          <w:tcPr>
            <w:tcW w:w="685" w:type="pct"/>
          </w:tcPr>
          <w:p w14:paraId="1204A92B" w14:textId="77777777" w:rsidR="00F26DC9" w:rsidRPr="00D40D4C" w:rsidRDefault="00F26DC9">
            <w:pPr>
              <w:pStyle w:val="051Tabletext228pt"/>
              <w:ind w:left="-57" w:right="57"/>
              <w:rPr>
                <w:sz w:val="18"/>
                <w:szCs w:val="24"/>
                <w:highlight w:val="yellow"/>
              </w:rPr>
            </w:pPr>
            <w:r w:rsidRPr="00D40D4C">
              <w:rPr>
                <w:sz w:val="18"/>
                <w:szCs w:val="24"/>
              </w:rPr>
              <w:t>SUI without urethral hypermobility</w:t>
            </w:r>
          </w:p>
        </w:tc>
        <w:tc>
          <w:tcPr>
            <w:tcW w:w="747" w:type="pct"/>
          </w:tcPr>
          <w:p w14:paraId="57DA9AF4" w14:textId="77777777" w:rsidR="00F26DC9" w:rsidRPr="00D40D4C" w:rsidRDefault="00F26DC9">
            <w:pPr>
              <w:pStyle w:val="051Tabletext228pt"/>
              <w:ind w:left="-57" w:right="57"/>
              <w:rPr>
                <w:sz w:val="18"/>
                <w:szCs w:val="24"/>
              </w:rPr>
            </w:pPr>
            <w:r w:rsidRPr="00D40D4C">
              <w:rPr>
                <w:sz w:val="18"/>
                <w:szCs w:val="24"/>
              </w:rPr>
              <w:t>Bulking agents</w:t>
            </w:r>
          </w:p>
          <w:p w14:paraId="787775A7" w14:textId="77777777" w:rsidR="00F26DC9" w:rsidRPr="00D40D4C" w:rsidRDefault="00F26DC9">
            <w:pPr>
              <w:pStyle w:val="051Tabletext228pt"/>
              <w:ind w:left="-57" w:right="57"/>
              <w:rPr>
                <w:sz w:val="18"/>
                <w:szCs w:val="24"/>
                <w:highlight w:val="yellow"/>
              </w:rPr>
            </w:pPr>
            <w:r w:rsidRPr="00D40D4C">
              <w:rPr>
                <w:sz w:val="18"/>
                <w:szCs w:val="24"/>
              </w:rPr>
              <w:t>MUS</w:t>
            </w:r>
          </w:p>
        </w:tc>
        <w:tc>
          <w:tcPr>
            <w:tcW w:w="700" w:type="pct"/>
          </w:tcPr>
          <w:p w14:paraId="19E980E8" w14:textId="77777777" w:rsidR="00F26DC9" w:rsidRPr="00D40D4C" w:rsidRDefault="00F26DC9">
            <w:pPr>
              <w:pStyle w:val="051Tabletext228pt"/>
              <w:ind w:left="-57" w:right="57"/>
              <w:rPr>
                <w:sz w:val="18"/>
                <w:szCs w:val="24"/>
              </w:rPr>
            </w:pPr>
            <w:r w:rsidRPr="00D40D4C">
              <w:rPr>
                <w:sz w:val="18"/>
                <w:szCs w:val="24"/>
              </w:rPr>
              <w:t>RCTs identified by literature search</w:t>
            </w:r>
          </w:p>
        </w:tc>
        <w:tc>
          <w:tcPr>
            <w:tcW w:w="658" w:type="pct"/>
            <w:shd w:val="clear" w:color="auto" w:fill="auto"/>
          </w:tcPr>
          <w:p w14:paraId="2E02F3DD" w14:textId="77777777" w:rsidR="00F26DC9" w:rsidRPr="00D40D4C" w:rsidRDefault="00F26DC9">
            <w:pPr>
              <w:pStyle w:val="051Tabletext228pt"/>
              <w:ind w:left="-57" w:right="57"/>
              <w:rPr>
                <w:sz w:val="18"/>
                <w:szCs w:val="24"/>
              </w:rPr>
            </w:pPr>
            <w:r w:rsidRPr="00D40D4C">
              <w:rPr>
                <w:sz w:val="18"/>
                <w:szCs w:val="24"/>
              </w:rPr>
              <w:t>NR</w:t>
            </w:r>
          </w:p>
          <w:p w14:paraId="425225E0" w14:textId="77777777" w:rsidR="00F26DC9" w:rsidRPr="00D40D4C" w:rsidRDefault="00F26DC9">
            <w:pPr>
              <w:pStyle w:val="051Tabletext228pt"/>
              <w:ind w:left="-57" w:right="57"/>
              <w:rPr>
                <w:sz w:val="18"/>
                <w:szCs w:val="24"/>
              </w:rPr>
            </w:pPr>
            <w:r w:rsidRPr="00D40D4C">
              <w:rPr>
                <w:sz w:val="18"/>
                <w:szCs w:val="24"/>
              </w:rPr>
              <w:t>Conflicts: none</w:t>
            </w:r>
          </w:p>
        </w:tc>
      </w:tr>
    </w:tbl>
    <w:p w14:paraId="4A1E5AD9" w14:textId="6B75A8ED" w:rsidR="00F82527" w:rsidRPr="00F82527" w:rsidRDefault="00F82527" w:rsidP="00F82527">
      <w:pPr>
        <w:pStyle w:val="111Tablefootnoteslast-nostick8pt"/>
        <w:spacing w:after="0"/>
      </w:pPr>
      <w:r w:rsidRPr="00F82527">
        <w:t xml:space="preserve">Abbreviations: COI, conflict of interest; CUA, cost-utility analysis; EE, economic evaluation; MUS, mid-urethral sling; NR, not reported; RCT, randomised controlled trial; SUI, stress urinary incontinence; USA, United States of America; </w:t>
      </w:r>
      <w:proofErr w:type="spellStart"/>
      <w:r w:rsidRPr="00F82527">
        <w:t>yr</w:t>
      </w:r>
      <w:proofErr w:type="spellEnd"/>
      <w:r w:rsidRPr="00F82527">
        <w:t>, year.</w:t>
      </w:r>
    </w:p>
    <w:p w14:paraId="2F3157D9" w14:textId="2E488A3F" w:rsidR="00F26DC9" w:rsidRPr="00F82527" w:rsidRDefault="00F26DC9" w:rsidP="00F82527">
      <w:pPr>
        <w:pStyle w:val="111Tablefootnoteslast-nostick8pt"/>
      </w:pPr>
      <w:r w:rsidRPr="00067C52">
        <w:rPr>
          <w:vertAlign w:val="superscript"/>
        </w:rPr>
        <w:t>1</w:t>
      </w:r>
      <w:r w:rsidRPr="00F82527">
        <w:t xml:space="preserve"> Bulking </w:t>
      </w:r>
      <w:proofErr w:type="gramStart"/>
      <w:r w:rsidRPr="00F82527">
        <w:t>agents</w:t>
      </w:r>
      <w:proofErr w:type="gramEnd"/>
      <w:r w:rsidRPr="00F82527">
        <w:t xml:space="preserve"> cited: calcium </w:t>
      </w:r>
      <w:proofErr w:type="spellStart"/>
      <w:r w:rsidRPr="00F82527">
        <w:t>hydroxylapatite</w:t>
      </w:r>
      <w:proofErr w:type="spellEnd"/>
      <w:r w:rsidRPr="00F82527">
        <w:t xml:space="preserve"> particles (</w:t>
      </w:r>
      <w:proofErr w:type="spellStart"/>
      <w:r w:rsidRPr="00F82527">
        <w:t>Coaptite</w:t>
      </w:r>
      <w:proofErr w:type="spellEnd"/>
      <w:r w:rsidRPr="00F82527">
        <w:t xml:space="preserve">; </w:t>
      </w:r>
      <w:proofErr w:type="spellStart"/>
      <w:r w:rsidRPr="00F82527">
        <w:t>Bioform</w:t>
      </w:r>
      <w:proofErr w:type="spellEnd"/>
      <w:r w:rsidRPr="00F82527">
        <w:t>, San Mateo, Calif), polydimethylsiloxane (</w:t>
      </w:r>
      <w:proofErr w:type="spellStart"/>
      <w:r w:rsidRPr="00F82527">
        <w:t>Macroplastique</w:t>
      </w:r>
      <w:proofErr w:type="spellEnd"/>
      <w:r w:rsidRPr="00F82527">
        <w:t xml:space="preserve">; </w:t>
      </w:r>
      <w:proofErr w:type="spellStart"/>
      <w:r w:rsidRPr="00F82527">
        <w:t>Uroplasty</w:t>
      </w:r>
      <w:proofErr w:type="spellEnd"/>
      <w:r w:rsidRPr="00F82527">
        <w:t>, Minneapolis, Minn), and pyrolytic carbon-coated zirconium oxide beads (</w:t>
      </w:r>
      <w:proofErr w:type="spellStart"/>
      <w:r w:rsidRPr="00F82527">
        <w:t>Durasphere</w:t>
      </w:r>
      <w:proofErr w:type="spellEnd"/>
      <w:r w:rsidRPr="00F82527">
        <w:t xml:space="preserve">; Advanced </w:t>
      </w:r>
      <w:proofErr w:type="spellStart"/>
      <w:r w:rsidRPr="00F82527">
        <w:t>UroScience</w:t>
      </w:r>
      <w:proofErr w:type="spellEnd"/>
      <w:r w:rsidRPr="00F82527">
        <w:t xml:space="preserve"> Inc, St Paul, Minn)</w:t>
      </w:r>
    </w:p>
    <w:p w14:paraId="17243479" w14:textId="25633A8C" w:rsidR="00F26DC9" w:rsidRPr="009722C4" w:rsidRDefault="00F26DC9" w:rsidP="00F26DC9">
      <w:pPr>
        <w:pStyle w:val="BodyText"/>
      </w:pPr>
      <w:r w:rsidRPr="00B0485F">
        <w:t xml:space="preserve">The target population, SUI </w:t>
      </w:r>
      <w:r w:rsidRPr="006D71FC">
        <w:rPr>
          <w:i/>
          <w:iCs/>
        </w:rPr>
        <w:t>without</w:t>
      </w:r>
      <w:r w:rsidRPr="00B0485F">
        <w:t xml:space="preserve"> urethral hypermobility, </w:t>
      </w:r>
      <w:r>
        <w:t>was chosen</w:t>
      </w:r>
      <w:r w:rsidRPr="00B0485F">
        <w:t xml:space="preserve"> as a subset where bulking agents have been </w:t>
      </w:r>
      <w:r>
        <w:t xml:space="preserve">found </w:t>
      </w:r>
      <w:r w:rsidRPr="00B0485F">
        <w:t>effective</w:t>
      </w:r>
      <w:r>
        <w:t xml:space="preserve">, according to the American Urological Association </w:t>
      </w:r>
      <w:r w:rsidR="00245CE2">
        <w:rPr>
          <w:noProof/>
        </w:rPr>
        <w:t>(Dmochowski 2010)</w:t>
      </w:r>
      <w:r w:rsidRPr="00B0485F">
        <w:t>.</w:t>
      </w:r>
    </w:p>
    <w:p w14:paraId="62FDD228" w14:textId="77777777" w:rsidR="00F26DC9" w:rsidRPr="00B0485F" w:rsidRDefault="00F26DC9" w:rsidP="00F26DC9">
      <w:pPr>
        <w:pStyle w:val="Heading5"/>
      </w:pPr>
      <w:r w:rsidRPr="00B0485F">
        <w:t>Findings</w:t>
      </w:r>
    </w:p>
    <w:p w14:paraId="3E743E52" w14:textId="1722AB3E" w:rsidR="00F26DC9" w:rsidRDefault="00F26DC9" w:rsidP="00F26DC9">
      <w:pPr>
        <w:pStyle w:val="BodyText"/>
      </w:pPr>
      <w:r w:rsidRPr="00B0485F">
        <w:t xml:space="preserve">The findings of the </w:t>
      </w:r>
      <w:r w:rsidRPr="00B0485F" w:rsidDel="00902FFD">
        <w:t>cost</w:t>
      </w:r>
      <w:r>
        <w:t>-utility</w:t>
      </w:r>
      <w:r w:rsidRPr="00B0485F">
        <w:t xml:space="preserve"> analysis are presented in </w:t>
      </w:r>
      <w:r w:rsidRPr="004B3FCF">
        <w:rPr>
          <w:b/>
          <w:bCs/>
        </w:rPr>
        <w:fldChar w:fldCharType="begin"/>
      </w:r>
      <w:r w:rsidRPr="004B3FCF">
        <w:rPr>
          <w:b/>
          <w:bCs/>
        </w:rPr>
        <w:instrText xml:space="preserve"> REF _Ref129622905 \h  \* MERGEFORMAT </w:instrText>
      </w:r>
      <w:r w:rsidRPr="004B3FCF">
        <w:rPr>
          <w:b/>
          <w:bCs/>
        </w:rPr>
      </w:r>
      <w:r w:rsidRPr="004B3FCF">
        <w:rPr>
          <w:b/>
          <w:bCs/>
        </w:rPr>
        <w:fldChar w:fldCharType="separate"/>
      </w:r>
      <w:r w:rsidR="007105D3" w:rsidRPr="007105D3">
        <w:rPr>
          <w:b/>
          <w:bCs/>
        </w:rPr>
        <w:t xml:space="preserve">Table </w:t>
      </w:r>
      <w:r w:rsidR="007105D3" w:rsidRPr="007105D3">
        <w:rPr>
          <w:b/>
          <w:bCs/>
          <w:noProof/>
        </w:rPr>
        <w:t>19</w:t>
      </w:r>
      <w:r w:rsidRPr="004B3FCF">
        <w:rPr>
          <w:b/>
          <w:bCs/>
        </w:rPr>
        <w:fldChar w:fldCharType="end"/>
      </w:r>
      <w:r w:rsidRPr="00B1665A">
        <w:t xml:space="preserve">, from </w:t>
      </w:r>
      <w:r w:rsidRPr="00676FCC">
        <w:t>a US health care perspective</w:t>
      </w:r>
      <w:r w:rsidRPr="00B0485F">
        <w:t xml:space="preserve">. The authors reported the </w:t>
      </w:r>
      <w:r>
        <w:t>incremental cost-effectiveness ratio (</w:t>
      </w:r>
      <w:r w:rsidRPr="00B0485F">
        <w:t>ICER</w:t>
      </w:r>
      <w:r>
        <w:t>)</w:t>
      </w:r>
      <w:r w:rsidRPr="00B0485F">
        <w:t xml:space="preserve"> defined as the marginal cost per utility gained, per 100 women treated in a hypothetical population.</w:t>
      </w:r>
    </w:p>
    <w:p w14:paraId="0C8797F3" w14:textId="176DDC0E" w:rsidR="00F26DC9" w:rsidRPr="00B0485F" w:rsidRDefault="00F26DC9" w:rsidP="00F26DC9">
      <w:pPr>
        <w:pStyle w:val="Caption"/>
      </w:pPr>
      <w:bookmarkStart w:id="117" w:name="_Ref129622905"/>
      <w:bookmarkStart w:id="118" w:name="_Toc132286053"/>
      <w:bookmarkStart w:id="119" w:name="_Toc165627887"/>
      <w:r w:rsidRPr="00B0485F">
        <w:lastRenderedPageBreak/>
        <w:t xml:space="preserve">Table </w:t>
      </w:r>
      <w:fldSimple w:instr=" SEQ Table \* ARABIC ">
        <w:r w:rsidR="007105D3">
          <w:rPr>
            <w:noProof/>
          </w:rPr>
          <w:t>19</w:t>
        </w:r>
      </w:fldSimple>
      <w:bookmarkEnd w:id="117"/>
      <w:r w:rsidRPr="00B0485F">
        <w:tab/>
        <w:t>Outcomes of Kunkle (2015)</w:t>
      </w:r>
      <w:bookmarkEnd w:id="118"/>
      <w:r>
        <w:t xml:space="preserve"> – at 1 year</w:t>
      </w:r>
      <w:bookmarkEnd w:id="119"/>
    </w:p>
    <w:tbl>
      <w:tblPr>
        <w:tblStyle w:val="TableGrid"/>
        <w:tblW w:w="5000" w:type="pct"/>
        <w:tblLook w:val="04A0" w:firstRow="1" w:lastRow="0" w:firstColumn="1" w:lastColumn="0" w:noHBand="0" w:noVBand="1"/>
        <w:tblCaption w:val="Outcomes of Kunkle (2015) at 1 year"/>
        <w:tblDescription w:val="This table shows the outcomes of the Kunkle (2015) study at 1 year including effectiveness (utility gained), costs, cost/utility gained (ICER), sensitivity analysis and conclusion. "/>
      </w:tblPr>
      <w:tblGrid>
        <w:gridCol w:w="901"/>
        <w:gridCol w:w="1800"/>
        <w:gridCol w:w="2070"/>
        <w:gridCol w:w="1619"/>
        <w:gridCol w:w="1710"/>
        <w:gridCol w:w="1538"/>
      </w:tblGrid>
      <w:tr w:rsidR="00F26DC9" w:rsidRPr="00D40D4C" w14:paraId="257C1C81" w14:textId="77777777">
        <w:trPr>
          <w:cnfStyle w:val="100000000000" w:firstRow="1" w:lastRow="0" w:firstColumn="0" w:lastColumn="0" w:oddVBand="0" w:evenVBand="0" w:oddHBand="0" w:evenHBand="0" w:firstRowFirstColumn="0" w:firstRowLastColumn="0" w:lastRowFirstColumn="0" w:lastRowLastColumn="0"/>
        </w:trPr>
        <w:tc>
          <w:tcPr>
            <w:tcW w:w="467" w:type="pct"/>
          </w:tcPr>
          <w:p w14:paraId="48DCF5AE" w14:textId="77777777" w:rsidR="00F26DC9" w:rsidRPr="00D40D4C" w:rsidRDefault="00F26DC9">
            <w:pPr>
              <w:pStyle w:val="011TableHeading8pt"/>
              <w:ind w:left="-57" w:right="-57"/>
              <w:rPr>
                <w:sz w:val="18"/>
                <w:szCs w:val="24"/>
              </w:rPr>
            </w:pPr>
            <w:r w:rsidRPr="00D40D4C">
              <w:rPr>
                <w:sz w:val="18"/>
                <w:szCs w:val="24"/>
              </w:rPr>
              <w:t>Study ID</w:t>
            </w:r>
          </w:p>
        </w:tc>
        <w:tc>
          <w:tcPr>
            <w:tcW w:w="934" w:type="pct"/>
          </w:tcPr>
          <w:p w14:paraId="5FC9FB16" w14:textId="058ACC9D" w:rsidR="00F26DC9" w:rsidRPr="00D40D4C" w:rsidRDefault="00F26DC9">
            <w:pPr>
              <w:pStyle w:val="011TableHeading8pt"/>
              <w:ind w:left="-57" w:right="-57"/>
              <w:rPr>
                <w:sz w:val="18"/>
                <w:szCs w:val="24"/>
              </w:rPr>
            </w:pPr>
            <w:r>
              <w:rPr>
                <w:sz w:val="18"/>
                <w:szCs w:val="24"/>
              </w:rPr>
              <w:t>E</w:t>
            </w:r>
            <w:r w:rsidRPr="00D40D4C">
              <w:rPr>
                <w:sz w:val="18"/>
                <w:szCs w:val="24"/>
              </w:rPr>
              <w:t>ffectiveness</w:t>
            </w:r>
            <w:r>
              <w:rPr>
                <w:sz w:val="18"/>
                <w:szCs w:val="24"/>
              </w:rPr>
              <w:t xml:space="preserve"> (utility gained)</w:t>
            </w:r>
          </w:p>
        </w:tc>
        <w:tc>
          <w:tcPr>
            <w:tcW w:w="1074" w:type="pct"/>
          </w:tcPr>
          <w:p w14:paraId="62B263E4" w14:textId="6BF795FD" w:rsidR="00F26DC9" w:rsidRPr="00D40D4C" w:rsidRDefault="00F26DC9">
            <w:pPr>
              <w:pStyle w:val="011TableHeading8pt"/>
              <w:ind w:left="-57" w:right="-57"/>
              <w:rPr>
                <w:sz w:val="18"/>
                <w:szCs w:val="24"/>
              </w:rPr>
            </w:pPr>
            <w:r>
              <w:rPr>
                <w:sz w:val="18"/>
                <w:szCs w:val="24"/>
              </w:rPr>
              <w:t>C</w:t>
            </w:r>
            <w:r w:rsidRPr="00D40D4C">
              <w:rPr>
                <w:sz w:val="18"/>
                <w:szCs w:val="24"/>
              </w:rPr>
              <w:t>ost</w:t>
            </w:r>
            <w:r>
              <w:rPr>
                <w:sz w:val="18"/>
                <w:szCs w:val="24"/>
              </w:rPr>
              <w:t xml:space="preserve"> (USD)</w:t>
            </w:r>
          </w:p>
        </w:tc>
        <w:tc>
          <w:tcPr>
            <w:tcW w:w="840" w:type="pct"/>
          </w:tcPr>
          <w:p w14:paraId="70AF070E" w14:textId="1441FF47" w:rsidR="00F26DC9" w:rsidRPr="00D40D4C" w:rsidRDefault="00F26DC9">
            <w:pPr>
              <w:pStyle w:val="011TableHeading8pt"/>
              <w:ind w:left="-57" w:right="-57"/>
              <w:rPr>
                <w:sz w:val="18"/>
                <w:szCs w:val="24"/>
              </w:rPr>
            </w:pPr>
            <w:r>
              <w:rPr>
                <w:sz w:val="18"/>
                <w:szCs w:val="24"/>
              </w:rPr>
              <w:t>Cost/utility gained</w:t>
            </w:r>
            <w:r>
              <w:rPr>
                <w:sz w:val="18"/>
                <w:szCs w:val="24"/>
              </w:rPr>
              <w:br/>
            </w:r>
            <w:r w:rsidRPr="00D40D4C">
              <w:rPr>
                <w:sz w:val="18"/>
                <w:szCs w:val="24"/>
              </w:rPr>
              <w:t>ICER</w:t>
            </w:r>
          </w:p>
        </w:tc>
        <w:tc>
          <w:tcPr>
            <w:tcW w:w="887" w:type="pct"/>
          </w:tcPr>
          <w:p w14:paraId="05AE8D24" w14:textId="77777777" w:rsidR="00F26DC9" w:rsidRPr="00D40D4C" w:rsidRDefault="00F26DC9">
            <w:pPr>
              <w:pStyle w:val="011TableHeading8pt"/>
              <w:ind w:left="-57" w:right="-57"/>
              <w:rPr>
                <w:sz w:val="18"/>
                <w:szCs w:val="24"/>
              </w:rPr>
            </w:pPr>
            <w:r w:rsidRPr="00D40D4C">
              <w:rPr>
                <w:sz w:val="18"/>
                <w:szCs w:val="24"/>
              </w:rPr>
              <w:t>Sensitivity analysis</w:t>
            </w:r>
          </w:p>
        </w:tc>
        <w:tc>
          <w:tcPr>
            <w:tcW w:w="798" w:type="pct"/>
          </w:tcPr>
          <w:p w14:paraId="146944AB" w14:textId="77777777" w:rsidR="00F26DC9" w:rsidRPr="00D40D4C" w:rsidRDefault="00F26DC9">
            <w:pPr>
              <w:pStyle w:val="011TableHeading8pt"/>
              <w:ind w:left="-57" w:right="-57"/>
              <w:rPr>
                <w:sz w:val="18"/>
                <w:szCs w:val="24"/>
              </w:rPr>
            </w:pPr>
            <w:r w:rsidRPr="00D40D4C">
              <w:rPr>
                <w:sz w:val="18"/>
                <w:szCs w:val="24"/>
              </w:rPr>
              <w:t>Conclusion</w:t>
            </w:r>
          </w:p>
        </w:tc>
      </w:tr>
      <w:tr w:rsidR="00F26DC9" w:rsidRPr="00D40D4C" w14:paraId="10E9DA33" w14:textId="77777777">
        <w:tc>
          <w:tcPr>
            <w:tcW w:w="467" w:type="pct"/>
          </w:tcPr>
          <w:p w14:paraId="255E462D" w14:textId="77777777" w:rsidR="00F26DC9" w:rsidRPr="00D40D4C" w:rsidRDefault="00F26DC9">
            <w:pPr>
              <w:pStyle w:val="051Tabletext228pt"/>
              <w:ind w:left="-57" w:right="-57"/>
              <w:rPr>
                <w:sz w:val="18"/>
                <w:szCs w:val="24"/>
              </w:rPr>
            </w:pPr>
            <w:r w:rsidRPr="00D40D4C">
              <w:rPr>
                <w:sz w:val="18"/>
                <w:szCs w:val="24"/>
              </w:rPr>
              <w:t>Kunkle 2015</w:t>
            </w:r>
            <w:r w:rsidRPr="00D40D4C">
              <w:rPr>
                <w:sz w:val="18"/>
                <w:szCs w:val="24"/>
              </w:rPr>
              <w:br/>
              <w:t>USA</w:t>
            </w:r>
          </w:p>
        </w:tc>
        <w:tc>
          <w:tcPr>
            <w:tcW w:w="934" w:type="pct"/>
          </w:tcPr>
          <w:p w14:paraId="2CB6E080" w14:textId="3E3A0505" w:rsidR="00F26DC9" w:rsidRPr="001819D0" w:rsidRDefault="00F26DC9">
            <w:pPr>
              <w:pStyle w:val="051Tabletext228pt"/>
              <w:ind w:left="-57" w:right="-57"/>
              <w:rPr>
                <w:sz w:val="18"/>
                <w:szCs w:val="24"/>
              </w:rPr>
            </w:pPr>
            <w:r w:rsidRPr="00D40D4C">
              <w:rPr>
                <w:sz w:val="18"/>
                <w:szCs w:val="24"/>
              </w:rPr>
              <w:t xml:space="preserve">MUS: </w:t>
            </w:r>
            <w:r w:rsidRPr="001819D0">
              <w:rPr>
                <w:sz w:val="18"/>
                <w:szCs w:val="24"/>
              </w:rPr>
              <w:t>NR</w:t>
            </w:r>
            <w:r>
              <w:rPr>
                <w:sz w:val="18"/>
                <w:szCs w:val="24"/>
                <w:u w:val="single"/>
              </w:rPr>
              <w:br/>
            </w:r>
            <w:r w:rsidRPr="001819D0">
              <w:rPr>
                <w:sz w:val="18"/>
                <w:szCs w:val="24"/>
              </w:rPr>
              <w:t>Bulking agents: NR</w:t>
            </w:r>
          </w:p>
          <w:p w14:paraId="7ECF5228" w14:textId="776A1E6D" w:rsidR="00F26DC9" w:rsidRPr="00D40D4C" w:rsidRDefault="00F26DC9">
            <w:pPr>
              <w:pStyle w:val="051Tabletext228pt"/>
              <w:ind w:left="-57" w:right="-57"/>
              <w:rPr>
                <w:sz w:val="18"/>
                <w:szCs w:val="24"/>
              </w:rPr>
            </w:pPr>
            <w:r>
              <w:rPr>
                <w:sz w:val="18"/>
                <w:szCs w:val="24"/>
              </w:rPr>
              <w:t>Incremental</w:t>
            </w:r>
            <w:r w:rsidRPr="001819D0">
              <w:rPr>
                <w:sz w:val="18"/>
                <w:szCs w:val="24"/>
              </w:rPr>
              <w:t>:</w:t>
            </w:r>
            <w:r w:rsidRPr="00AE1684">
              <w:rPr>
                <w:sz w:val="18"/>
                <w:szCs w:val="24"/>
              </w:rPr>
              <w:t xml:space="preserve"> </w:t>
            </w:r>
            <w:r w:rsidRPr="00D40D4C">
              <w:rPr>
                <w:sz w:val="18"/>
                <w:szCs w:val="24"/>
              </w:rPr>
              <w:t>6.2%</w:t>
            </w:r>
          </w:p>
        </w:tc>
        <w:tc>
          <w:tcPr>
            <w:tcW w:w="1074" w:type="pct"/>
          </w:tcPr>
          <w:p w14:paraId="728FC98E" w14:textId="77777777" w:rsidR="00F26DC9" w:rsidRPr="001819D0" w:rsidRDefault="00F26DC9">
            <w:pPr>
              <w:pStyle w:val="051Tabletext228pt"/>
              <w:ind w:left="-57" w:right="-57"/>
              <w:rPr>
                <w:sz w:val="18"/>
                <w:szCs w:val="24"/>
              </w:rPr>
            </w:pPr>
            <w:r w:rsidRPr="00D40D4C">
              <w:rPr>
                <w:sz w:val="18"/>
                <w:szCs w:val="24"/>
              </w:rPr>
              <w:t xml:space="preserve">MUS: </w:t>
            </w:r>
            <w:r>
              <w:rPr>
                <w:sz w:val="18"/>
                <w:szCs w:val="24"/>
              </w:rPr>
              <w:t>NR</w:t>
            </w:r>
            <w:r>
              <w:rPr>
                <w:sz w:val="18"/>
                <w:szCs w:val="24"/>
              </w:rPr>
              <w:br/>
            </w:r>
            <w:r w:rsidRPr="001819D0">
              <w:rPr>
                <w:sz w:val="18"/>
                <w:szCs w:val="24"/>
              </w:rPr>
              <w:t>Bulking agents: NR</w:t>
            </w:r>
          </w:p>
          <w:p w14:paraId="113444B3" w14:textId="3D1E3668" w:rsidR="00F26DC9" w:rsidRPr="00D40D4C" w:rsidRDefault="00F26DC9">
            <w:pPr>
              <w:pStyle w:val="051Tabletext228pt"/>
              <w:ind w:left="-57" w:right="-57"/>
              <w:rPr>
                <w:sz w:val="18"/>
                <w:szCs w:val="24"/>
              </w:rPr>
            </w:pPr>
            <w:r>
              <w:rPr>
                <w:sz w:val="18"/>
                <w:szCs w:val="24"/>
              </w:rPr>
              <w:t>Incremental</w:t>
            </w:r>
            <w:r w:rsidRPr="00D40D4C">
              <w:rPr>
                <w:sz w:val="18"/>
                <w:szCs w:val="24"/>
              </w:rPr>
              <w:t>: $436,465</w:t>
            </w:r>
          </w:p>
        </w:tc>
        <w:tc>
          <w:tcPr>
            <w:tcW w:w="840" w:type="pct"/>
          </w:tcPr>
          <w:p w14:paraId="1D3C4119" w14:textId="77777777" w:rsidR="00F26DC9" w:rsidRDefault="00F26DC9">
            <w:pPr>
              <w:pStyle w:val="051Tabletext228pt"/>
              <w:ind w:left="-57" w:right="-57"/>
              <w:rPr>
                <w:sz w:val="18"/>
                <w:szCs w:val="24"/>
              </w:rPr>
            </w:pPr>
            <w:r w:rsidRPr="00D40D4C">
              <w:rPr>
                <w:sz w:val="18"/>
                <w:szCs w:val="24"/>
              </w:rPr>
              <w:t xml:space="preserve">MUS: </w:t>
            </w:r>
            <w:r>
              <w:rPr>
                <w:sz w:val="18"/>
                <w:szCs w:val="24"/>
              </w:rPr>
              <w:t>NR</w:t>
            </w:r>
            <w:r>
              <w:rPr>
                <w:sz w:val="18"/>
                <w:szCs w:val="24"/>
              </w:rPr>
              <w:br/>
            </w:r>
            <w:r w:rsidRPr="001819D0">
              <w:rPr>
                <w:sz w:val="18"/>
                <w:szCs w:val="24"/>
              </w:rPr>
              <w:t>Bulking agents: NR</w:t>
            </w:r>
          </w:p>
          <w:p w14:paraId="2B9A2D28" w14:textId="77777777" w:rsidR="00F26DC9" w:rsidRPr="00D40D4C" w:rsidRDefault="00F26DC9">
            <w:pPr>
              <w:pStyle w:val="051Tabletext228pt"/>
              <w:ind w:left="-57" w:right="-57"/>
              <w:rPr>
                <w:sz w:val="18"/>
                <w:szCs w:val="24"/>
                <w:highlight w:val="yellow"/>
              </w:rPr>
            </w:pPr>
            <w:r w:rsidRPr="00D40D4C">
              <w:rPr>
                <w:sz w:val="18"/>
                <w:szCs w:val="24"/>
              </w:rPr>
              <w:t>ICER: $70,400</w:t>
            </w:r>
            <w:r>
              <w:rPr>
                <w:sz w:val="18"/>
                <w:szCs w:val="24"/>
              </w:rPr>
              <w:t>/</w:t>
            </w:r>
            <w:r w:rsidRPr="00D40D4C">
              <w:rPr>
                <w:sz w:val="18"/>
                <w:szCs w:val="24"/>
              </w:rPr>
              <w:t xml:space="preserve"> utility gained</w:t>
            </w:r>
          </w:p>
        </w:tc>
        <w:tc>
          <w:tcPr>
            <w:tcW w:w="887" w:type="pct"/>
          </w:tcPr>
          <w:p w14:paraId="54C31F89" w14:textId="4B1A0288" w:rsidR="00F26DC9" w:rsidRDefault="00F26DC9">
            <w:pPr>
              <w:pStyle w:val="051Tabletext228pt"/>
              <w:ind w:left="-57" w:right="-57"/>
              <w:rPr>
                <w:sz w:val="18"/>
                <w:szCs w:val="24"/>
              </w:rPr>
            </w:pPr>
            <w:r w:rsidRPr="00FE522D">
              <w:rPr>
                <w:sz w:val="18"/>
                <w:szCs w:val="24"/>
              </w:rPr>
              <w:t xml:space="preserve">MUS </w:t>
            </w:r>
            <w:r>
              <w:rPr>
                <w:sz w:val="18"/>
                <w:szCs w:val="24"/>
              </w:rPr>
              <w:t>&lt;</w:t>
            </w:r>
            <w:r w:rsidRPr="00FE522D">
              <w:rPr>
                <w:sz w:val="18"/>
                <w:szCs w:val="24"/>
              </w:rPr>
              <w:t>$5</w:t>
            </w:r>
            <w:r>
              <w:rPr>
                <w:sz w:val="18"/>
                <w:szCs w:val="24"/>
              </w:rPr>
              <w:t>,</w:t>
            </w:r>
            <w:r w:rsidRPr="00FE522D">
              <w:rPr>
                <w:sz w:val="18"/>
                <w:szCs w:val="24"/>
              </w:rPr>
              <w:t>132 i</w:t>
            </w:r>
            <w:r>
              <w:rPr>
                <w:sz w:val="18"/>
                <w:szCs w:val="24"/>
              </w:rPr>
              <w:t>s</w:t>
            </w:r>
            <w:r w:rsidRPr="00FE522D">
              <w:rPr>
                <w:sz w:val="18"/>
                <w:szCs w:val="24"/>
              </w:rPr>
              <w:t xml:space="preserve"> cost-effective </w:t>
            </w:r>
            <w:r>
              <w:rPr>
                <w:sz w:val="18"/>
                <w:szCs w:val="24"/>
              </w:rPr>
              <w:t>1</w:t>
            </w:r>
            <w:r w:rsidRPr="00FE522D">
              <w:rPr>
                <w:sz w:val="18"/>
                <w:szCs w:val="24"/>
                <w:vertAlign w:val="superscript"/>
              </w:rPr>
              <w:t>st</w:t>
            </w:r>
            <w:r>
              <w:rPr>
                <w:sz w:val="18"/>
                <w:szCs w:val="24"/>
              </w:rPr>
              <w:t xml:space="preserve"> </w:t>
            </w:r>
            <w:r w:rsidRPr="00FE522D">
              <w:rPr>
                <w:sz w:val="18"/>
                <w:szCs w:val="24"/>
              </w:rPr>
              <w:t>line treatment</w:t>
            </w:r>
            <w:r>
              <w:rPr>
                <w:sz w:val="18"/>
                <w:szCs w:val="24"/>
              </w:rPr>
              <w:t xml:space="preserve"> </w:t>
            </w:r>
          </w:p>
          <w:p w14:paraId="5C9DB9F6" w14:textId="6BF596CD" w:rsidR="00F26DC9" w:rsidRPr="00D40D4C" w:rsidRDefault="00F26DC9">
            <w:pPr>
              <w:pStyle w:val="051Tabletext228pt"/>
              <w:ind w:left="-57" w:right="-57"/>
              <w:rPr>
                <w:sz w:val="18"/>
                <w:szCs w:val="24"/>
                <w:highlight w:val="cyan"/>
              </w:rPr>
            </w:pPr>
            <w:r>
              <w:rPr>
                <w:sz w:val="18"/>
                <w:szCs w:val="24"/>
              </w:rPr>
              <w:t>MUS</w:t>
            </w:r>
            <w:r w:rsidRPr="00FE522D">
              <w:rPr>
                <w:sz w:val="18"/>
                <w:szCs w:val="24"/>
              </w:rPr>
              <w:t xml:space="preserve"> </w:t>
            </w:r>
            <w:r>
              <w:rPr>
                <w:sz w:val="18"/>
                <w:szCs w:val="24"/>
              </w:rPr>
              <w:t>&lt;</w:t>
            </w:r>
            <w:r w:rsidRPr="00FE522D">
              <w:rPr>
                <w:sz w:val="18"/>
                <w:szCs w:val="24"/>
              </w:rPr>
              <w:t>$2035 is cost saving</w:t>
            </w:r>
          </w:p>
        </w:tc>
        <w:tc>
          <w:tcPr>
            <w:tcW w:w="798" w:type="pct"/>
          </w:tcPr>
          <w:p w14:paraId="29F4017D" w14:textId="77777777" w:rsidR="00F26DC9" w:rsidRPr="00000B3F" w:rsidRDefault="00F26DC9">
            <w:pPr>
              <w:pStyle w:val="051Tabletext228pt"/>
              <w:ind w:left="-57" w:right="-57"/>
              <w:rPr>
                <w:sz w:val="18"/>
                <w:szCs w:val="24"/>
              </w:rPr>
            </w:pPr>
            <w:r w:rsidRPr="00000B3F">
              <w:rPr>
                <w:sz w:val="18"/>
                <w:szCs w:val="24"/>
              </w:rPr>
              <w:t>Bulking agents are cost-effective in 47.6% of scenarios compared to &lt;1% for MUS at a $USD50,000 WTP threshold</w:t>
            </w:r>
          </w:p>
        </w:tc>
      </w:tr>
    </w:tbl>
    <w:p w14:paraId="76649C6F" w14:textId="31217AFF" w:rsidR="00F26DC9" w:rsidRPr="00B0485F" w:rsidRDefault="00F26DC9" w:rsidP="00F26DC9">
      <w:pPr>
        <w:pStyle w:val="111Tablefootnoteslast-nostick8pt"/>
        <w:rPr>
          <w:lang w:val="en-AU"/>
        </w:rPr>
      </w:pPr>
      <w:r>
        <w:rPr>
          <w:lang w:val="en-AU"/>
        </w:rPr>
        <w:t xml:space="preserve">Abbreviations: </w:t>
      </w:r>
      <w:r w:rsidRPr="00B0485F">
        <w:rPr>
          <w:lang w:val="en-AU"/>
        </w:rPr>
        <w:t>ICER</w:t>
      </w:r>
      <w:r>
        <w:rPr>
          <w:lang w:val="en-AU"/>
        </w:rPr>
        <w:t>,</w:t>
      </w:r>
      <w:r w:rsidRPr="00B0485F">
        <w:rPr>
          <w:lang w:val="en-AU"/>
        </w:rPr>
        <w:t xml:space="preserve"> incremental cost-effectiveness ratio; MUS</w:t>
      </w:r>
      <w:r>
        <w:rPr>
          <w:lang w:val="en-AU"/>
        </w:rPr>
        <w:t xml:space="preserve">, </w:t>
      </w:r>
      <w:r w:rsidRPr="00B0485F">
        <w:rPr>
          <w:lang w:val="en-AU"/>
        </w:rPr>
        <w:t>mid-urethral sling; NR</w:t>
      </w:r>
      <w:r>
        <w:rPr>
          <w:lang w:val="en-AU"/>
        </w:rPr>
        <w:t>,</w:t>
      </w:r>
      <w:r w:rsidRPr="00B0485F">
        <w:rPr>
          <w:lang w:val="en-AU"/>
        </w:rPr>
        <w:t xml:space="preserve"> not reported; SUI</w:t>
      </w:r>
      <w:r>
        <w:rPr>
          <w:lang w:val="en-AU"/>
        </w:rPr>
        <w:t>,</w:t>
      </w:r>
      <w:r w:rsidRPr="00B0485F">
        <w:rPr>
          <w:lang w:val="en-AU"/>
        </w:rPr>
        <w:t xml:space="preserve"> stress urinary incontinence; </w:t>
      </w:r>
      <w:r>
        <w:rPr>
          <w:lang w:val="en-AU"/>
        </w:rPr>
        <w:t xml:space="preserve">USD, US dollars; WTP, willingness to pay (cost-effectiveness threshold); </w:t>
      </w:r>
      <w:proofErr w:type="spellStart"/>
      <w:r w:rsidRPr="00B0485F">
        <w:rPr>
          <w:lang w:val="en-AU"/>
        </w:rPr>
        <w:t>yr</w:t>
      </w:r>
      <w:proofErr w:type="spellEnd"/>
      <w:r>
        <w:rPr>
          <w:lang w:val="en-AU"/>
        </w:rPr>
        <w:t>,</w:t>
      </w:r>
      <w:r w:rsidRPr="00B0485F">
        <w:rPr>
          <w:lang w:val="en-AU"/>
        </w:rPr>
        <w:t xml:space="preserve"> year.</w:t>
      </w:r>
    </w:p>
    <w:p w14:paraId="0CD23A39" w14:textId="5DF15BD3" w:rsidR="00F26DC9" w:rsidRPr="00B0485F" w:rsidRDefault="00F26DC9" w:rsidP="00F26DC9">
      <w:pPr>
        <w:pStyle w:val="BodyText"/>
      </w:pPr>
      <w:r w:rsidRPr="00B0485F">
        <w:t xml:space="preserve">As well as studying probabilities and costs set at base case values, a range </w:t>
      </w:r>
      <w:r>
        <w:t xml:space="preserve">for each </w:t>
      </w:r>
      <w:r w:rsidRPr="00B0485F">
        <w:t xml:space="preserve">was nominated as inputs for one-way and two-way sensitivity analyses. Results of base case and sensitivity analyses were not reported in any </w:t>
      </w:r>
      <w:proofErr w:type="gramStart"/>
      <w:r w:rsidRPr="00B0485F">
        <w:t>detail</w:t>
      </w:r>
      <w:proofErr w:type="gramEnd"/>
      <w:r w:rsidRPr="00B0485F">
        <w:t xml:space="preserve"> </w:t>
      </w:r>
      <w:r>
        <w:t>so</w:t>
      </w:r>
      <w:r w:rsidRPr="00B0485F">
        <w:t xml:space="preserve"> it was not possible to explore the values reported. </w:t>
      </w:r>
      <w:r>
        <w:t>The initial cost of MUS was US$6,397 and bulking agents was US$1,374.</w:t>
      </w:r>
    </w:p>
    <w:p w14:paraId="781065C2" w14:textId="5AC19F72" w:rsidR="00F26DC9" w:rsidRPr="00B0485F" w:rsidRDefault="00F26DC9" w:rsidP="00F26DC9">
      <w:pPr>
        <w:pStyle w:val="BodyText"/>
      </w:pPr>
      <w:r w:rsidRPr="00B0485F">
        <w:t>The model gave an ICER of $70,400 per utility gained for</w:t>
      </w:r>
      <w:r>
        <w:t xml:space="preserve"> MUS</w:t>
      </w:r>
      <w:r w:rsidRPr="00B0485F">
        <w:t xml:space="preserve"> versus bulking agents. The authors assumed a willingness</w:t>
      </w:r>
      <w:r>
        <w:t>-</w:t>
      </w:r>
      <w:r w:rsidRPr="00B0485F">
        <w:t>to</w:t>
      </w:r>
      <w:r>
        <w:t>-</w:t>
      </w:r>
      <w:r w:rsidRPr="00B0485F">
        <w:t>pay threshold of $50,000 and concluded that</w:t>
      </w:r>
      <w:r>
        <w:t xml:space="preserve"> MUS are</w:t>
      </w:r>
      <w:r w:rsidRPr="00B0485F">
        <w:t xml:space="preserve"> not cost-effective as a first-line treatment for their hypothetical population</w:t>
      </w:r>
      <w:r>
        <w:t xml:space="preserve"> compared with bulking agents</w:t>
      </w:r>
      <w:r w:rsidRPr="00B0485F">
        <w:t xml:space="preserve">. </w:t>
      </w:r>
      <w:r>
        <w:t>The authors note the outcome is for initial treatment and findings may differ over a longer time horizon.</w:t>
      </w:r>
    </w:p>
    <w:p w14:paraId="6FECE77F" w14:textId="77777777" w:rsidR="00F26DC9" w:rsidRPr="00B0485F" w:rsidRDefault="00F26DC9" w:rsidP="00F26DC9">
      <w:pPr>
        <w:pStyle w:val="Heading4"/>
      </w:pPr>
      <w:proofErr w:type="spellStart"/>
      <w:r w:rsidRPr="00B0485F">
        <w:t>Seklehner</w:t>
      </w:r>
      <w:proofErr w:type="spellEnd"/>
      <w:r w:rsidRPr="00B0485F">
        <w:t xml:space="preserve"> (2014)</w:t>
      </w:r>
    </w:p>
    <w:p w14:paraId="6E79E852" w14:textId="2CAB88B4" w:rsidR="00F26DC9" w:rsidRPr="00B0485F" w:rsidRDefault="00F26DC9" w:rsidP="00F26DC9">
      <w:pPr>
        <w:pStyle w:val="BodyText"/>
      </w:pPr>
      <w:r w:rsidRPr="00E620F2">
        <w:t>The</w:t>
      </w:r>
      <w:r w:rsidRPr="00E620F2" w:rsidDel="00AB2730">
        <w:t xml:space="preserve"> </w:t>
      </w:r>
      <w:r w:rsidRPr="00E620F2">
        <w:t xml:space="preserve">characteristics of </w:t>
      </w:r>
      <w:r>
        <w:t xml:space="preserve">the economic analysis by </w:t>
      </w:r>
      <w:proofErr w:type="spellStart"/>
      <w:r w:rsidRPr="00E620F2">
        <w:t>Seklehner</w:t>
      </w:r>
      <w:proofErr w:type="spellEnd"/>
      <w:r>
        <w:t xml:space="preserve"> and colleagues</w:t>
      </w:r>
      <w:r w:rsidRPr="00E620F2">
        <w:t xml:space="preserve"> </w:t>
      </w:r>
      <w:r w:rsidR="00245CE2">
        <w:rPr>
          <w:noProof/>
        </w:rPr>
        <w:t>(Seklehner 2014)</w:t>
      </w:r>
      <w:r>
        <w:t xml:space="preserve"> </w:t>
      </w:r>
      <w:r w:rsidRPr="00E620F2">
        <w:t xml:space="preserve">are summarised in </w:t>
      </w:r>
      <w:r w:rsidRPr="00F12F0F">
        <w:rPr>
          <w:b/>
          <w:bCs/>
        </w:rPr>
        <w:fldChar w:fldCharType="begin"/>
      </w:r>
      <w:r w:rsidRPr="00F12F0F">
        <w:rPr>
          <w:b/>
          <w:bCs/>
        </w:rPr>
        <w:instrText xml:space="preserve"> REF _Ref131582370 \h </w:instrText>
      </w:r>
      <w:r>
        <w:rPr>
          <w:b/>
          <w:bCs/>
        </w:rPr>
        <w:instrText xml:space="preserve"> \* MERGEFORMAT </w:instrText>
      </w:r>
      <w:r w:rsidRPr="00F12F0F">
        <w:rPr>
          <w:b/>
          <w:bCs/>
        </w:rPr>
      </w:r>
      <w:r w:rsidRPr="00F12F0F">
        <w:rPr>
          <w:b/>
          <w:bCs/>
        </w:rPr>
        <w:fldChar w:fldCharType="separate"/>
      </w:r>
      <w:r w:rsidR="007105D3" w:rsidRPr="007105D3">
        <w:rPr>
          <w:b/>
          <w:bCs/>
        </w:rPr>
        <w:t xml:space="preserve">Table </w:t>
      </w:r>
      <w:r w:rsidR="007105D3" w:rsidRPr="007105D3">
        <w:rPr>
          <w:b/>
          <w:bCs/>
          <w:noProof/>
        </w:rPr>
        <w:t>20</w:t>
      </w:r>
      <w:r w:rsidRPr="00F12F0F">
        <w:rPr>
          <w:b/>
          <w:bCs/>
        </w:rPr>
        <w:fldChar w:fldCharType="end"/>
      </w:r>
      <w:r w:rsidRPr="00E620F2">
        <w:t>.</w:t>
      </w:r>
      <w:r>
        <w:t xml:space="preserve"> The authors compared MUS implanted via the two different approaches, RP or TO.</w:t>
      </w:r>
    </w:p>
    <w:p w14:paraId="55D2954A" w14:textId="351CA5BF" w:rsidR="00F26DC9" w:rsidRPr="00B0485F" w:rsidRDefault="00F26DC9" w:rsidP="00F26DC9">
      <w:pPr>
        <w:pStyle w:val="Caption"/>
      </w:pPr>
      <w:bookmarkStart w:id="120" w:name="_Ref131582370"/>
      <w:bookmarkStart w:id="121" w:name="_Toc132286050"/>
      <w:bookmarkStart w:id="122" w:name="_Toc165627888"/>
      <w:r w:rsidRPr="00B0485F">
        <w:t xml:space="preserve">Table </w:t>
      </w:r>
      <w:fldSimple w:instr=" SEQ Table \* ARABIC ">
        <w:r w:rsidR="007105D3">
          <w:rPr>
            <w:noProof/>
          </w:rPr>
          <w:t>20</w:t>
        </w:r>
      </w:fldSimple>
      <w:bookmarkEnd w:id="120"/>
      <w:r w:rsidRPr="00B0485F">
        <w:tab/>
        <w:t xml:space="preserve">Study characteristics of </w:t>
      </w:r>
      <w:proofErr w:type="spellStart"/>
      <w:r w:rsidRPr="00B0485F">
        <w:t>Seklehner</w:t>
      </w:r>
      <w:proofErr w:type="spellEnd"/>
      <w:r w:rsidRPr="00B0485F">
        <w:t xml:space="preserve"> (2014)</w:t>
      </w:r>
      <w:bookmarkEnd w:id="121"/>
      <w:bookmarkEnd w:id="12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tudy characteristics of Seklehner (2014)"/>
        <w:tblDescription w:val="This table shows the study characteristics of the Seklehner (2014) study including country, research question, perspective, time horizon, economic evaluation type, population, intervention, comparator, source of effectiveness inputs, funding and author conflicts of interest. "/>
      </w:tblPr>
      <w:tblGrid>
        <w:gridCol w:w="918"/>
        <w:gridCol w:w="1783"/>
        <w:gridCol w:w="1872"/>
        <w:gridCol w:w="1351"/>
        <w:gridCol w:w="1185"/>
        <w:gridCol w:w="1263"/>
        <w:gridCol w:w="1266"/>
      </w:tblGrid>
      <w:tr w:rsidR="00F26DC9" w:rsidRPr="00D40D4C" w14:paraId="10FC1132" w14:textId="77777777" w:rsidTr="00B377F9">
        <w:trPr>
          <w:tblHeader/>
        </w:trPr>
        <w:tc>
          <w:tcPr>
            <w:tcW w:w="476" w:type="pct"/>
            <w:shd w:val="clear" w:color="auto" w:fill="BFBFBF"/>
          </w:tcPr>
          <w:p w14:paraId="0AB60955" w14:textId="77777777" w:rsidR="00F26DC9" w:rsidRPr="00D40D4C" w:rsidRDefault="00F26DC9">
            <w:pPr>
              <w:pStyle w:val="011TableHeading8pt"/>
              <w:keepNext/>
              <w:ind w:left="-57" w:right="-57"/>
              <w:rPr>
                <w:sz w:val="18"/>
                <w:szCs w:val="24"/>
              </w:rPr>
            </w:pPr>
            <w:r w:rsidRPr="00D40D4C">
              <w:rPr>
                <w:sz w:val="18"/>
                <w:szCs w:val="24"/>
              </w:rPr>
              <w:t>Study ID</w:t>
            </w:r>
            <w:r w:rsidRPr="00D40D4C">
              <w:rPr>
                <w:sz w:val="18"/>
                <w:szCs w:val="24"/>
              </w:rPr>
              <w:br/>
              <w:t>Country</w:t>
            </w:r>
          </w:p>
        </w:tc>
        <w:tc>
          <w:tcPr>
            <w:tcW w:w="925" w:type="pct"/>
            <w:shd w:val="clear" w:color="auto" w:fill="BFBFBF"/>
          </w:tcPr>
          <w:p w14:paraId="0490C65E" w14:textId="45FCF400" w:rsidR="00F26DC9" w:rsidRPr="00D40D4C" w:rsidRDefault="00F26DC9">
            <w:pPr>
              <w:pStyle w:val="011TableHeading8pt"/>
              <w:keepNext/>
              <w:ind w:left="-57" w:right="-57"/>
              <w:rPr>
                <w:sz w:val="18"/>
                <w:szCs w:val="24"/>
              </w:rPr>
            </w:pPr>
            <w:r>
              <w:rPr>
                <w:sz w:val="18"/>
                <w:szCs w:val="24"/>
              </w:rPr>
              <w:t>R</w:t>
            </w:r>
            <w:r w:rsidRPr="00D40D4C">
              <w:rPr>
                <w:sz w:val="18"/>
                <w:szCs w:val="24"/>
              </w:rPr>
              <w:t>esearch question</w:t>
            </w:r>
          </w:p>
        </w:tc>
        <w:tc>
          <w:tcPr>
            <w:tcW w:w="971" w:type="pct"/>
            <w:shd w:val="clear" w:color="auto" w:fill="BFBFBF"/>
          </w:tcPr>
          <w:p w14:paraId="4116B860" w14:textId="77777777" w:rsidR="00F26DC9" w:rsidRPr="00D40D4C" w:rsidRDefault="00F26DC9">
            <w:pPr>
              <w:pStyle w:val="011TableHeading8pt"/>
              <w:keepNext/>
              <w:ind w:left="-57" w:right="-57"/>
              <w:rPr>
                <w:sz w:val="18"/>
                <w:szCs w:val="24"/>
              </w:rPr>
            </w:pPr>
            <w:r w:rsidRPr="00D40D4C">
              <w:rPr>
                <w:sz w:val="18"/>
                <w:szCs w:val="24"/>
              </w:rPr>
              <w:t xml:space="preserve">Perspective </w:t>
            </w:r>
            <w:r w:rsidRPr="00D40D4C">
              <w:rPr>
                <w:sz w:val="18"/>
                <w:szCs w:val="24"/>
              </w:rPr>
              <w:br/>
              <w:t>Time horizon</w:t>
            </w:r>
            <w:r w:rsidRPr="00D40D4C">
              <w:rPr>
                <w:sz w:val="18"/>
                <w:szCs w:val="24"/>
              </w:rPr>
              <w:br/>
              <w:t>EE type</w:t>
            </w:r>
          </w:p>
        </w:tc>
        <w:tc>
          <w:tcPr>
            <w:tcW w:w="701" w:type="pct"/>
            <w:shd w:val="clear" w:color="auto" w:fill="BFBFBF"/>
          </w:tcPr>
          <w:p w14:paraId="1FAC0582" w14:textId="77777777" w:rsidR="00F26DC9" w:rsidRPr="00D40D4C" w:rsidRDefault="00F26DC9">
            <w:pPr>
              <w:pStyle w:val="011TableHeading8pt"/>
              <w:keepNext/>
              <w:ind w:left="-57" w:right="-57"/>
              <w:rPr>
                <w:sz w:val="18"/>
                <w:szCs w:val="24"/>
              </w:rPr>
            </w:pPr>
            <w:r w:rsidRPr="00D40D4C">
              <w:rPr>
                <w:sz w:val="18"/>
                <w:szCs w:val="24"/>
              </w:rPr>
              <w:t>Population</w:t>
            </w:r>
          </w:p>
        </w:tc>
        <w:tc>
          <w:tcPr>
            <w:tcW w:w="615" w:type="pct"/>
            <w:shd w:val="clear" w:color="auto" w:fill="BFBFBF"/>
          </w:tcPr>
          <w:p w14:paraId="255BFC68" w14:textId="77777777" w:rsidR="00F26DC9" w:rsidRPr="00D40D4C" w:rsidRDefault="00F26DC9">
            <w:pPr>
              <w:pStyle w:val="011TableHeading8pt"/>
              <w:keepNext/>
              <w:ind w:left="-57" w:right="-57"/>
              <w:rPr>
                <w:sz w:val="18"/>
                <w:szCs w:val="24"/>
              </w:rPr>
            </w:pPr>
            <w:r w:rsidRPr="00D40D4C">
              <w:rPr>
                <w:sz w:val="18"/>
                <w:szCs w:val="24"/>
              </w:rPr>
              <w:t>Intervention</w:t>
            </w:r>
            <w:r w:rsidRPr="00D40D4C">
              <w:rPr>
                <w:sz w:val="18"/>
                <w:szCs w:val="24"/>
              </w:rPr>
              <w:br/>
              <w:t>Comparator</w:t>
            </w:r>
          </w:p>
        </w:tc>
        <w:tc>
          <w:tcPr>
            <w:tcW w:w="655" w:type="pct"/>
            <w:shd w:val="clear" w:color="auto" w:fill="BFBFBF"/>
          </w:tcPr>
          <w:p w14:paraId="54EEF3C0" w14:textId="77777777" w:rsidR="00F26DC9" w:rsidRPr="00D40D4C" w:rsidRDefault="00F26DC9">
            <w:pPr>
              <w:pStyle w:val="011TableHeading8pt"/>
              <w:keepNext/>
              <w:ind w:left="-57" w:right="-57"/>
              <w:rPr>
                <w:sz w:val="18"/>
                <w:szCs w:val="24"/>
              </w:rPr>
            </w:pPr>
            <w:r w:rsidRPr="00D40D4C">
              <w:rPr>
                <w:sz w:val="18"/>
                <w:szCs w:val="24"/>
              </w:rPr>
              <w:t>Source of effectiveness inputs</w:t>
            </w:r>
          </w:p>
        </w:tc>
        <w:tc>
          <w:tcPr>
            <w:tcW w:w="657" w:type="pct"/>
            <w:shd w:val="clear" w:color="auto" w:fill="BFBFBF"/>
          </w:tcPr>
          <w:p w14:paraId="6E0A0203" w14:textId="77777777" w:rsidR="00F26DC9" w:rsidRPr="00D40D4C" w:rsidRDefault="00F26DC9">
            <w:pPr>
              <w:pStyle w:val="011TableHeading8pt"/>
              <w:keepNext/>
              <w:ind w:left="-57" w:right="-57"/>
              <w:rPr>
                <w:sz w:val="18"/>
                <w:szCs w:val="24"/>
              </w:rPr>
            </w:pPr>
            <w:r w:rsidRPr="00D40D4C">
              <w:rPr>
                <w:sz w:val="18"/>
                <w:szCs w:val="24"/>
              </w:rPr>
              <w:t>Funding</w:t>
            </w:r>
            <w:r w:rsidRPr="00D40D4C">
              <w:rPr>
                <w:sz w:val="18"/>
                <w:szCs w:val="24"/>
              </w:rPr>
              <w:br/>
              <w:t>Author COIs</w:t>
            </w:r>
          </w:p>
        </w:tc>
      </w:tr>
      <w:tr w:rsidR="00F26DC9" w:rsidRPr="00D40D4C" w14:paraId="4860AE4C" w14:textId="77777777">
        <w:tc>
          <w:tcPr>
            <w:tcW w:w="476" w:type="pct"/>
            <w:shd w:val="clear" w:color="auto" w:fill="auto"/>
          </w:tcPr>
          <w:p w14:paraId="312C786B" w14:textId="77777777" w:rsidR="00F26DC9" w:rsidRPr="00D40D4C" w:rsidRDefault="00F26DC9">
            <w:pPr>
              <w:pStyle w:val="051Tabletext228pt"/>
              <w:ind w:left="-57" w:right="-57"/>
              <w:rPr>
                <w:sz w:val="18"/>
                <w:szCs w:val="24"/>
              </w:rPr>
            </w:pPr>
            <w:proofErr w:type="spellStart"/>
            <w:r w:rsidRPr="00D40D4C">
              <w:rPr>
                <w:sz w:val="18"/>
                <w:szCs w:val="24"/>
              </w:rPr>
              <w:t>Seklehner</w:t>
            </w:r>
            <w:proofErr w:type="spellEnd"/>
            <w:r w:rsidRPr="00D40D4C">
              <w:rPr>
                <w:sz w:val="18"/>
                <w:szCs w:val="24"/>
              </w:rPr>
              <w:t xml:space="preserve"> 201</w:t>
            </w:r>
            <w:r>
              <w:rPr>
                <w:sz w:val="18"/>
                <w:szCs w:val="24"/>
              </w:rPr>
              <w:t>4</w:t>
            </w:r>
            <w:r w:rsidRPr="00D40D4C">
              <w:rPr>
                <w:sz w:val="18"/>
                <w:szCs w:val="24"/>
              </w:rPr>
              <w:br/>
              <w:t>USA</w:t>
            </w:r>
          </w:p>
        </w:tc>
        <w:tc>
          <w:tcPr>
            <w:tcW w:w="925" w:type="pct"/>
          </w:tcPr>
          <w:p w14:paraId="12145EC4" w14:textId="26D9A129" w:rsidR="00F26DC9" w:rsidRPr="00D40D4C" w:rsidRDefault="00F26DC9">
            <w:pPr>
              <w:pStyle w:val="051Tabletext228pt"/>
              <w:ind w:left="-57" w:right="-57"/>
              <w:rPr>
                <w:sz w:val="18"/>
                <w:szCs w:val="24"/>
              </w:rPr>
            </w:pPr>
            <w:r w:rsidRPr="00D40D4C">
              <w:rPr>
                <w:sz w:val="18"/>
                <w:szCs w:val="24"/>
              </w:rPr>
              <w:t xml:space="preserve">What is the cost-effectiveness of </w:t>
            </w:r>
            <w:r>
              <w:rPr>
                <w:sz w:val="18"/>
                <w:szCs w:val="24"/>
              </w:rPr>
              <w:t>RP-</w:t>
            </w:r>
            <w:r w:rsidRPr="00D40D4C">
              <w:rPr>
                <w:sz w:val="18"/>
                <w:szCs w:val="24"/>
              </w:rPr>
              <w:t xml:space="preserve">MUS versus </w:t>
            </w:r>
            <w:r>
              <w:rPr>
                <w:sz w:val="18"/>
                <w:szCs w:val="24"/>
              </w:rPr>
              <w:t>TO-</w:t>
            </w:r>
            <w:r w:rsidRPr="00D40D4C">
              <w:rPr>
                <w:sz w:val="18"/>
                <w:szCs w:val="24"/>
              </w:rPr>
              <w:t>MUS</w:t>
            </w:r>
            <w:r>
              <w:rPr>
                <w:sz w:val="18"/>
                <w:szCs w:val="24"/>
              </w:rPr>
              <w:t xml:space="preserve"> for women with SUI?</w:t>
            </w:r>
          </w:p>
        </w:tc>
        <w:tc>
          <w:tcPr>
            <w:tcW w:w="971" w:type="pct"/>
            <w:shd w:val="clear" w:color="auto" w:fill="auto"/>
          </w:tcPr>
          <w:p w14:paraId="32843A07" w14:textId="0A8BDA7F" w:rsidR="00F26DC9" w:rsidRPr="00D40D4C" w:rsidRDefault="00F26DC9">
            <w:pPr>
              <w:pStyle w:val="051Tabletext228pt"/>
              <w:ind w:left="-57" w:right="-57"/>
              <w:rPr>
                <w:sz w:val="18"/>
                <w:szCs w:val="24"/>
              </w:rPr>
            </w:pPr>
            <w:r>
              <w:rPr>
                <w:sz w:val="18"/>
                <w:szCs w:val="24"/>
              </w:rPr>
              <w:t>US h</w:t>
            </w:r>
            <w:r w:rsidRPr="00D40D4C">
              <w:rPr>
                <w:sz w:val="18"/>
                <w:szCs w:val="24"/>
              </w:rPr>
              <w:t>ealth</w:t>
            </w:r>
            <w:r>
              <w:rPr>
                <w:sz w:val="18"/>
                <w:szCs w:val="24"/>
              </w:rPr>
              <w:t xml:space="preserve"> </w:t>
            </w:r>
            <w:r w:rsidRPr="00D40D4C">
              <w:rPr>
                <w:sz w:val="18"/>
                <w:szCs w:val="24"/>
              </w:rPr>
              <w:t>care</w:t>
            </w:r>
            <w:r w:rsidRPr="00D40D4C">
              <w:rPr>
                <w:sz w:val="18"/>
                <w:szCs w:val="24"/>
              </w:rPr>
              <w:br/>
              <w:t xml:space="preserve">10 </w:t>
            </w:r>
            <w:proofErr w:type="spellStart"/>
            <w:r w:rsidRPr="00D40D4C">
              <w:rPr>
                <w:sz w:val="18"/>
                <w:szCs w:val="24"/>
              </w:rPr>
              <w:t>yr</w:t>
            </w:r>
            <w:proofErr w:type="spellEnd"/>
            <w:r w:rsidRPr="00D40D4C">
              <w:rPr>
                <w:sz w:val="18"/>
                <w:szCs w:val="24"/>
              </w:rPr>
              <w:br/>
            </w:r>
            <w:r>
              <w:rPr>
                <w:iCs/>
                <w:sz w:val="18"/>
                <w:szCs w:val="24"/>
              </w:rPr>
              <w:t xml:space="preserve">CUA: </w:t>
            </w:r>
            <w:r w:rsidRPr="00A64633">
              <w:rPr>
                <w:iCs/>
                <w:sz w:val="18"/>
                <w:szCs w:val="24"/>
              </w:rPr>
              <w:t>Markov-chain decision model</w:t>
            </w:r>
            <w:r>
              <w:rPr>
                <w:iCs/>
                <w:sz w:val="18"/>
                <w:szCs w:val="24"/>
              </w:rPr>
              <w:t xml:space="preserve">; </w:t>
            </w:r>
            <w:r>
              <w:rPr>
                <w:sz w:val="18"/>
                <w:szCs w:val="24"/>
              </w:rPr>
              <w:t>2.26% annual discount rate; 2012 costs</w:t>
            </w:r>
          </w:p>
        </w:tc>
        <w:tc>
          <w:tcPr>
            <w:tcW w:w="701" w:type="pct"/>
          </w:tcPr>
          <w:p w14:paraId="15B2FA8F" w14:textId="77777777" w:rsidR="00F26DC9" w:rsidRPr="00D40D4C" w:rsidRDefault="00F26DC9">
            <w:pPr>
              <w:pStyle w:val="051Tabletext228pt"/>
              <w:ind w:left="-57" w:right="-57"/>
              <w:rPr>
                <w:sz w:val="18"/>
                <w:szCs w:val="24"/>
              </w:rPr>
            </w:pPr>
            <w:r w:rsidRPr="00D40D4C">
              <w:rPr>
                <w:sz w:val="18"/>
                <w:szCs w:val="24"/>
              </w:rPr>
              <w:t>Women; SUI or predominantly SUI</w:t>
            </w:r>
          </w:p>
        </w:tc>
        <w:tc>
          <w:tcPr>
            <w:tcW w:w="615" w:type="pct"/>
          </w:tcPr>
          <w:p w14:paraId="0E42F587" w14:textId="77777777" w:rsidR="00F26DC9" w:rsidRPr="00D40D4C" w:rsidRDefault="00F26DC9">
            <w:pPr>
              <w:pStyle w:val="051Tabletext228pt"/>
              <w:ind w:left="-57" w:right="-57"/>
              <w:rPr>
                <w:sz w:val="18"/>
                <w:szCs w:val="24"/>
              </w:rPr>
            </w:pPr>
            <w:r>
              <w:rPr>
                <w:sz w:val="18"/>
                <w:szCs w:val="24"/>
              </w:rPr>
              <w:t>RP-MUS</w:t>
            </w:r>
          </w:p>
          <w:p w14:paraId="39D1EAA6" w14:textId="77777777" w:rsidR="00F26DC9" w:rsidRPr="00D40D4C" w:rsidRDefault="00F26DC9">
            <w:pPr>
              <w:pStyle w:val="051Tabletext228pt"/>
              <w:ind w:left="-57" w:right="-57"/>
              <w:rPr>
                <w:sz w:val="18"/>
                <w:szCs w:val="24"/>
                <w:highlight w:val="yellow"/>
              </w:rPr>
            </w:pPr>
            <w:r>
              <w:rPr>
                <w:sz w:val="18"/>
                <w:szCs w:val="24"/>
              </w:rPr>
              <w:t>TO-MUS</w:t>
            </w:r>
          </w:p>
        </w:tc>
        <w:tc>
          <w:tcPr>
            <w:tcW w:w="655" w:type="pct"/>
          </w:tcPr>
          <w:p w14:paraId="4523BB65" w14:textId="77777777" w:rsidR="00F26DC9" w:rsidRPr="00D40D4C" w:rsidRDefault="00F26DC9">
            <w:pPr>
              <w:pStyle w:val="051Tabletext228pt"/>
              <w:ind w:left="-57" w:right="-57"/>
              <w:rPr>
                <w:sz w:val="18"/>
                <w:szCs w:val="24"/>
              </w:rPr>
            </w:pPr>
            <w:r w:rsidRPr="00D40D4C">
              <w:rPr>
                <w:sz w:val="18"/>
                <w:szCs w:val="24"/>
              </w:rPr>
              <w:t>21 RCTs (min. 12</w:t>
            </w:r>
            <w:r>
              <w:rPr>
                <w:sz w:val="18"/>
                <w:szCs w:val="24"/>
              </w:rPr>
              <w:t> </w:t>
            </w:r>
            <w:proofErr w:type="spellStart"/>
            <w:r w:rsidRPr="00D40D4C">
              <w:rPr>
                <w:sz w:val="18"/>
                <w:szCs w:val="24"/>
              </w:rPr>
              <w:t>mo</w:t>
            </w:r>
            <w:proofErr w:type="spellEnd"/>
            <w:r w:rsidRPr="00D40D4C">
              <w:rPr>
                <w:sz w:val="18"/>
                <w:szCs w:val="24"/>
              </w:rPr>
              <w:t xml:space="preserve"> follow</w:t>
            </w:r>
            <w:r>
              <w:rPr>
                <w:sz w:val="18"/>
                <w:szCs w:val="24"/>
              </w:rPr>
              <w:t>-</w:t>
            </w:r>
            <w:r w:rsidRPr="00D40D4C">
              <w:rPr>
                <w:sz w:val="18"/>
                <w:szCs w:val="24"/>
              </w:rPr>
              <w:t>up)</w:t>
            </w:r>
          </w:p>
        </w:tc>
        <w:tc>
          <w:tcPr>
            <w:tcW w:w="657" w:type="pct"/>
            <w:shd w:val="clear" w:color="auto" w:fill="auto"/>
          </w:tcPr>
          <w:p w14:paraId="06D8EA69" w14:textId="77777777" w:rsidR="00F26DC9" w:rsidRPr="00D40D4C" w:rsidRDefault="00F26DC9">
            <w:pPr>
              <w:pStyle w:val="051Tabletext228pt"/>
              <w:ind w:left="-57" w:right="-57"/>
              <w:rPr>
                <w:sz w:val="18"/>
                <w:szCs w:val="24"/>
              </w:rPr>
            </w:pPr>
            <w:r w:rsidRPr="00D40D4C">
              <w:rPr>
                <w:sz w:val="18"/>
                <w:szCs w:val="24"/>
              </w:rPr>
              <w:t>NR</w:t>
            </w:r>
          </w:p>
          <w:p w14:paraId="4AA57405" w14:textId="77777777" w:rsidR="00F26DC9" w:rsidRPr="00D40D4C" w:rsidRDefault="00F26DC9">
            <w:pPr>
              <w:pStyle w:val="051Tabletext228pt"/>
              <w:ind w:left="-57" w:right="-57"/>
              <w:rPr>
                <w:sz w:val="18"/>
                <w:szCs w:val="24"/>
              </w:rPr>
            </w:pPr>
            <w:r w:rsidRPr="00D40D4C">
              <w:rPr>
                <w:sz w:val="18"/>
                <w:szCs w:val="24"/>
              </w:rPr>
              <w:t>Conflicts: none</w:t>
            </w:r>
          </w:p>
        </w:tc>
      </w:tr>
    </w:tbl>
    <w:p w14:paraId="400B6237" w14:textId="77777777" w:rsidR="00F26DC9" w:rsidRPr="00B0485F" w:rsidRDefault="00F26DC9" w:rsidP="00F26DC9">
      <w:pPr>
        <w:pStyle w:val="111Tablefootnoteslast-nostick8pt"/>
        <w:rPr>
          <w:lang w:val="en-AU"/>
        </w:rPr>
      </w:pPr>
      <w:r>
        <w:rPr>
          <w:lang w:val="en-AU"/>
        </w:rPr>
        <w:t xml:space="preserve">Abbreviations: </w:t>
      </w:r>
      <w:r w:rsidRPr="00B0485F">
        <w:rPr>
          <w:lang w:val="en-AU"/>
        </w:rPr>
        <w:t>COI</w:t>
      </w:r>
      <w:r>
        <w:rPr>
          <w:lang w:val="en-AU"/>
        </w:rPr>
        <w:t>,</w:t>
      </w:r>
      <w:r w:rsidRPr="00B0485F">
        <w:rPr>
          <w:lang w:val="en-AU"/>
        </w:rPr>
        <w:t xml:space="preserve"> conflict of interest; </w:t>
      </w:r>
      <w:r>
        <w:rPr>
          <w:lang w:val="en-AU"/>
        </w:rPr>
        <w:t xml:space="preserve">CUA, cost-utility analysis; </w:t>
      </w:r>
      <w:r w:rsidRPr="00B0485F">
        <w:rPr>
          <w:lang w:val="en-AU"/>
        </w:rPr>
        <w:t>EE</w:t>
      </w:r>
      <w:r>
        <w:rPr>
          <w:lang w:val="en-AU"/>
        </w:rPr>
        <w:t>,</w:t>
      </w:r>
      <w:r w:rsidRPr="00B0485F">
        <w:rPr>
          <w:lang w:val="en-AU"/>
        </w:rPr>
        <w:t xml:space="preserve"> economic evaluation; </w:t>
      </w:r>
      <w:proofErr w:type="spellStart"/>
      <w:r w:rsidRPr="00B0485F">
        <w:rPr>
          <w:lang w:val="en-AU"/>
        </w:rPr>
        <w:t>mo</w:t>
      </w:r>
      <w:proofErr w:type="spellEnd"/>
      <w:r>
        <w:rPr>
          <w:lang w:val="en-AU"/>
        </w:rPr>
        <w:t>,</w:t>
      </w:r>
      <w:r w:rsidRPr="00B0485F">
        <w:rPr>
          <w:lang w:val="en-AU"/>
        </w:rPr>
        <w:t xml:space="preserve"> month(s); MUS</w:t>
      </w:r>
      <w:r>
        <w:rPr>
          <w:lang w:val="en-AU"/>
        </w:rPr>
        <w:t>,</w:t>
      </w:r>
      <w:r w:rsidRPr="00B0485F">
        <w:rPr>
          <w:lang w:val="en-AU"/>
        </w:rPr>
        <w:t xml:space="preserve"> mid-urethral sling; NR</w:t>
      </w:r>
      <w:r>
        <w:rPr>
          <w:lang w:val="en-AU"/>
        </w:rPr>
        <w:t>,</w:t>
      </w:r>
      <w:r w:rsidRPr="00B0485F">
        <w:rPr>
          <w:lang w:val="en-AU"/>
        </w:rPr>
        <w:t xml:space="preserve"> not reported; RCT</w:t>
      </w:r>
      <w:r>
        <w:rPr>
          <w:lang w:val="en-AU"/>
        </w:rPr>
        <w:t>,</w:t>
      </w:r>
      <w:r w:rsidRPr="00B0485F">
        <w:rPr>
          <w:lang w:val="en-AU"/>
        </w:rPr>
        <w:t xml:space="preserve"> randomi</w:t>
      </w:r>
      <w:r>
        <w:rPr>
          <w:lang w:val="en-AU"/>
        </w:rPr>
        <w:t>s</w:t>
      </w:r>
      <w:r w:rsidRPr="00B0485F">
        <w:rPr>
          <w:lang w:val="en-AU"/>
        </w:rPr>
        <w:t xml:space="preserve">ed controlled trial; </w:t>
      </w:r>
      <w:r>
        <w:rPr>
          <w:lang w:val="en-AU"/>
        </w:rPr>
        <w:t>RP-MUS, r</w:t>
      </w:r>
      <w:r w:rsidRPr="00B0485F">
        <w:rPr>
          <w:lang w:val="en-AU"/>
        </w:rPr>
        <w:t>etropubic MUS; SUI</w:t>
      </w:r>
      <w:r>
        <w:rPr>
          <w:lang w:val="en-AU"/>
        </w:rPr>
        <w:t>,</w:t>
      </w:r>
      <w:r w:rsidRPr="00B0485F">
        <w:rPr>
          <w:lang w:val="en-AU"/>
        </w:rPr>
        <w:t xml:space="preserve"> stress urinary incontinence; </w:t>
      </w:r>
      <w:r>
        <w:rPr>
          <w:lang w:val="en-AU"/>
        </w:rPr>
        <w:t>TO-MUS,</w:t>
      </w:r>
      <w:r w:rsidRPr="00B0485F">
        <w:rPr>
          <w:lang w:val="en-AU"/>
        </w:rPr>
        <w:t xml:space="preserve"> </w:t>
      </w:r>
      <w:proofErr w:type="spellStart"/>
      <w:r w:rsidRPr="00B0485F">
        <w:rPr>
          <w:lang w:val="en-AU"/>
        </w:rPr>
        <w:t>transobturator</w:t>
      </w:r>
      <w:proofErr w:type="spellEnd"/>
      <w:r w:rsidRPr="00B0485F">
        <w:rPr>
          <w:lang w:val="en-AU"/>
        </w:rPr>
        <w:t xml:space="preserve"> MUS;</w:t>
      </w:r>
      <w:r>
        <w:rPr>
          <w:lang w:val="en-AU"/>
        </w:rPr>
        <w:t xml:space="preserve"> </w:t>
      </w:r>
      <w:proofErr w:type="spellStart"/>
      <w:r w:rsidRPr="00B0485F">
        <w:rPr>
          <w:lang w:val="en-AU"/>
        </w:rPr>
        <w:t>yr</w:t>
      </w:r>
      <w:proofErr w:type="spellEnd"/>
      <w:r>
        <w:rPr>
          <w:lang w:val="en-AU"/>
        </w:rPr>
        <w:t>,</w:t>
      </w:r>
      <w:r w:rsidRPr="00B0485F">
        <w:rPr>
          <w:lang w:val="en-AU"/>
        </w:rPr>
        <w:t xml:space="preserve"> year.</w:t>
      </w:r>
    </w:p>
    <w:p w14:paraId="0FC3B233" w14:textId="77777777" w:rsidR="00F26DC9" w:rsidRPr="00B0485F" w:rsidRDefault="00F26DC9" w:rsidP="00F26DC9">
      <w:pPr>
        <w:pStyle w:val="Heading5"/>
      </w:pPr>
      <w:r w:rsidRPr="00B0485F">
        <w:t>Findings</w:t>
      </w:r>
    </w:p>
    <w:p w14:paraId="6197F650" w14:textId="3BBF9BA0" w:rsidR="00F26DC9" w:rsidRDefault="00F26DC9" w:rsidP="00F26DC9">
      <w:pPr>
        <w:pStyle w:val="BodyText"/>
      </w:pPr>
      <w:r w:rsidRPr="00B0485F">
        <w:t>The findings of the cost</w:t>
      </w:r>
      <w:r>
        <w:t xml:space="preserve">-utility </w:t>
      </w:r>
      <w:r w:rsidRPr="00B0485F">
        <w:t>analysis</w:t>
      </w:r>
      <w:r w:rsidDel="00BF140A">
        <w:t xml:space="preserve"> </w:t>
      </w:r>
      <w:r w:rsidRPr="00B0485F">
        <w:t xml:space="preserve">are presented in </w:t>
      </w:r>
      <w:r w:rsidRPr="00F12F0F">
        <w:rPr>
          <w:b/>
          <w:bCs/>
        </w:rPr>
        <w:fldChar w:fldCharType="begin"/>
      </w:r>
      <w:r w:rsidRPr="00F12F0F">
        <w:rPr>
          <w:b/>
          <w:bCs/>
        </w:rPr>
        <w:instrText xml:space="preserve"> REF _Ref131582369 \h </w:instrText>
      </w:r>
      <w:r>
        <w:rPr>
          <w:b/>
          <w:bCs/>
        </w:rPr>
        <w:instrText xml:space="preserve"> \* MERGEFORMAT </w:instrText>
      </w:r>
      <w:r w:rsidRPr="00F12F0F">
        <w:rPr>
          <w:b/>
          <w:bCs/>
        </w:rPr>
      </w:r>
      <w:r w:rsidRPr="00F12F0F">
        <w:rPr>
          <w:b/>
          <w:bCs/>
        </w:rPr>
        <w:fldChar w:fldCharType="separate"/>
      </w:r>
      <w:r w:rsidR="007105D3" w:rsidRPr="007105D3">
        <w:rPr>
          <w:b/>
          <w:bCs/>
        </w:rPr>
        <w:t xml:space="preserve">Table </w:t>
      </w:r>
      <w:r w:rsidR="007105D3" w:rsidRPr="007105D3">
        <w:rPr>
          <w:b/>
          <w:bCs/>
          <w:noProof/>
        </w:rPr>
        <w:t>21</w:t>
      </w:r>
      <w:r w:rsidRPr="00F12F0F">
        <w:rPr>
          <w:b/>
          <w:bCs/>
        </w:rPr>
        <w:fldChar w:fldCharType="end"/>
      </w:r>
      <w:r w:rsidRPr="0026271A">
        <w:t xml:space="preserve">, </w:t>
      </w:r>
      <w:r>
        <w:t>from a US health care perspective</w:t>
      </w:r>
      <w:r w:rsidRPr="00B0485F">
        <w:t>.</w:t>
      </w:r>
    </w:p>
    <w:p w14:paraId="1DD14636" w14:textId="4AA3C3CF" w:rsidR="00F26DC9" w:rsidRPr="00B0485F" w:rsidRDefault="00F26DC9" w:rsidP="00F26DC9">
      <w:pPr>
        <w:pStyle w:val="Caption"/>
      </w:pPr>
      <w:bookmarkStart w:id="123" w:name="_Ref131582369"/>
      <w:bookmarkStart w:id="124" w:name="_Toc132286051"/>
      <w:bookmarkStart w:id="125" w:name="_Toc165627889"/>
      <w:r w:rsidRPr="00B0485F">
        <w:lastRenderedPageBreak/>
        <w:t xml:space="preserve">Table </w:t>
      </w:r>
      <w:fldSimple w:instr=" SEQ Table \* ARABIC ">
        <w:r w:rsidR="007105D3">
          <w:rPr>
            <w:noProof/>
          </w:rPr>
          <w:t>21</w:t>
        </w:r>
      </w:fldSimple>
      <w:bookmarkEnd w:id="123"/>
      <w:r w:rsidRPr="00B0485F">
        <w:tab/>
        <w:t xml:space="preserve">Outcomes of </w:t>
      </w:r>
      <w:proofErr w:type="spellStart"/>
      <w:r w:rsidRPr="00B0485F">
        <w:t>Seklehner</w:t>
      </w:r>
      <w:proofErr w:type="spellEnd"/>
      <w:r w:rsidRPr="00B0485F">
        <w:t xml:space="preserve"> (2014)</w:t>
      </w:r>
      <w:bookmarkEnd w:id="124"/>
      <w:r>
        <w:t xml:space="preserve"> – based on objective cure at 10 years</w:t>
      </w:r>
      <w:bookmarkEnd w:id="125"/>
    </w:p>
    <w:tbl>
      <w:tblPr>
        <w:tblStyle w:val="TableGrid"/>
        <w:tblW w:w="5000" w:type="pct"/>
        <w:tblLook w:val="04A0" w:firstRow="1" w:lastRow="0" w:firstColumn="1" w:lastColumn="0" w:noHBand="0" w:noVBand="1"/>
        <w:tblCaption w:val="Outcomes of Seklehner (2014) based on objective cure at 10 years"/>
        <w:tblDescription w:val="This table shows the outcomes of the Seklehner (2014) study based on objective cure at 10 years including effectiveness (QALYs), costs, cost/QALY (ICER), sensitivity analysis and conclusion. "/>
      </w:tblPr>
      <w:tblGrid>
        <w:gridCol w:w="991"/>
        <w:gridCol w:w="1619"/>
        <w:gridCol w:w="1619"/>
        <w:gridCol w:w="1845"/>
        <w:gridCol w:w="2352"/>
        <w:gridCol w:w="1212"/>
      </w:tblGrid>
      <w:tr w:rsidR="00F26DC9" w:rsidRPr="00D40D4C" w14:paraId="0C30B8C6" w14:textId="77777777">
        <w:trPr>
          <w:cnfStyle w:val="100000000000" w:firstRow="1" w:lastRow="0" w:firstColumn="0" w:lastColumn="0" w:oddVBand="0" w:evenVBand="0" w:oddHBand="0" w:evenHBand="0" w:firstRowFirstColumn="0" w:firstRowLastColumn="0" w:lastRowFirstColumn="0" w:lastRowLastColumn="0"/>
        </w:trPr>
        <w:tc>
          <w:tcPr>
            <w:tcW w:w="514" w:type="pct"/>
          </w:tcPr>
          <w:p w14:paraId="007F55B8" w14:textId="77777777" w:rsidR="00F26DC9" w:rsidRPr="00D40D4C" w:rsidRDefault="00F26DC9">
            <w:pPr>
              <w:pStyle w:val="011TableHeading8pt"/>
              <w:ind w:left="-57" w:right="-57"/>
              <w:rPr>
                <w:sz w:val="18"/>
                <w:szCs w:val="24"/>
              </w:rPr>
            </w:pPr>
            <w:r w:rsidRPr="00D40D4C">
              <w:rPr>
                <w:sz w:val="18"/>
                <w:szCs w:val="24"/>
              </w:rPr>
              <w:t>Study ID</w:t>
            </w:r>
          </w:p>
        </w:tc>
        <w:tc>
          <w:tcPr>
            <w:tcW w:w="840" w:type="pct"/>
          </w:tcPr>
          <w:p w14:paraId="30082DFD" w14:textId="77777777" w:rsidR="00F26DC9" w:rsidRPr="00D40D4C" w:rsidRDefault="00F26DC9">
            <w:pPr>
              <w:pStyle w:val="011TableHeading8pt"/>
              <w:ind w:left="-57" w:right="-57"/>
              <w:rPr>
                <w:sz w:val="18"/>
                <w:szCs w:val="24"/>
              </w:rPr>
            </w:pPr>
            <w:r w:rsidRPr="00D40D4C">
              <w:rPr>
                <w:sz w:val="18"/>
                <w:szCs w:val="24"/>
              </w:rPr>
              <w:t>Effectiveness</w:t>
            </w:r>
            <w:r>
              <w:rPr>
                <w:sz w:val="18"/>
                <w:szCs w:val="24"/>
              </w:rPr>
              <w:t xml:space="preserve"> (QALYs)</w:t>
            </w:r>
          </w:p>
        </w:tc>
        <w:tc>
          <w:tcPr>
            <w:tcW w:w="840" w:type="pct"/>
          </w:tcPr>
          <w:p w14:paraId="44D91AF4" w14:textId="3B4392F9" w:rsidR="00F26DC9" w:rsidRPr="00D40D4C" w:rsidRDefault="00F26DC9">
            <w:pPr>
              <w:pStyle w:val="011TableHeading8pt"/>
              <w:ind w:left="-57" w:right="-57"/>
              <w:rPr>
                <w:sz w:val="18"/>
                <w:szCs w:val="24"/>
              </w:rPr>
            </w:pPr>
            <w:r w:rsidRPr="00D40D4C">
              <w:rPr>
                <w:sz w:val="18"/>
                <w:szCs w:val="24"/>
              </w:rPr>
              <w:t>Cost</w:t>
            </w:r>
            <w:r>
              <w:rPr>
                <w:sz w:val="18"/>
                <w:szCs w:val="24"/>
              </w:rPr>
              <w:t xml:space="preserve"> (USD)</w:t>
            </w:r>
          </w:p>
        </w:tc>
        <w:tc>
          <w:tcPr>
            <w:tcW w:w="957" w:type="pct"/>
          </w:tcPr>
          <w:p w14:paraId="57EBD207" w14:textId="2A6A1CB3" w:rsidR="00F26DC9" w:rsidRPr="00D40D4C" w:rsidRDefault="00F26DC9">
            <w:pPr>
              <w:pStyle w:val="011TableHeading8pt"/>
              <w:ind w:left="-57" w:right="-57"/>
              <w:rPr>
                <w:sz w:val="18"/>
                <w:szCs w:val="24"/>
              </w:rPr>
            </w:pPr>
            <w:r w:rsidRPr="00D40D4C">
              <w:rPr>
                <w:sz w:val="18"/>
                <w:szCs w:val="24"/>
              </w:rPr>
              <w:t>Cost/QALY</w:t>
            </w:r>
            <w:r w:rsidRPr="00D40D4C">
              <w:rPr>
                <w:sz w:val="18"/>
                <w:szCs w:val="24"/>
              </w:rPr>
              <w:br/>
              <w:t>ICER</w:t>
            </w:r>
          </w:p>
        </w:tc>
        <w:tc>
          <w:tcPr>
            <w:tcW w:w="1220" w:type="pct"/>
          </w:tcPr>
          <w:p w14:paraId="0CE52E5D" w14:textId="77777777" w:rsidR="00F26DC9" w:rsidRPr="00D40D4C" w:rsidRDefault="00F26DC9">
            <w:pPr>
              <w:pStyle w:val="011TableHeading8pt"/>
              <w:ind w:left="-57" w:right="-57"/>
              <w:rPr>
                <w:sz w:val="18"/>
                <w:szCs w:val="24"/>
              </w:rPr>
            </w:pPr>
            <w:r w:rsidRPr="00D40D4C">
              <w:rPr>
                <w:sz w:val="18"/>
                <w:szCs w:val="24"/>
              </w:rPr>
              <w:t>Sensitivity analysis</w:t>
            </w:r>
          </w:p>
        </w:tc>
        <w:tc>
          <w:tcPr>
            <w:tcW w:w="629" w:type="pct"/>
          </w:tcPr>
          <w:p w14:paraId="4F3054C4" w14:textId="77777777" w:rsidR="00F26DC9" w:rsidRPr="00D40D4C" w:rsidRDefault="00F26DC9">
            <w:pPr>
              <w:pStyle w:val="011TableHeading8pt"/>
              <w:ind w:left="-57" w:right="-57"/>
              <w:rPr>
                <w:sz w:val="18"/>
                <w:szCs w:val="24"/>
              </w:rPr>
            </w:pPr>
            <w:r w:rsidRPr="00D40D4C">
              <w:rPr>
                <w:sz w:val="18"/>
                <w:szCs w:val="24"/>
              </w:rPr>
              <w:t>Conclusion</w:t>
            </w:r>
          </w:p>
        </w:tc>
      </w:tr>
      <w:tr w:rsidR="00F26DC9" w:rsidRPr="00D40D4C" w14:paraId="6E84EE2F" w14:textId="77777777">
        <w:tc>
          <w:tcPr>
            <w:tcW w:w="514" w:type="pct"/>
          </w:tcPr>
          <w:p w14:paraId="442D480A" w14:textId="77777777" w:rsidR="00F26DC9" w:rsidRPr="00D40D4C" w:rsidRDefault="00F26DC9">
            <w:pPr>
              <w:pStyle w:val="051Tabletext228pt"/>
              <w:ind w:left="-57" w:right="-57"/>
              <w:rPr>
                <w:sz w:val="18"/>
                <w:szCs w:val="24"/>
              </w:rPr>
            </w:pPr>
            <w:proofErr w:type="spellStart"/>
            <w:r w:rsidRPr="00D40D4C">
              <w:rPr>
                <w:sz w:val="18"/>
                <w:szCs w:val="24"/>
              </w:rPr>
              <w:t>Seklehner</w:t>
            </w:r>
            <w:proofErr w:type="spellEnd"/>
            <w:r w:rsidRPr="00D40D4C">
              <w:rPr>
                <w:sz w:val="18"/>
                <w:szCs w:val="24"/>
              </w:rPr>
              <w:t xml:space="preserve"> 2014</w:t>
            </w:r>
            <w:r w:rsidRPr="00D40D4C">
              <w:rPr>
                <w:sz w:val="18"/>
                <w:szCs w:val="24"/>
              </w:rPr>
              <w:br/>
              <w:t>USA</w:t>
            </w:r>
          </w:p>
        </w:tc>
        <w:tc>
          <w:tcPr>
            <w:tcW w:w="840" w:type="pct"/>
          </w:tcPr>
          <w:p w14:paraId="3EE4A942" w14:textId="77777777" w:rsidR="00F26DC9" w:rsidRDefault="00F26DC9">
            <w:pPr>
              <w:pStyle w:val="051Tabletext228pt"/>
              <w:ind w:left="-57" w:right="-57"/>
              <w:rPr>
                <w:sz w:val="18"/>
                <w:szCs w:val="24"/>
              </w:rPr>
            </w:pPr>
            <w:r>
              <w:rPr>
                <w:sz w:val="18"/>
                <w:szCs w:val="24"/>
              </w:rPr>
              <w:t>RP-MUS</w:t>
            </w:r>
            <w:r w:rsidRPr="00D40D4C">
              <w:rPr>
                <w:sz w:val="18"/>
                <w:szCs w:val="24"/>
              </w:rPr>
              <w:t>: 6.275</w:t>
            </w:r>
            <w:r>
              <w:rPr>
                <w:sz w:val="18"/>
                <w:szCs w:val="24"/>
              </w:rPr>
              <w:br/>
              <w:t>TO-MUS</w:t>
            </w:r>
            <w:r w:rsidRPr="00D40D4C">
              <w:rPr>
                <w:sz w:val="18"/>
                <w:szCs w:val="24"/>
              </w:rPr>
              <w:t xml:space="preserve">: 6.272 </w:t>
            </w:r>
          </w:p>
          <w:p w14:paraId="653E1DA5" w14:textId="54CC2231" w:rsidR="00F26DC9" w:rsidRPr="00D40D4C" w:rsidRDefault="00F26DC9">
            <w:pPr>
              <w:pStyle w:val="051Tabletext228pt"/>
              <w:ind w:left="-57" w:right="-57"/>
              <w:rPr>
                <w:sz w:val="18"/>
                <w:szCs w:val="24"/>
              </w:rPr>
            </w:pPr>
            <w:r>
              <w:rPr>
                <w:sz w:val="18"/>
                <w:szCs w:val="24"/>
              </w:rPr>
              <w:t>Incremental: 0.003</w:t>
            </w:r>
          </w:p>
        </w:tc>
        <w:tc>
          <w:tcPr>
            <w:tcW w:w="840" w:type="pct"/>
          </w:tcPr>
          <w:p w14:paraId="0946A585" w14:textId="7FC4D5ED" w:rsidR="00F26DC9" w:rsidRDefault="00F26DC9">
            <w:pPr>
              <w:pStyle w:val="051Tabletext228pt"/>
              <w:ind w:left="-57" w:right="-57"/>
              <w:rPr>
                <w:sz w:val="18"/>
                <w:szCs w:val="24"/>
              </w:rPr>
            </w:pPr>
            <w:r>
              <w:rPr>
                <w:sz w:val="18"/>
                <w:szCs w:val="24"/>
              </w:rPr>
              <w:t>RP-MUS</w:t>
            </w:r>
            <w:r w:rsidRPr="00D40D4C">
              <w:rPr>
                <w:sz w:val="18"/>
                <w:szCs w:val="24"/>
              </w:rPr>
              <w:t>: $9,579</w:t>
            </w:r>
            <w:r>
              <w:rPr>
                <w:sz w:val="18"/>
                <w:szCs w:val="24"/>
              </w:rPr>
              <w:br/>
              <w:t>TO-MUS</w:t>
            </w:r>
            <w:r w:rsidRPr="00D40D4C">
              <w:rPr>
                <w:sz w:val="18"/>
                <w:szCs w:val="24"/>
              </w:rPr>
              <w:t>: $9,017</w:t>
            </w:r>
          </w:p>
          <w:p w14:paraId="764893B0" w14:textId="77777777" w:rsidR="00F26DC9" w:rsidRPr="00D40D4C" w:rsidRDefault="00F26DC9">
            <w:pPr>
              <w:pStyle w:val="051Tabletext228pt"/>
              <w:ind w:left="-57" w:right="-57"/>
              <w:rPr>
                <w:sz w:val="18"/>
                <w:szCs w:val="24"/>
              </w:rPr>
            </w:pPr>
            <w:r>
              <w:rPr>
                <w:sz w:val="18"/>
                <w:szCs w:val="24"/>
              </w:rPr>
              <w:t>Incremental: $562</w:t>
            </w:r>
          </w:p>
        </w:tc>
        <w:tc>
          <w:tcPr>
            <w:tcW w:w="957" w:type="pct"/>
          </w:tcPr>
          <w:p w14:paraId="579ABFC9" w14:textId="62B48880" w:rsidR="00F26DC9" w:rsidRDefault="00F26DC9">
            <w:pPr>
              <w:pStyle w:val="051Tabletext228pt"/>
              <w:ind w:left="-57" w:right="-57"/>
              <w:rPr>
                <w:sz w:val="18"/>
                <w:szCs w:val="24"/>
              </w:rPr>
            </w:pPr>
            <w:r>
              <w:rPr>
                <w:sz w:val="18"/>
                <w:szCs w:val="24"/>
              </w:rPr>
              <w:t>RP-MUS</w:t>
            </w:r>
            <w:r w:rsidRPr="00353369">
              <w:rPr>
                <w:sz w:val="18"/>
                <w:szCs w:val="24"/>
              </w:rPr>
              <w:t>: $1,527</w:t>
            </w:r>
            <w:r>
              <w:rPr>
                <w:sz w:val="18"/>
                <w:szCs w:val="24"/>
              </w:rPr>
              <w:br/>
              <w:t>TO-MUS</w:t>
            </w:r>
            <w:r w:rsidRPr="00353369">
              <w:rPr>
                <w:sz w:val="18"/>
                <w:szCs w:val="24"/>
              </w:rPr>
              <w:t>: $1,438</w:t>
            </w:r>
          </w:p>
          <w:p w14:paraId="66BC71F6" w14:textId="077CE483" w:rsidR="00F26DC9" w:rsidRPr="00353369" w:rsidRDefault="00F26DC9">
            <w:pPr>
              <w:pStyle w:val="051Tabletext228pt"/>
              <w:ind w:left="-57" w:right="-57"/>
              <w:rPr>
                <w:sz w:val="18"/>
                <w:szCs w:val="24"/>
              </w:rPr>
            </w:pPr>
            <w:r w:rsidRPr="00353369">
              <w:rPr>
                <w:sz w:val="18"/>
                <w:szCs w:val="24"/>
              </w:rPr>
              <w:t>ICER: $177,027/QALY</w:t>
            </w:r>
          </w:p>
        </w:tc>
        <w:tc>
          <w:tcPr>
            <w:tcW w:w="1220" w:type="pct"/>
          </w:tcPr>
          <w:p w14:paraId="666CDDE8" w14:textId="77777777" w:rsidR="00F26DC9" w:rsidRPr="00760074" w:rsidRDefault="00F26DC9">
            <w:pPr>
              <w:pStyle w:val="051Tabletext228pt"/>
              <w:ind w:left="-57" w:right="-57"/>
              <w:rPr>
                <w:sz w:val="18"/>
                <w:szCs w:val="24"/>
              </w:rPr>
            </w:pPr>
            <w:r>
              <w:rPr>
                <w:sz w:val="18"/>
                <w:szCs w:val="24"/>
                <w:u w:val="single"/>
              </w:rPr>
              <w:t>TO-MUS</w:t>
            </w:r>
            <w:r w:rsidRPr="00353369">
              <w:rPr>
                <w:sz w:val="18"/>
                <w:szCs w:val="24"/>
                <w:u w:val="single"/>
              </w:rPr>
              <w:t xml:space="preserve"> more cost-effective than </w:t>
            </w:r>
            <w:r>
              <w:rPr>
                <w:sz w:val="18"/>
                <w:szCs w:val="24"/>
                <w:u w:val="single"/>
              </w:rPr>
              <w:t>RP-MUS</w:t>
            </w:r>
            <w:r w:rsidRPr="00353369">
              <w:rPr>
                <w:sz w:val="18"/>
                <w:szCs w:val="24"/>
                <w:u w:val="single"/>
              </w:rPr>
              <w:t xml:space="preserve"> if</w:t>
            </w:r>
            <w:r>
              <w:rPr>
                <w:sz w:val="18"/>
                <w:szCs w:val="24"/>
              </w:rPr>
              <w:t>:</w:t>
            </w:r>
            <w:r w:rsidRPr="00760074">
              <w:rPr>
                <w:sz w:val="18"/>
                <w:szCs w:val="24"/>
              </w:rPr>
              <w:br/>
              <w:t xml:space="preserve">Price &lt;$1,852, </w:t>
            </w:r>
            <w:r>
              <w:rPr>
                <w:sz w:val="18"/>
                <w:szCs w:val="24"/>
              </w:rPr>
              <w:t>or</w:t>
            </w:r>
            <w:r w:rsidRPr="00760074">
              <w:rPr>
                <w:sz w:val="18"/>
                <w:szCs w:val="24"/>
              </w:rPr>
              <w:br/>
              <w:t>Efficacy &gt;76.1%</w:t>
            </w:r>
            <w:r>
              <w:rPr>
                <w:sz w:val="18"/>
                <w:szCs w:val="24"/>
              </w:rPr>
              <w:br/>
              <w:t>In-patient surgery</w:t>
            </w:r>
          </w:p>
          <w:p w14:paraId="7989EA90" w14:textId="77777777" w:rsidR="00F26DC9" w:rsidRPr="00760074" w:rsidRDefault="00F26DC9">
            <w:pPr>
              <w:pStyle w:val="051Tabletext228pt"/>
              <w:ind w:left="-57" w:right="-57"/>
              <w:rPr>
                <w:sz w:val="18"/>
                <w:szCs w:val="24"/>
              </w:rPr>
            </w:pPr>
            <w:r>
              <w:rPr>
                <w:sz w:val="18"/>
                <w:szCs w:val="24"/>
                <w:u w:val="single"/>
              </w:rPr>
              <w:t>RP-MUS</w:t>
            </w:r>
            <w:r w:rsidRPr="00353369">
              <w:rPr>
                <w:sz w:val="18"/>
                <w:szCs w:val="24"/>
                <w:u w:val="single"/>
              </w:rPr>
              <w:t xml:space="preserve"> more cost-effective than </w:t>
            </w:r>
            <w:r>
              <w:rPr>
                <w:sz w:val="18"/>
                <w:szCs w:val="24"/>
                <w:u w:val="single"/>
              </w:rPr>
              <w:t>TO-MUS</w:t>
            </w:r>
            <w:r w:rsidRPr="00353369">
              <w:rPr>
                <w:sz w:val="18"/>
                <w:szCs w:val="24"/>
                <w:u w:val="single"/>
              </w:rPr>
              <w:t xml:space="preserve"> if</w:t>
            </w:r>
            <w:r>
              <w:rPr>
                <w:sz w:val="18"/>
                <w:szCs w:val="24"/>
              </w:rPr>
              <w:t>:</w:t>
            </w:r>
            <w:r w:rsidRPr="00760074">
              <w:rPr>
                <w:sz w:val="18"/>
                <w:szCs w:val="24"/>
              </w:rPr>
              <w:br/>
              <w:t xml:space="preserve">Price &lt;$603, </w:t>
            </w:r>
            <w:r>
              <w:rPr>
                <w:sz w:val="18"/>
                <w:szCs w:val="24"/>
              </w:rPr>
              <w:t>or</w:t>
            </w:r>
            <w:r w:rsidRPr="00760074">
              <w:rPr>
                <w:sz w:val="18"/>
                <w:szCs w:val="24"/>
              </w:rPr>
              <w:br/>
              <w:t>Efficacy &gt;94%</w:t>
            </w:r>
            <w:r>
              <w:rPr>
                <w:sz w:val="18"/>
                <w:szCs w:val="24"/>
              </w:rPr>
              <w:br/>
              <w:t>Ambulatory surgery</w:t>
            </w:r>
          </w:p>
        </w:tc>
        <w:tc>
          <w:tcPr>
            <w:tcW w:w="629" w:type="pct"/>
          </w:tcPr>
          <w:p w14:paraId="3AF89BFC" w14:textId="5D571F66" w:rsidR="00F26DC9" w:rsidRPr="00D40D4C" w:rsidRDefault="00F26DC9">
            <w:pPr>
              <w:pStyle w:val="051Tabletext228pt"/>
              <w:ind w:left="-57" w:right="-57"/>
              <w:rPr>
                <w:sz w:val="18"/>
                <w:szCs w:val="24"/>
              </w:rPr>
            </w:pPr>
            <w:r>
              <w:rPr>
                <w:sz w:val="18"/>
                <w:szCs w:val="24"/>
              </w:rPr>
              <w:t>TO-MUS</w:t>
            </w:r>
            <w:r w:rsidRPr="00D40D4C">
              <w:rPr>
                <w:sz w:val="18"/>
                <w:szCs w:val="24"/>
              </w:rPr>
              <w:t xml:space="preserve"> is </w:t>
            </w:r>
            <w:r w:rsidRPr="00D40D4C" w:rsidDel="00060330">
              <w:rPr>
                <w:sz w:val="18"/>
                <w:szCs w:val="24"/>
              </w:rPr>
              <w:t>cost</w:t>
            </w:r>
            <w:r>
              <w:rPr>
                <w:sz w:val="18"/>
                <w:szCs w:val="24"/>
              </w:rPr>
              <w:t>-</w:t>
            </w:r>
            <w:r w:rsidRPr="00D40D4C">
              <w:rPr>
                <w:sz w:val="18"/>
                <w:szCs w:val="24"/>
              </w:rPr>
              <w:t xml:space="preserve">effective compared to </w:t>
            </w:r>
            <w:r>
              <w:rPr>
                <w:sz w:val="18"/>
                <w:szCs w:val="24"/>
              </w:rPr>
              <w:t>RP-MUS</w:t>
            </w:r>
          </w:p>
        </w:tc>
      </w:tr>
    </w:tbl>
    <w:p w14:paraId="7CB26088" w14:textId="0D78962A" w:rsidR="00F26DC9" w:rsidRPr="00B0485F" w:rsidRDefault="00F26DC9" w:rsidP="00F26DC9">
      <w:pPr>
        <w:pStyle w:val="111Tablefootnoteslast-nostick8pt"/>
        <w:rPr>
          <w:lang w:val="en-AU"/>
        </w:rPr>
      </w:pPr>
      <w:r>
        <w:rPr>
          <w:lang w:val="en-AU"/>
        </w:rPr>
        <w:t xml:space="preserve">Abbreviations: </w:t>
      </w:r>
      <w:r w:rsidRPr="00B0485F">
        <w:rPr>
          <w:lang w:val="en-AU"/>
        </w:rPr>
        <w:t>ICER</w:t>
      </w:r>
      <w:r>
        <w:rPr>
          <w:lang w:val="en-AU"/>
        </w:rPr>
        <w:t>,</w:t>
      </w:r>
      <w:r w:rsidRPr="00B0485F">
        <w:rPr>
          <w:lang w:val="en-AU"/>
        </w:rPr>
        <w:t xml:space="preserve"> incremental cost-effectiveness ratio; MUS</w:t>
      </w:r>
      <w:r>
        <w:rPr>
          <w:lang w:val="en-AU"/>
        </w:rPr>
        <w:t>,</w:t>
      </w:r>
      <w:r w:rsidRPr="00B0485F">
        <w:rPr>
          <w:lang w:val="en-AU"/>
        </w:rPr>
        <w:t xml:space="preserve"> mid-urethral sling; QALY</w:t>
      </w:r>
      <w:r>
        <w:rPr>
          <w:lang w:val="en-AU"/>
        </w:rPr>
        <w:t xml:space="preserve">, </w:t>
      </w:r>
      <w:r w:rsidRPr="00B0485F">
        <w:rPr>
          <w:lang w:val="en-AU"/>
        </w:rPr>
        <w:t xml:space="preserve">quality-adjusted life year; </w:t>
      </w:r>
      <w:r>
        <w:rPr>
          <w:lang w:val="en-AU"/>
        </w:rPr>
        <w:t>RP-MUS,</w:t>
      </w:r>
      <w:r w:rsidRPr="00B0485F">
        <w:rPr>
          <w:lang w:val="en-AU"/>
        </w:rPr>
        <w:t xml:space="preserve"> retropubic MUS; SUI</w:t>
      </w:r>
      <w:r>
        <w:rPr>
          <w:lang w:val="en-AU"/>
        </w:rPr>
        <w:t>,</w:t>
      </w:r>
      <w:r w:rsidRPr="00B0485F">
        <w:rPr>
          <w:lang w:val="en-AU"/>
        </w:rPr>
        <w:t xml:space="preserve"> stress urinary incontinence; </w:t>
      </w:r>
      <w:r>
        <w:rPr>
          <w:lang w:val="en-AU"/>
        </w:rPr>
        <w:t>TO-MUS,</w:t>
      </w:r>
      <w:r w:rsidRPr="00B0485F">
        <w:rPr>
          <w:lang w:val="en-AU"/>
        </w:rPr>
        <w:t xml:space="preserve"> </w:t>
      </w:r>
      <w:proofErr w:type="spellStart"/>
      <w:r w:rsidRPr="00B0485F">
        <w:rPr>
          <w:lang w:val="en-AU"/>
        </w:rPr>
        <w:t>transobturator</w:t>
      </w:r>
      <w:proofErr w:type="spellEnd"/>
      <w:r w:rsidRPr="00B0485F">
        <w:rPr>
          <w:lang w:val="en-AU"/>
        </w:rPr>
        <w:t xml:space="preserve"> MUS</w:t>
      </w:r>
      <w:r>
        <w:rPr>
          <w:lang w:val="en-AU"/>
        </w:rPr>
        <w:t>; USD, US dollars</w:t>
      </w:r>
      <w:r w:rsidRPr="00B0485F">
        <w:rPr>
          <w:lang w:val="en-AU"/>
        </w:rPr>
        <w:t>.</w:t>
      </w:r>
    </w:p>
    <w:p w14:paraId="20397638" w14:textId="2B04EA8B" w:rsidR="00F26DC9" w:rsidRPr="00B0485F" w:rsidRDefault="00F26DC9" w:rsidP="00F26DC9">
      <w:pPr>
        <w:pStyle w:val="BodyText"/>
      </w:pPr>
      <w:r w:rsidRPr="00B0485F">
        <w:t>The two types of</w:t>
      </w:r>
      <w:r w:rsidRPr="00B0485F" w:rsidDel="00761BCF">
        <w:t xml:space="preserve"> </w:t>
      </w:r>
      <w:r>
        <w:t>MUS</w:t>
      </w:r>
      <w:r w:rsidRPr="00B0485F">
        <w:t xml:space="preserve"> were similar in their efficacy, with the </w:t>
      </w:r>
      <w:r>
        <w:t>RP</w:t>
      </w:r>
      <w:r w:rsidRPr="00B0485F">
        <w:t xml:space="preserve"> approach slightly superior to the </w:t>
      </w:r>
      <w:r>
        <w:t>TO</w:t>
      </w:r>
      <w:r w:rsidRPr="00B0485F">
        <w:t xml:space="preserve"> approach at 10 years based on objective cure outcome</w:t>
      </w:r>
      <w:r>
        <w:t>, though it was not clear if the quality-adjusted life year (QALY) increment was clinically meaningful</w:t>
      </w:r>
      <w:r w:rsidRPr="00B0485F">
        <w:t xml:space="preserve">. </w:t>
      </w:r>
      <w:r>
        <w:t>C</w:t>
      </w:r>
      <w:r w:rsidRPr="00B0485F">
        <w:t xml:space="preserve">osts of the </w:t>
      </w:r>
      <w:r>
        <w:t>RP</w:t>
      </w:r>
      <w:r w:rsidRPr="00B0485F">
        <w:t xml:space="preserve"> procedure were higher</w:t>
      </w:r>
      <w:r>
        <w:t xml:space="preserve"> than for TO, mainly driven by shorter operative time and associated hospital costs for TO-MUS.</w:t>
      </w:r>
      <w:r w:rsidRPr="00B0485F">
        <w:t xml:space="preserve"> </w:t>
      </w:r>
      <w:r>
        <w:t>Therefore,</w:t>
      </w:r>
      <w:r w:rsidRPr="00B0485F">
        <w:t xml:space="preserve"> overall cost-effectiveness favoured </w:t>
      </w:r>
      <w:r>
        <w:t>TO-MUS.</w:t>
      </w:r>
    </w:p>
    <w:p w14:paraId="57790507" w14:textId="66258F17" w:rsidR="00F26DC9" w:rsidRPr="00B0485F" w:rsidRDefault="00F26DC9" w:rsidP="00F26DC9">
      <w:pPr>
        <w:pStyle w:val="BodyText"/>
      </w:pPr>
      <w:r>
        <w:t xml:space="preserve">It is unclear how applicable these findings would be to the Australian setting given the device and medical service costs in Australia are similar for RP-MUS and TO-MUS, and the differences reported by </w:t>
      </w:r>
      <w:proofErr w:type="spellStart"/>
      <w:r>
        <w:t>Seklehner</w:t>
      </w:r>
      <w:proofErr w:type="spellEnd"/>
      <w:r>
        <w:t xml:space="preserve"> 2014 for procedure time (29.07 mins for RP-MUS vs. 22.58 mins for TO-MUS) and length of hospital stay (2.83 days for RP-MUS vs. 2.18 days for TO-MUS) are not substantial</w:t>
      </w:r>
      <w:r w:rsidDel="004A7FAB">
        <w:t>.</w:t>
      </w:r>
    </w:p>
    <w:p w14:paraId="6CAB0746" w14:textId="5348F1F7" w:rsidR="003212AF" w:rsidRPr="00B0485F" w:rsidRDefault="003212AF" w:rsidP="00D26049">
      <w:pPr>
        <w:pStyle w:val="Heading4"/>
      </w:pPr>
      <w:r w:rsidRPr="00B0485F">
        <w:t>Laudano (2013)</w:t>
      </w:r>
    </w:p>
    <w:p w14:paraId="7842FBF7" w14:textId="09BCE760" w:rsidR="003212AF" w:rsidRPr="00B0485F" w:rsidRDefault="003212AF" w:rsidP="003212AF">
      <w:pPr>
        <w:pStyle w:val="BodyText"/>
      </w:pPr>
      <w:r w:rsidRPr="00B0485F">
        <w:t>The</w:t>
      </w:r>
      <w:r w:rsidRPr="00B0485F" w:rsidDel="00EE3A95">
        <w:t xml:space="preserve"> </w:t>
      </w:r>
      <w:r w:rsidRPr="00B0485F">
        <w:t>characteristics of</w:t>
      </w:r>
      <w:r w:rsidR="00981E02">
        <w:t xml:space="preserve"> the </w:t>
      </w:r>
      <w:r w:rsidR="00C41420">
        <w:t>economic analysis</w:t>
      </w:r>
      <w:r w:rsidR="00981E02">
        <w:t xml:space="preserve"> by Lau</w:t>
      </w:r>
      <w:r w:rsidR="007C56BA">
        <w:t xml:space="preserve">dano </w:t>
      </w:r>
      <w:r w:rsidR="0068501E">
        <w:t>and colleagues</w:t>
      </w:r>
      <w:r w:rsidRPr="00B0485F">
        <w:t xml:space="preserve"> </w:t>
      </w:r>
      <w:r w:rsidR="00245CE2">
        <w:rPr>
          <w:noProof/>
        </w:rPr>
        <w:t>(Laudano 2013)</w:t>
      </w:r>
      <w:r w:rsidRPr="00B0485F">
        <w:t xml:space="preserve"> are summarised in </w:t>
      </w:r>
      <w:r w:rsidRPr="00FA516A">
        <w:rPr>
          <w:b/>
          <w:bCs/>
        </w:rPr>
        <w:fldChar w:fldCharType="begin"/>
      </w:r>
      <w:r w:rsidRPr="00FA516A">
        <w:rPr>
          <w:b/>
          <w:bCs/>
        </w:rPr>
        <w:instrText xml:space="preserve"> REF _Ref131001035 \h </w:instrText>
      </w:r>
      <w:r w:rsidR="00FA516A">
        <w:rPr>
          <w:b/>
          <w:bCs/>
        </w:rPr>
        <w:instrText xml:space="preserve"> \* MERGEFORMAT </w:instrText>
      </w:r>
      <w:r w:rsidRPr="00FA516A">
        <w:rPr>
          <w:b/>
          <w:bCs/>
        </w:rPr>
      </w:r>
      <w:r w:rsidRPr="00FA516A">
        <w:rPr>
          <w:b/>
          <w:bCs/>
        </w:rPr>
        <w:fldChar w:fldCharType="separate"/>
      </w:r>
      <w:r w:rsidR="007105D3" w:rsidRPr="007105D3">
        <w:rPr>
          <w:b/>
          <w:bCs/>
        </w:rPr>
        <w:t xml:space="preserve">Table </w:t>
      </w:r>
      <w:r w:rsidR="007105D3" w:rsidRPr="007105D3">
        <w:rPr>
          <w:b/>
          <w:bCs/>
          <w:noProof/>
        </w:rPr>
        <w:t>22</w:t>
      </w:r>
      <w:r w:rsidRPr="00FA516A">
        <w:rPr>
          <w:b/>
          <w:bCs/>
        </w:rPr>
        <w:fldChar w:fldCharType="end"/>
      </w:r>
      <w:r w:rsidRPr="00B0485F">
        <w:t>.</w:t>
      </w:r>
      <w:r>
        <w:t xml:space="preserve"> The authors compared </w:t>
      </w:r>
      <w:r w:rsidR="00FA516A">
        <w:t>RP-MUS</w:t>
      </w:r>
      <w:r>
        <w:t xml:space="preserve"> (</w:t>
      </w:r>
      <w:r w:rsidR="00184B5B" w:rsidRPr="00184B5B">
        <w:t xml:space="preserve">tension-free vaginal tape </w:t>
      </w:r>
      <w:r w:rsidR="00486694">
        <w:t>[</w:t>
      </w:r>
      <w:r>
        <w:t>TVT</w:t>
      </w:r>
      <w:r w:rsidR="00486694">
        <w:t>]</w:t>
      </w:r>
      <w:r>
        <w:t xml:space="preserve">) to </w:t>
      </w:r>
      <w:proofErr w:type="spellStart"/>
      <w:r>
        <w:t>colposuspension</w:t>
      </w:r>
      <w:proofErr w:type="spellEnd"/>
      <w:r>
        <w:t xml:space="preserve"> (Burch procedure).</w:t>
      </w:r>
    </w:p>
    <w:p w14:paraId="3CC93688" w14:textId="3FE83388" w:rsidR="003212AF" w:rsidRPr="00B0485F" w:rsidRDefault="003212AF" w:rsidP="003212AF">
      <w:pPr>
        <w:pStyle w:val="Caption"/>
      </w:pPr>
      <w:bookmarkStart w:id="126" w:name="_Ref131001035"/>
      <w:bookmarkStart w:id="127" w:name="_Toc132286048"/>
      <w:bookmarkStart w:id="128" w:name="_Toc165627890"/>
      <w:r w:rsidRPr="00B0485F">
        <w:t xml:space="preserve">Table </w:t>
      </w:r>
      <w:fldSimple w:instr=" SEQ Table \* ARABIC ">
        <w:r w:rsidR="007105D3">
          <w:rPr>
            <w:noProof/>
          </w:rPr>
          <w:t>22</w:t>
        </w:r>
      </w:fldSimple>
      <w:bookmarkEnd w:id="126"/>
      <w:r w:rsidRPr="00B0485F">
        <w:tab/>
        <w:t>Study characteristics of Laudano (2013)</w:t>
      </w:r>
      <w:bookmarkEnd w:id="127"/>
      <w:bookmarkEnd w:id="128"/>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tudy characteristics of Laudano (2013)"/>
        <w:tblDescription w:val="This table shows the study characteristics of the Laudano (2013) study including country, research question, perspective, time horizon, economic evaluation type, population, intervention, comparator, source of effectiveness inputs, funding and author conflicts of interest. "/>
      </w:tblPr>
      <w:tblGrid>
        <w:gridCol w:w="764"/>
        <w:gridCol w:w="1665"/>
        <w:gridCol w:w="1531"/>
        <w:gridCol w:w="1259"/>
        <w:gridCol w:w="1531"/>
        <w:gridCol w:w="1529"/>
        <w:gridCol w:w="1359"/>
      </w:tblGrid>
      <w:tr w:rsidR="00A10665" w:rsidRPr="00863FC1" w14:paraId="780C5F85" w14:textId="77777777" w:rsidTr="00B377F9">
        <w:trPr>
          <w:tblHeader/>
        </w:trPr>
        <w:tc>
          <w:tcPr>
            <w:tcW w:w="396" w:type="pct"/>
            <w:shd w:val="clear" w:color="auto" w:fill="BFBFBF"/>
          </w:tcPr>
          <w:p w14:paraId="0E3DC65E" w14:textId="77777777" w:rsidR="003212AF" w:rsidRPr="00863FC1" w:rsidRDefault="003212AF">
            <w:pPr>
              <w:pStyle w:val="011TableHeading8pt"/>
              <w:keepNext/>
              <w:ind w:left="-57" w:right="-57"/>
              <w:rPr>
                <w:sz w:val="18"/>
                <w:szCs w:val="24"/>
              </w:rPr>
            </w:pPr>
            <w:r w:rsidRPr="00863FC1">
              <w:rPr>
                <w:sz w:val="18"/>
                <w:szCs w:val="24"/>
              </w:rPr>
              <w:t>Study ID</w:t>
            </w:r>
            <w:r w:rsidRPr="00863FC1">
              <w:rPr>
                <w:sz w:val="18"/>
                <w:szCs w:val="24"/>
              </w:rPr>
              <w:br/>
              <w:t>Country</w:t>
            </w:r>
          </w:p>
        </w:tc>
        <w:tc>
          <w:tcPr>
            <w:tcW w:w="864" w:type="pct"/>
            <w:shd w:val="clear" w:color="auto" w:fill="BFBFBF"/>
          </w:tcPr>
          <w:p w14:paraId="72EFB825" w14:textId="6789A48B" w:rsidR="003212AF" w:rsidRPr="00863FC1" w:rsidRDefault="004F3F1E">
            <w:pPr>
              <w:pStyle w:val="011TableHeading8pt"/>
              <w:keepNext/>
              <w:ind w:left="-57" w:right="-57"/>
              <w:rPr>
                <w:sz w:val="18"/>
                <w:szCs w:val="24"/>
              </w:rPr>
            </w:pPr>
            <w:r>
              <w:rPr>
                <w:sz w:val="18"/>
                <w:szCs w:val="24"/>
              </w:rPr>
              <w:t>R</w:t>
            </w:r>
            <w:r w:rsidR="003212AF" w:rsidRPr="00863FC1">
              <w:rPr>
                <w:sz w:val="18"/>
                <w:szCs w:val="24"/>
              </w:rPr>
              <w:t>esearch question</w:t>
            </w:r>
          </w:p>
        </w:tc>
        <w:tc>
          <w:tcPr>
            <w:tcW w:w="794" w:type="pct"/>
            <w:shd w:val="clear" w:color="auto" w:fill="BFBFBF"/>
          </w:tcPr>
          <w:p w14:paraId="717865E4" w14:textId="77777777" w:rsidR="003212AF" w:rsidRPr="00863FC1" w:rsidRDefault="003212AF">
            <w:pPr>
              <w:pStyle w:val="011TableHeading8pt"/>
              <w:keepNext/>
              <w:ind w:left="-57" w:right="-57"/>
              <w:rPr>
                <w:sz w:val="18"/>
                <w:szCs w:val="24"/>
              </w:rPr>
            </w:pPr>
            <w:r w:rsidRPr="00863FC1">
              <w:rPr>
                <w:sz w:val="18"/>
                <w:szCs w:val="24"/>
              </w:rPr>
              <w:t xml:space="preserve">Perspective </w:t>
            </w:r>
            <w:r w:rsidRPr="00863FC1">
              <w:rPr>
                <w:sz w:val="18"/>
                <w:szCs w:val="24"/>
              </w:rPr>
              <w:br/>
              <w:t>Time horizon</w:t>
            </w:r>
            <w:r w:rsidRPr="00863FC1">
              <w:rPr>
                <w:sz w:val="18"/>
                <w:szCs w:val="24"/>
              </w:rPr>
              <w:br/>
              <w:t>EE type</w:t>
            </w:r>
          </w:p>
        </w:tc>
        <w:tc>
          <w:tcPr>
            <w:tcW w:w="653" w:type="pct"/>
            <w:shd w:val="clear" w:color="auto" w:fill="BFBFBF"/>
          </w:tcPr>
          <w:p w14:paraId="32E9BECF" w14:textId="77777777" w:rsidR="003212AF" w:rsidRPr="00863FC1" w:rsidRDefault="003212AF">
            <w:pPr>
              <w:pStyle w:val="011TableHeading8pt"/>
              <w:keepNext/>
              <w:ind w:left="-57" w:right="-57"/>
              <w:rPr>
                <w:sz w:val="18"/>
                <w:szCs w:val="24"/>
              </w:rPr>
            </w:pPr>
            <w:r w:rsidRPr="00863FC1">
              <w:rPr>
                <w:sz w:val="18"/>
                <w:szCs w:val="24"/>
              </w:rPr>
              <w:t>Population</w:t>
            </w:r>
          </w:p>
        </w:tc>
        <w:tc>
          <w:tcPr>
            <w:tcW w:w="794" w:type="pct"/>
            <w:shd w:val="clear" w:color="auto" w:fill="BFBFBF"/>
          </w:tcPr>
          <w:p w14:paraId="4C49E317" w14:textId="77777777" w:rsidR="003212AF" w:rsidRPr="00863FC1" w:rsidRDefault="003212AF">
            <w:pPr>
              <w:pStyle w:val="011TableHeading8pt"/>
              <w:keepNext/>
              <w:ind w:left="-57" w:right="-57"/>
              <w:rPr>
                <w:sz w:val="18"/>
                <w:szCs w:val="24"/>
              </w:rPr>
            </w:pPr>
            <w:r w:rsidRPr="00863FC1">
              <w:rPr>
                <w:sz w:val="18"/>
                <w:szCs w:val="24"/>
              </w:rPr>
              <w:t>Intervention</w:t>
            </w:r>
            <w:r w:rsidRPr="00863FC1">
              <w:rPr>
                <w:sz w:val="18"/>
                <w:szCs w:val="24"/>
              </w:rPr>
              <w:br/>
              <w:t>Comparator</w:t>
            </w:r>
          </w:p>
        </w:tc>
        <w:tc>
          <w:tcPr>
            <w:tcW w:w="793" w:type="pct"/>
            <w:shd w:val="clear" w:color="auto" w:fill="BFBFBF"/>
          </w:tcPr>
          <w:p w14:paraId="4999C5AB" w14:textId="77777777" w:rsidR="003212AF" w:rsidRPr="00863FC1" w:rsidRDefault="003212AF">
            <w:pPr>
              <w:pStyle w:val="011TableHeading8pt"/>
              <w:keepNext/>
              <w:ind w:left="-57" w:right="-57"/>
              <w:rPr>
                <w:sz w:val="18"/>
                <w:szCs w:val="24"/>
              </w:rPr>
            </w:pPr>
            <w:r w:rsidRPr="00863FC1">
              <w:rPr>
                <w:sz w:val="18"/>
                <w:szCs w:val="24"/>
              </w:rPr>
              <w:t>Source of effectiveness inputs</w:t>
            </w:r>
          </w:p>
        </w:tc>
        <w:tc>
          <w:tcPr>
            <w:tcW w:w="705" w:type="pct"/>
            <w:shd w:val="clear" w:color="auto" w:fill="BFBFBF"/>
          </w:tcPr>
          <w:p w14:paraId="2B410292" w14:textId="77777777" w:rsidR="003212AF" w:rsidRPr="00863FC1" w:rsidRDefault="003212AF">
            <w:pPr>
              <w:pStyle w:val="011TableHeading8pt"/>
              <w:keepNext/>
              <w:ind w:left="-57" w:right="-57"/>
              <w:rPr>
                <w:sz w:val="18"/>
                <w:szCs w:val="24"/>
              </w:rPr>
            </w:pPr>
            <w:r w:rsidRPr="00863FC1">
              <w:rPr>
                <w:sz w:val="18"/>
                <w:szCs w:val="24"/>
              </w:rPr>
              <w:t>Funding</w:t>
            </w:r>
            <w:r w:rsidRPr="00863FC1">
              <w:rPr>
                <w:sz w:val="18"/>
                <w:szCs w:val="24"/>
              </w:rPr>
              <w:br/>
              <w:t>Author COIs</w:t>
            </w:r>
          </w:p>
        </w:tc>
      </w:tr>
      <w:tr w:rsidR="00A10665" w:rsidRPr="00D40D4C" w14:paraId="586107F8" w14:textId="77777777" w:rsidTr="00A7673C">
        <w:tc>
          <w:tcPr>
            <w:tcW w:w="396" w:type="pct"/>
            <w:shd w:val="clear" w:color="auto" w:fill="auto"/>
          </w:tcPr>
          <w:p w14:paraId="0DB97245" w14:textId="77777777" w:rsidR="003212AF" w:rsidRPr="00D40D4C" w:rsidRDefault="003212AF">
            <w:pPr>
              <w:pStyle w:val="051Tabletext228pt"/>
              <w:ind w:left="-57" w:right="-57"/>
              <w:rPr>
                <w:sz w:val="18"/>
                <w:szCs w:val="24"/>
              </w:rPr>
            </w:pPr>
            <w:r w:rsidRPr="00D40D4C">
              <w:rPr>
                <w:sz w:val="18"/>
                <w:szCs w:val="24"/>
              </w:rPr>
              <w:t>Laudano 2013</w:t>
            </w:r>
            <w:r w:rsidRPr="00D40D4C">
              <w:rPr>
                <w:sz w:val="18"/>
                <w:szCs w:val="24"/>
              </w:rPr>
              <w:br/>
              <w:t>USA</w:t>
            </w:r>
          </w:p>
        </w:tc>
        <w:tc>
          <w:tcPr>
            <w:tcW w:w="864" w:type="pct"/>
          </w:tcPr>
          <w:p w14:paraId="1E618BC6" w14:textId="0C525F30" w:rsidR="003212AF" w:rsidRPr="00D40D4C" w:rsidRDefault="003212AF">
            <w:pPr>
              <w:pStyle w:val="051Tabletext228pt"/>
              <w:ind w:left="-57" w:right="-57"/>
              <w:rPr>
                <w:sz w:val="18"/>
                <w:szCs w:val="24"/>
              </w:rPr>
            </w:pPr>
            <w:r w:rsidRPr="00D40D4C">
              <w:rPr>
                <w:sz w:val="18"/>
                <w:szCs w:val="24"/>
              </w:rPr>
              <w:t>What is the cost-effectiveness</w:t>
            </w:r>
            <w:r w:rsidR="00AA3D90">
              <w:rPr>
                <w:sz w:val="18"/>
                <w:szCs w:val="24"/>
              </w:rPr>
              <w:t xml:space="preserve"> of</w:t>
            </w:r>
            <w:r w:rsidRPr="00D40D4C">
              <w:rPr>
                <w:sz w:val="18"/>
                <w:szCs w:val="24"/>
              </w:rPr>
              <w:t xml:space="preserve"> TVT compared to Burch </w:t>
            </w:r>
            <w:proofErr w:type="spellStart"/>
            <w:r w:rsidRPr="00D40D4C">
              <w:rPr>
                <w:sz w:val="18"/>
                <w:szCs w:val="24"/>
              </w:rPr>
              <w:t>colposuspension</w:t>
            </w:r>
            <w:proofErr w:type="spellEnd"/>
            <w:r w:rsidRPr="00D40D4C">
              <w:rPr>
                <w:sz w:val="18"/>
                <w:szCs w:val="24"/>
              </w:rPr>
              <w:t xml:space="preserve"> for female SUI?</w:t>
            </w:r>
          </w:p>
        </w:tc>
        <w:tc>
          <w:tcPr>
            <w:tcW w:w="794" w:type="pct"/>
            <w:shd w:val="clear" w:color="auto" w:fill="auto"/>
          </w:tcPr>
          <w:p w14:paraId="1F3BE214" w14:textId="4678467E" w:rsidR="003212AF" w:rsidRPr="00D40D4C" w:rsidRDefault="0048762F">
            <w:pPr>
              <w:pStyle w:val="051Tabletext228pt"/>
              <w:ind w:left="-57" w:right="-57"/>
              <w:rPr>
                <w:sz w:val="18"/>
                <w:szCs w:val="24"/>
              </w:rPr>
            </w:pPr>
            <w:r>
              <w:rPr>
                <w:sz w:val="18"/>
                <w:szCs w:val="24"/>
              </w:rPr>
              <w:t>US h</w:t>
            </w:r>
            <w:r w:rsidR="003212AF" w:rsidRPr="00D40D4C">
              <w:rPr>
                <w:sz w:val="18"/>
                <w:szCs w:val="24"/>
              </w:rPr>
              <w:t>ealth</w:t>
            </w:r>
            <w:r w:rsidR="00EC1684">
              <w:rPr>
                <w:sz w:val="18"/>
                <w:szCs w:val="24"/>
              </w:rPr>
              <w:t xml:space="preserve"> </w:t>
            </w:r>
            <w:r w:rsidR="003212AF" w:rsidRPr="00D40D4C">
              <w:rPr>
                <w:sz w:val="18"/>
                <w:szCs w:val="24"/>
              </w:rPr>
              <w:t>care</w:t>
            </w:r>
            <w:r w:rsidR="003212AF" w:rsidRPr="00D40D4C">
              <w:rPr>
                <w:sz w:val="18"/>
                <w:szCs w:val="24"/>
              </w:rPr>
              <w:br/>
              <w:t xml:space="preserve">10 </w:t>
            </w:r>
            <w:proofErr w:type="spellStart"/>
            <w:r w:rsidR="003212AF" w:rsidRPr="00D40D4C">
              <w:rPr>
                <w:sz w:val="18"/>
                <w:szCs w:val="24"/>
              </w:rPr>
              <w:t>yr</w:t>
            </w:r>
            <w:proofErr w:type="spellEnd"/>
            <w:r w:rsidR="003212AF" w:rsidRPr="00D40D4C">
              <w:rPr>
                <w:sz w:val="18"/>
                <w:szCs w:val="24"/>
              </w:rPr>
              <w:br/>
            </w:r>
            <w:r w:rsidR="00B05F7C">
              <w:rPr>
                <w:iCs/>
                <w:sz w:val="18"/>
                <w:szCs w:val="24"/>
              </w:rPr>
              <w:t>CUA</w:t>
            </w:r>
            <w:r w:rsidR="00441E99">
              <w:rPr>
                <w:iCs/>
                <w:sz w:val="18"/>
                <w:szCs w:val="24"/>
              </w:rPr>
              <w:t xml:space="preserve">: </w:t>
            </w:r>
            <w:r w:rsidR="00A64633" w:rsidRPr="00A64633">
              <w:rPr>
                <w:iCs/>
                <w:sz w:val="18"/>
                <w:szCs w:val="24"/>
              </w:rPr>
              <w:t>Markov</w:t>
            </w:r>
            <w:r w:rsidR="00BE3741">
              <w:rPr>
                <w:iCs/>
                <w:sz w:val="18"/>
                <w:szCs w:val="24"/>
              </w:rPr>
              <w:t>-</w:t>
            </w:r>
            <w:r w:rsidR="00816937">
              <w:rPr>
                <w:iCs/>
                <w:sz w:val="18"/>
                <w:szCs w:val="24"/>
              </w:rPr>
              <w:t xml:space="preserve">chain </w:t>
            </w:r>
            <w:r w:rsidR="00A64633" w:rsidRPr="00A64633">
              <w:rPr>
                <w:iCs/>
                <w:sz w:val="18"/>
                <w:szCs w:val="24"/>
              </w:rPr>
              <w:t>decision model</w:t>
            </w:r>
            <w:r w:rsidR="009329BF">
              <w:rPr>
                <w:iCs/>
                <w:sz w:val="18"/>
                <w:szCs w:val="24"/>
              </w:rPr>
              <w:t xml:space="preserve"> (</w:t>
            </w:r>
            <w:r w:rsidR="00A7673C">
              <w:rPr>
                <w:iCs/>
                <w:sz w:val="18"/>
                <w:szCs w:val="24"/>
              </w:rPr>
              <w:t>+</w:t>
            </w:r>
            <w:r w:rsidR="00AB0A74">
              <w:rPr>
                <w:iCs/>
                <w:sz w:val="18"/>
                <w:szCs w:val="24"/>
              </w:rPr>
              <w:t xml:space="preserve"> Monte Carlo simulation)</w:t>
            </w:r>
            <w:r w:rsidR="00EB404D">
              <w:rPr>
                <w:iCs/>
                <w:sz w:val="18"/>
                <w:szCs w:val="24"/>
              </w:rPr>
              <w:t xml:space="preserve">; </w:t>
            </w:r>
            <w:r w:rsidR="007567FF">
              <w:rPr>
                <w:iCs/>
                <w:sz w:val="18"/>
                <w:szCs w:val="24"/>
              </w:rPr>
              <w:t xml:space="preserve">4.54% </w:t>
            </w:r>
            <w:r w:rsidR="00764B58">
              <w:rPr>
                <w:sz w:val="18"/>
                <w:szCs w:val="24"/>
              </w:rPr>
              <w:t>annual discount rate</w:t>
            </w:r>
            <w:r w:rsidR="001630A7">
              <w:rPr>
                <w:sz w:val="18"/>
                <w:szCs w:val="24"/>
              </w:rPr>
              <w:t>; 2006 costs</w:t>
            </w:r>
          </w:p>
        </w:tc>
        <w:tc>
          <w:tcPr>
            <w:tcW w:w="653" w:type="pct"/>
          </w:tcPr>
          <w:p w14:paraId="575CE71D" w14:textId="77777777" w:rsidR="003212AF" w:rsidRPr="00D40D4C" w:rsidRDefault="003212AF">
            <w:pPr>
              <w:pStyle w:val="051Tabletext228pt"/>
              <w:ind w:left="-57" w:right="-57"/>
              <w:rPr>
                <w:sz w:val="18"/>
                <w:szCs w:val="24"/>
              </w:rPr>
            </w:pPr>
            <w:r w:rsidRPr="00D40D4C">
              <w:rPr>
                <w:sz w:val="18"/>
                <w:szCs w:val="24"/>
              </w:rPr>
              <w:t>Primary SUI</w:t>
            </w:r>
          </w:p>
        </w:tc>
        <w:tc>
          <w:tcPr>
            <w:tcW w:w="794" w:type="pct"/>
          </w:tcPr>
          <w:p w14:paraId="221B392D" w14:textId="0F353A7A" w:rsidR="003212AF" w:rsidRPr="00D40D4C" w:rsidRDefault="003212AF">
            <w:pPr>
              <w:pStyle w:val="051Tabletext228pt"/>
              <w:ind w:left="-57" w:right="-57"/>
              <w:rPr>
                <w:sz w:val="18"/>
                <w:szCs w:val="24"/>
              </w:rPr>
            </w:pPr>
            <w:r>
              <w:rPr>
                <w:sz w:val="18"/>
                <w:szCs w:val="24"/>
              </w:rPr>
              <w:t>TVT (</w:t>
            </w:r>
            <w:r w:rsidR="00B94BCF">
              <w:rPr>
                <w:sz w:val="18"/>
                <w:szCs w:val="24"/>
              </w:rPr>
              <w:t>RP-MUS</w:t>
            </w:r>
            <w:r>
              <w:rPr>
                <w:sz w:val="18"/>
                <w:szCs w:val="24"/>
              </w:rPr>
              <w:t>)</w:t>
            </w:r>
            <w:r w:rsidRPr="00D40D4C">
              <w:rPr>
                <w:sz w:val="18"/>
                <w:szCs w:val="24"/>
              </w:rPr>
              <w:br/>
              <w:t>B</w:t>
            </w:r>
            <w:r>
              <w:rPr>
                <w:sz w:val="18"/>
                <w:szCs w:val="24"/>
              </w:rPr>
              <w:t xml:space="preserve">urch </w:t>
            </w:r>
            <w:proofErr w:type="spellStart"/>
            <w:r>
              <w:rPr>
                <w:sz w:val="18"/>
                <w:szCs w:val="24"/>
              </w:rPr>
              <w:t>colposuspension</w:t>
            </w:r>
            <w:proofErr w:type="spellEnd"/>
          </w:p>
        </w:tc>
        <w:tc>
          <w:tcPr>
            <w:tcW w:w="793" w:type="pct"/>
          </w:tcPr>
          <w:p w14:paraId="096D2D92" w14:textId="3933314A" w:rsidR="003212AF" w:rsidRPr="00D40D4C" w:rsidRDefault="003212AF">
            <w:pPr>
              <w:pStyle w:val="051Tabletext228pt"/>
              <w:ind w:left="-57" w:right="-57"/>
              <w:rPr>
                <w:sz w:val="18"/>
                <w:szCs w:val="24"/>
              </w:rPr>
            </w:pPr>
            <w:r w:rsidRPr="00D40D4C">
              <w:rPr>
                <w:sz w:val="18"/>
                <w:szCs w:val="24"/>
              </w:rPr>
              <w:t xml:space="preserve">Literature search </w:t>
            </w:r>
            <w:r>
              <w:rPr>
                <w:sz w:val="18"/>
                <w:szCs w:val="24"/>
              </w:rPr>
              <w:br/>
            </w:r>
            <w:r w:rsidRPr="00D40D4C">
              <w:rPr>
                <w:sz w:val="18"/>
                <w:szCs w:val="24"/>
              </w:rPr>
              <w:t>(7 RCTs</w:t>
            </w:r>
            <w:r>
              <w:rPr>
                <w:sz w:val="18"/>
                <w:szCs w:val="24"/>
              </w:rPr>
              <w:t xml:space="preserve">; </w:t>
            </w:r>
            <w:r w:rsidRPr="00D40D4C">
              <w:rPr>
                <w:sz w:val="18"/>
                <w:szCs w:val="24"/>
              </w:rPr>
              <w:t>min. 12</w:t>
            </w:r>
            <w:r>
              <w:rPr>
                <w:sz w:val="18"/>
                <w:szCs w:val="24"/>
              </w:rPr>
              <w:t> </w:t>
            </w:r>
            <w:proofErr w:type="spellStart"/>
            <w:r w:rsidRPr="00D40D4C">
              <w:rPr>
                <w:sz w:val="18"/>
                <w:szCs w:val="24"/>
              </w:rPr>
              <w:t>mo</w:t>
            </w:r>
            <w:proofErr w:type="spellEnd"/>
            <w:r w:rsidRPr="00D40D4C">
              <w:rPr>
                <w:sz w:val="18"/>
                <w:szCs w:val="24"/>
              </w:rPr>
              <w:t xml:space="preserve"> follow-up)</w:t>
            </w:r>
          </w:p>
        </w:tc>
        <w:tc>
          <w:tcPr>
            <w:tcW w:w="705" w:type="pct"/>
            <w:shd w:val="clear" w:color="auto" w:fill="auto"/>
          </w:tcPr>
          <w:p w14:paraId="3C79F2AF" w14:textId="77777777" w:rsidR="003212AF" w:rsidRPr="00D40D4C" w:rsidRDefault="003212AF">
            <w:pPr>
              <w:pStyle w:val="051Tabletext228pt"/>
              <w:ind w:left="-57" w:right="-57"/>
              <w:rPr>
                <w:sz w:val="18"/>
                <w:szCs w:val="24"/>
              </w:rPr>
            </w:pPr>
            <w:r w:rsidRPr="00D40D4C">
              <w:rPr>
                <w:sz w:val="18"/>
                <w:szCs w:val="24"/>
              </w:rPr>
              <w:t>NR</w:t>
            </w:r>
          </w:p>
          <w:p w14:paraId="2D6009B4" w14:textId="77777777" w:rsidR="003212AF" w:rsidRPr="00D40D4C" w:rsidRDefault="003212AF">
            <w:pPr>
              <w:pStyle w:val="051Tabletext228pt"/>
              <w:ind w:left="-57" w:right="-57"/>
              <w:rPr>
                <w:sz w:val="18"/>
                <w:szCs w:val="24"/>
              </w:rPr>
            </w:pPr>
            <w:r w:rsidRPr="00D40D4C">
              <w:rPr>
                <w:sz w:val="18"/>
                <w:szCs w:val="24"/>
              </w:rPr>
              <w:t>Conflicts: none</w:t>
            </w:r>
          </w:p>
        </w:tc>
      </w:tr>
    </w:tbl>
    <w:p w14:paraId="1D7B9D2C" w14:textId="1B55636A" w:rsidR="003212AF" w:rsidRPr="00B0485F" w:rsidRDefault="003626BD" w:rsidP="003212AF">
      <w:pPr>
        <w:pStyle w:val="111Tablefootnoteslast-nostick8pt"/>
        <w:rPr>
          <w:lang w:val="en-AU"/>
        </w:rPr>
      </w:pPr>
      <w:r>
        <w:rPr>
          <w:lang w:val="en-AU"/>
        </w:rPr>
        <w:t xml:space="preserve">Abbreviations: </w:t>
      </w:r>
      <w:r w:rsidR="003212AF" w:rsidRPr="00B0485F">
        <w:rPr>
          <w:lang w:val="en-AU"/>
        </w:rPr>
        <w:t>COI</w:t>
      </w:r>
      <w:r>
        <w:rPr>
          <w:lang w:val="en-AU"/>
        </w:rPr>
        <w:t>,</w:t>
      </w:r>
      <w:r w:rsidR="003212AF" w:rsidRPr="00B0485F">
        <w:rPr>
          <w:lang w:val="en-AU"/>
        </w:rPr>
        <w:t xml:space="preserve"> conflict of interest; </w:t>
      </w:r>
      <w:r w:rsidR="00441E99">
        <w:rPr>
          <w:lang w:val="en-AU"/>
        </w:rPr>
        <w:t>CUA, cost-utility</w:t>
      </w:r>
      <w:r w:rsidR="0013477D">
        <w:rPr>
          <w:lang w:val="en-AU"/>
        </w:rPr>
        <w:t xml:space="preserve"> analysis; </w:t>
      </w:r>
      <w:r w:rsidR="003212AF" w:rsidRPr="00B0485F">
        <w:rPr>
          <w:lang w:val="en-AU"/>
        </w:rPr>
        <w:t>EE</w:t>
      </w:r>
      <w:r>
        <w:rPr>
          <w:lang w:val="en-AU"/>
        </w:rPr>
        <w:t>,</w:t>
      </w:r>
      <w:r w:rsidR="003212AF" w:rsidRPr="00B0485F">
        <w:rPr>
          <w:lang w:val="en-AU"/>
        </w:rPr>
        <w:t xml:space="preserve"> economic evaluation; </w:t>
      </w:r>
      <w:proofErr w:type="spellStart"/>
      <w:r w:rsidR="003212AF" w:rsidRPr="00B0485F">
        <w:rPr>
          <w:lang w:val="en-AU"/>
        </w:rPr>
        <w:t>mo</w:t>
      </w:r>
      <w:proofErr w:type="spellEnd"/>
      <w:r>
        <w:rPr>
          <w:lang w:val="en-AU"/>
        </w:rPr>
        <w:t>,</w:t>
      </w:r>
      <w:r w:rsidR="003212AF" w:rsidRPr="00B0485F">
        <w:rPr>
          <w:lang w:val="en-AU"/>
        </w:rPr>
        <w:t xml:space="preserve"> month(s); </w:t>
      </w:r>
      <w:r w:rsidR="003212AF">
        <w:rPr>
          <w:lang w:val="en-AU"/>
        </w:rPr>
        <w:t>MUS</w:t>
      </w:r>
      <w:r>
        <w:rPr>
          <w:lang w:val="en-AU"/>
        </w:rPr>
        <w:t>,</w:t>
      </w:r>
      <w:r w:rsidR="003212AF">
        <w:rPr>
          <w:lang w:val="en-AU"/>
        </w:rPr>
        <w:t xml:space="preserve"> mid-urethral sling; </w:t>
      </w:r>
      <w:r w:rsidR="003212AF" w:rsidRPr="00B0485F">
        <w:rPr>
          <w:lang w:val="en-AU"/>
        </w:rPr>
        <w:t>NR</w:t>
      </w:r>
      <w:r>
        <w:rPr>
          <w:lang w:val="en-AU"/>
        </w:rPr>
        <w:t>,</w:t>
      </w:r>
      <w:r w:rsidR="003212AF" w:rsidRPr="00B0485F">
        <w:rPr>
          <w:lang w:val="en-AU"/>
        </w:rPr>
        <w:t xml:space="preserve"> not reported; RCT</w:t>
      </w:r>
      <w:r>
        <w:rPr>
          <w:lang w:val="en-AU"/>
        </w:rPr>
        <w:t>,</w:t>
      </w:r>
      <w:r w:rsidR="003212AF" w:rsidRPr="00B0485F">
        <w:rPr>
          <w:lang w:val="en-AU"/>
        </w:rPr>
        <w:t xml:space="preserve"> randomi</w:t>
      </w:r>
      <w:r>
        <w:rPr>
          <w:lang w:val="en-AU"/>
        </w:rPr>
        <w:t>s</w:t>
      </w:r>
      <w:r w:rsidR="003212AF" w:rsidRPr="00B0485F">
        <w:rPr>
          <w:lang w:val="en-AU"/>
        </w:rPr>
        <w:t xml:space="preserve">ed controlled trial; </w:t>
      </w:r>
      <w:r w:rsidR="00B94BCF">
        <w:rPr>
          <w:lang w:val="en-AU"/>
        </w:rPr>
        <w:t>RP-MUS</w:t>
      </w:r>
      <w:r>
        <w:rPr>
          <w:lang w:val="en-AU"/>
        </w:rPr>
        <w:t>,</w:t>
      </w:r>
      <w:r w:rsidR="003212AF">
        <w:rPr>
          <w:lang w:val="en-AU"/>
        </w:rPr>
        <w:t xml:space="preserve"> retropubic MUS; </w:t>
      </w:r>
      <w:r w:rsidR="003212AF" w:rsidRPr="00B0485F">
        <w:rPr>
          <w:lang w:val="en-AU"/>
        </w:rPr>
        <w:t>SUI</w:t>
      </w:r>
      <w:r w:rsidR="00D97F7C">
        <w:rPr>
          <w:lang w:val="en-AU"/>
        </w:rPr>
        <w:t>,</w:t>
      </w:r>
      <w:r w:rsidR="003212AF" w:rsidRPr="00B0485F">
        <w:rPr>
          <w:lang w:val="en-AU"/>
        </w:rPr>
        <w:t xml:space="preserve"> stress urinary incontinence; TVT</w:t>
      </w:r>
      <w:r w:rsidR="00D97F7C">
        <w:rPr>
          <w:lang w:val="en-AU"/>
        </w:rPr>
        <w:t>,</w:t>
      </w:r>
      <w:r w:rsidR="003212AF" w:rsidRPr="00B0485F">
        <w:rPr>
          <w:lang w:val="en-AU"/>
        </w:rPr>
        <w:t xml:space="preserve"> tension-free vaginal tape; </w:t>
      </w:r>
      <w:proofErr w:type="spellStart"/>
      <w:r w:rsidR="003212AF" w:rsidRPr="00B0485F">
        <w:rPr>
          <w:lang w:val="en-AU"/>
        </w:rPr>
        <w:t>yr</w:t>
      </w:r>
      <w:proofErr w:type="spellEnd"/>
      <w:r w:rsidR="00D97F7C">
        <w:rPr>
          <w:lang w:val="en-AU"/>
        </w:rPr>
        <w:t>,</w:t>
      </w:r>
      <w:r w:rsidR="003212AF" w:rsidRPr="00B0485F">
        <w:rPr>
          <w:lang w:val="en-AU"/>
        </w:rPr>
        <w:t xml:space="preserve"> year.</w:t>
      </w:r>
    </w:p>
    <w:p w14:paraId="2A495FED" w14:textId="7C019FB1" w:rsidR="003212AF" w:rsidRPr="00B0485F" w:rsidRDefault="003212AF" w:rsidP="003212AF">
      <w:pPr>
        <w:pStyle w:val="BodyText"/>
      </w:pPr>
      <w:r w:rsidRPr="00B0485F">
        <w:t xml:space="preserve">The authors presented a model based on </w:t>
      </w:r>
      <w:r>
        <w:t>seven</w:t>
      </w:r>
      <w:r w:rsidRPr="00B0485F">
        <w:t xml:space="preserve"> </w:t>
      </w:r>
      <w:r>
        <w:t>RCTs</w:t>
      </w:r>
      <w:r w:rsidRPr="00B0485F">
        <w:t xml:space="preserve"> comparing open </w:t>
      </w:r>
      <w:proofErr w:type="spellStart"/>
      <w:r w:rsidRPr="00B0485F">
        <w:t>colposuspension</w:t>
      </w:r>
      <w:proofErr w:type="spellEnd"/>
      <w:r w:rsidRPr="00B0485F">
        <w:t xml:space="preserve"> to </w:t>
      </w:r>
      <w:r w:rsidR="00D97F7C">
        <w:t>RP-</w:t>
      </w:r>
      <w:r w:rsidR="005D71A4">
        <w:t>MUS</w:t>
      </w:r>
      <w:r w:rsidRPr="00B0485F">
        <w:t xml:space="preserve">. One-way and two-way sensitivity analyses varied the cost of the </w:t>
      </w:r>
      <w:r>
        <w:t>sling</w:t>
      </w:r>
      <w:r w:rsidRPr="00B0485F">
        <w:t xml:space="preserve"> device and/or its success rate. It was not explained how efficacy (cure rate) was defined, though the health state to which patients with successful surgery transitioned was “no leakage (dry)”. </w:t>
      </w:r>
      <w:r>
        <w:t>Also, i</w:t>
      </w:r>
      <w:r w:rsidRPr="00B0485F">
        <w:t xml:space="preserve">t was not clear that </w:t>
      </w:r>
      <w:r>
        <w:t xml:space="preserve">either </w:t>
      </w:r>
      <w:r w:rsidRPr="00B0485F">
        <w:t xml:space="preserve">the efficacy </w:t>
      </w:r>
      <w:r>
        <w:t xml:space="preserve">or complication </w:t>
      </w:r>
      <w:r w:rsidRPr="00B0485F">
        <w:t>rates, which were extracted from studies with 12-24 months follow-up, would remain applicable at 10 years as the authors contended.</w:t>
      </w:r>
    </w:p>
    <w:p w14:paraId="5BF1D0C0" w14:textId="77777777" w:rsidR="003212AF" w:rsidRPr="00B0485F" w:rsidRDefault="003212AF" w:rsidP="003212AF">
      <w:pPr>
        <w:pStyle w:val="Heading5"/>
      </w:pPr>
      <w:r w:rsidRPr="00B0485F">
        <w:lastRenderedPageBreak/>
        <w:t>Findings</w:t>
      </w:r>
    </w:p>
    <w:p w14:paraId="66E244CB" w14:textId="628B889B" w:rsidR="003212AF" w:rsidRPr="00B0485F" w:rsidRDefault="003212AF" w:rsidP="003212AF">
      <w:pPr>
        <w:pStyle w:val="BodyText"/>
        <w:rPr>
          <w:highlight w:val="yellow"/>
        </w:rPr>
      </w:pPr>
      <w:r w:rsidRPr="00B0485F">
        <w:t>The findings of the cost</w:t>
      </w:r>
      <w:r w:rsidR="007F3BED">
        <w:t>-utility</w:t>
      </w:r>
      <w:r w:rsidRPr="00B0485F" w:rsidDel="007F3BED">
        <w:t xml:space="preserve"> </w:t>
      </w:r>
      <w:r w:rsidRPr="00B0485F">
        <w:t xml:space="preserve">analysis are presented in </w:t>
      </w:r>
      <w:r w:rsidRPr="009E6902">
        <w:rPr>
          <w:b/>
          <w:bCs/>
        </w:rPr>
        <w:fldChar w:fldCharType="begin"/>
      </w:r>
      <w:r w:rsidRPr="009E6902">
        <w:rPr>
          <w:b/>
          <w:bCs/>
        </w:rPr>
        <w:instrText xml:space="preserve"> REF _Ref131001047 \h </w:instrText>
      </w:r>
      <w:r w:rsidR="009E6902">
        <w:rPr>
          <w:b/>
          <w:bCs/>
        </w:rPr>
        <w:instrText xml:space="preserve"> \* MERGEFORMAT </w:instrText>
      </w:r>
      <w:r w:rsidRPr="009E6902">
        <w:rPr>
          <w:b/>
          <w:bCs/>
        </w:rPr>
      </w:r>
      <w:r w:rsidRPr="009E6902">
        <w:rPr>
          <w:b/>
          <w:bCs/>
        </w:rPr>
        <w:fldChar w:fldCharType="separate"/>
      </w:r>
      <w:r w:rsidR="007105D3" w:rsidRPr="007105D3">
        <w:rPr>
          <w:b/>
          <w:bCs/>
        </w:rPr>
        <w:t xml:space="preserve">Table </w:t>
      </w:r>
      <w:r w:rsidR="007105D3" w:rsidRPr="007105D3">
        <w:rPr>
          <w:b/>
          <w:bCs/>
          <w:noProof/>
        </w:rPr>
        <w:t>23</w:t>
      </w:r>
      <w:r w:rsidRPr="009E6902">
        <w:rPr>
          <w:b/>
          <w:bCs/>
        </w:rPr>
        <w:fldChar w:fldCharType="end"/>
      </w:r>
      <w:r w:rsidR="0002517C">
        <w:t>,</w:t>
      </w:r>
      <w:r w:rsidRPr="00B0485F">
        <w:t xml:space="preserve"> </w:t>
      </w:r>
      <w:r w:rsidR="00FC763C">
        <w:t>from a US health care perspective</w:t>
      </w:r>
      <w:r w:rsidR="0002517C">
        <w:t>.</w:t>
      </w:r>
    </w:p>
    <w:p w14:paraId="117600EE" w14:textId="7DA1EAA1" w:rsidR="003212AF" w:rsidRPr="00B0485F" w:rsidRDefault="003212AF" w:rsidP="003212AF">
      <w:pPr>
        <w:pStyle w:val="Caption"/>
      </w:pPr>
      <w:bookmarkStart w:id="129" w:name="_Ref131001047"/>
      <w:bookmarkStart w:id="130" w:name="_Toc132286049"/>
      <w:bookmarkStart w:id="131" w:name="_Toc165627891"/>
      <w:r w:rsidRPr="00B0485F">
        <w:t xml:space="preserve">Table </w:t>
      </w:r>
      <w:fldSimple w:instr=" SEQ Table \* ARABIC ">
        <w:r w:rsidR="007105D3">
          <w:rPr>
            <w:noProof/>
          </w:rPr>
          <w:t>23</w:t>
        </w:r>
      </w:fldSimple>
      <w:bookmarkEnd w:id="129"/>
      <w:r w:rsidRPr="00B0485F">
        <w:tab/>
        <w:t>Outcomes of Laudano (2013)</w:t>
      </w:r>
      <w:bookmarkEnd w:id="130"/>
      <w:r w:rsidR="00BE556B">
        <w:t xml:space="preserve"> – at 10</w:t>
      </w:r>
      <w:r w:rsidR="00EA7BF5">
        <w:t xml:space="preserve"> </w:t>
      </w:r>
      <w:r w:rsidR="00E174B1">
        <w:t>year</w:t>
      </w:r>
      <w:r w:rsidR="00EA7BF5">
        <w:t>s</w:t>
      </w:r>
      <w:bookmarkEnd w:id="131"/>
    </w:p>
    <w:tbl>
      <w:tblPr>
        <w:tblStyle w:val="TableGrid"/>
        <w:tblW w:w="5000" w:type="pct"/>
        <w:tblLayout w:type="fixed"/>
        <w:tblLook w:val="04A0" w:firstRow="1" w:lastRow="0" w:firstColumn="1" w:lastColumn="0" w:noHBand="0" w:noVBand="1"/>
        <w:tblCaption w:val="Outcomes of Laudano (2013) at 10 years"/>
        <w:tblDescription w:val="This table shows the outcomes of the Laudano (2013) study at 10 years including effectiveness (QALYs), costs, cost/QALY (ICER), sensitivity analysis and conclusion. "/>
      </w:tblPr>
      <w:tblGrid>
        <w:gridCol w:w="990"/>
        <w:gridCol w:w="1531"/>
        <w:gridCol w:w="1798"/>
        <w:gridCol w:w="1951"/>
        <w:gridCol w:w="1741"/>
        <w:gridCol w:w="1627"/>
      </w:tblGrid>
      <w:tr w:rsidR="009C496A" w:rsidRPr="00C3678B" w14:paraId="2C5F038F" w14:textId="77777777" w:rsidTr="009C496A">
        <w:trPr>
          <w:cnfStyle w:val="100000000000" w:firstRow="1" w:lastRow="0" w:firstColumn="0" w:lastColumn="0" w:oddVBand="0" w:evenVBand="0" w:oddHBand="0" w:evenHBand="0" w:firstRowFirstColumn="0" w:firstRowLastColumn="0" w:lastRowFirstColumn="0" w:lastRowLastColumn="0"/>
        </w:trPr>
        <w:tc>
          <w:tcPr>
            <w:tcW w:w="514" w:type="pct"/>
          </w:tcPr>
          <w:p w14:paraId="770E747D" w14:textId="77777777" w:rsidR="009C496A" w:rsidRPr="00C3678B" w:rsidRDefault="009C496A">
            <w:pPr>
              <w:pStyle w:val="011TableHeading8pt"/>
              <w:rPr>
                <w:sz w:val="18"/>
                <w:szCs w:val="24"/>
              </w:rPr>
            </w:pPr>
            <w:r w:rsidRPr="00C3678B">
              <w:rPr>
                <w:sz w:val="18"/>
                <w:szCs w:val="24"/>
              </w:rPr>
              <w:t>Study ID</w:t>
            </w:r>
          </w:p>
        </w:tc>
        <w:tc>
          <w:tcPr>
            <w:tcW w:w="794" w:type="pct"/>
          </w:tcPr>
          <w:p w14:paraId="0097CAF0" w14:textId="03D6706E" w:rsidR="009C496A" w:rsidRPr="00C3678B" w:rsidRDefault="009C496A">
            <w:pPr>
              <w:pStyle w:val="011TableHeading8pt"/>
              <w:rPr>
                <w:sz w:val="18"/>
                <w:szCs w:val="24"/>
              </w:rPr>
            </w:pPr>
            <w:r>
              <w:rPr>
                <w:sz w:val="18"/>
                <w:szCs w:val="24"/>
              </w:rPr>
              <w:t>E</w:t>
            </w:r>
            <w:r w:rsidRPr="00C3678B">
              <w:rPr>
                <w:sz w:val="18"/>
                <w:szCs w:val="24"/>
              </w:rPr>
              <w:t>ffectiveness</w:t>
            </w:r>
            <w:r>
              <w:rPr>
                <w:sz w:val="18"/>
                <w:szCs w:val="24"/>
              </w:rPr>
              <w:t xml:space="preserve"> (QALYs)</w:t>
            </w:r>
          </w:p>
        </w:tc>
        <w:tc>
          <w:tcPr>
            <w:tcW w:w="933" w:type="pct"/>
          </w:tcPr>
          <w:p w14:paraId="5A50FF79" w14:textId="2BDF92F5" w:rsidR="009C496A" w:rsidRPr="00C3678B" w:rsidRDefault="009C496A">
            <w:pPr>
              <w:pStyle w:val="011TableHeading8pt"/>
              <w:rPr>
                <w:sz w:val="18"/>
                <w:szCs w:val="24"/>
              </w:rPr>
            </w:pPr>
            <w:r>
              <w:rPr>
                <w:sz w:val="18"/>
                <w:szCs w:val="24"/>
              </w:rPr>
              <w:t>C</w:t>
            </w:r>
            <w:r w:rsidRPr="00C3678B">
              <w:rPr>
                <w:sz w:val="18"/>
                <w:szCs w:val="24"/>
              </w:rPr>
              <w:t>osts</w:t>
            </w:r>
            <w:r>
              <w:rPr>
                <w:sz w:val="18"/>
                <w:szCs w:val="24"/>
              </w:rPr>
              <w:t xml:space="preserve"> (USD)</w:t>
            </w:r>
          </w:p>
        </w:tc>
        <w:tc>
          <w:tcPr>
            <w:tcW w:w="1012" w:type="pct"/>
          </w:tcPr>
          <w:p w14:paraId="7065BE31" w14:textId="3B159812" w:rsidR="009C496A" w:rsidRPr="00C3678B" w:rsidRDefault="009C496A" w:rsidP="00FA3890">
            <w:pPr>
              <w:pStyle w:val="011TableHeading8pt"/>
              <w:rPr>
                <w:sz w:val="18"/>
                <w:szCs w:val="24"/>
              </w:rPr>
            </w:pPr>
            <w:r>
              <w:rPr>
                <w:sz w:val="18"/>
                <w:szCs w:val="24"/>
              </w:rPr>
              <w:t>Cost/QALY</w:t>
            </w:r>
            <w:r w:rsidR="00FA3890">
              <w:rPr>
                <w:sz w:val="18"/>
                <w:szCs w:val="24"/>
              </w:rPr>
              <w:br/>
            </w:r>
            <w:r w:rsidRPr="00C3678B">
              <w:rPr>
                <w:sz w:val="18"/>
                <w:szCs w:val="24"/>
              </w:rPr>
              <w:t>ICER</w:t>
            </w:r>
          </w:p>
        </w:tc>
        <w:tc>
          <w:tcPr>
            <w:tcW w:w="903" w:type="pct"/>
          </w:tcPr>
          <w:p w14:paraId="0A3E3F10" w14:textId="77777777" w:rsidR="009C496A" w:rsidRPr="00C3678B" w:rsidRDefault="009C496A">
            <w:pPr>
              <w:pStyle w:val="011TableHeading8pt"/>
              <w:rPr>
                <w:sz w:val="18"/>
                <w:szCs w:val="24"/>
              </w:rPr>
            </w:pPr>
            <w:r w:rsidRPr="00C3678B">
              <w:rPr>
                <w:sz w:val="18"/>
                <w:szCs w:val="24"/>
              </w:rPr>
              <w:t>Sensitivity analysis</w:t>
            </w:r>
          </w:p>
        </w:tc>
        <w:tc>
          <w:tcPr>
            <w:tcW w:w="844" w:type="pct"/>
          </w:tcPr>
          <w:p w14:paraId="1105F39A" w14:textId="77777777" w:rsidR="009C496A" w:rsidRPr="00C3678B" w:rsidRDefault="009C496A">
            <w:pPr>
              <w:pStyle w:val="011TableHeading8pt"/>
              <w:rPr>
                <w:sz w:val="18"/>
                <w:szCs w:val="24"/>
              </w:rPr>
            </w:pPr>
            <w:r w:rsidRPr="00C3678B">
              <w:rPr>
                <w:sz w:val="18"/>
                <w:szCs w:val="24"/>
              </w:rPr>
              <w:t>Conclusion</w:t>
            </w:r>
          </w:p>
        </w:tc>
      </w:tr>
      <w:tr w:rsidR="009C496A" w:rsidRPr="00D40D4C" w14:paraId="644876D0" w14:textId="77777777" w:rsidTr="009C496A">
        <w:tc>
          <w:tcPr>
            <w:tcW w:w="514" w:type="pct"/>
          </w:tcPr>
          <w:p w14:paraId="541849A8" w14:textId="77777777" w:rsidR="009C496A" w:rsidRPr="00D40D4C" w:rsidRDefault="009C496A">
            <w:pPr>
              <w:pStyle w:val="051Tabletext228pt"/>
              <w:rPr>
                <w:sz w:val="18"/>
                <w:szCs w:val="24"/>
              </w:rPr>
            </w:pPr>
            <w:r w:rsidRPr="00D40D4C">
              <w:rPr>
                <w:sz w:val="18"/>
                <w:szCs w:val="24"/>
              </w:rPr>
              <w:t>Laudano 2013</w:t>
            </w:r>
            <w:r w:rsidRPr="00D40D4C">
              <w:rPr>
                <w:sz w:val="18"/>
                <w:szCs w:val="24"/>
              </w:rPr>
              <w:br/>
              <w:t>USA</w:t>
            </w:r>
          </w:p>
        </w:tc>
        <w:tc>
          <w:tcPr>
            <w:tcW w:w="794" w:type="pct"/>
          </w:tcPr>
          <w:p w14:paraId="6980EE77" w14:textId="4F93071E" w:rsidR="009C496A" w:rsidRDefault="009C496A" w:rsidP="007E07FE">
            <w:pPr>
              <w:pStyle w:val="051Tabletext228pt"/>
              <w:rPr>
                <w:sz w:val="18"/>
                <w:szCs w:val="24"/>
              </w:rPr>
            </w:pPr>
            <w:r w:rsidRPr="00D40D4C">
              <w:rPr>
                <w:sz w:val="18"/>
                <w:szCs w:val="24"/>
              </w:rPr>
              <w:t>TVT: 5.79</w:t>
            </w:r>
            <w:r>
              <w:rPr>
                <w:sz w:val="18"/>
                <w:szCs w:val="24"/>
              </w:rPr>
              <w:br/>
            </w:r>
            <w:r w:rsidRPr="00D40D4C">
              <w:rPr>
                <w:sz w:val="18"/>
                <w:szCs w:val="24"/>
              </w:rPr>
              <w:t>BC: 5.78</w:t>
            </w:r>
          </w:p>
          <w:p w14:paraId="7B228C5D" w14:textId="0B704EAE" w:rsidR="009C496A" w:rsidRPr="00D40D4C" w:rsidRDefault="009C496A" w:rsidP="007E07FE">
            <w:pPr>
              <w:pStyle w:val="051Tabletext228pt"/>
              <w:rPr>
                <w:sz w:val="18"/>
                <w:szCs w:val="24"/>
              </w:rPr>
            </w:pPr>
            <w:r>
              <w:rPr>
                <w:sz w:val="18"/>
                <w:szCs w:val="24"/>
              </w:rPr>
              <w:t>Incremental: 0.01</w:t>
            </w:r>
          </w:p>
        </w:tc>
        <w:tc>
          <w:tcPr>
            <w:tcW w:w="933" w:type="pct"/>
          </w:tcPr>
          <w:p w14:paraId="316072AF" w14:textId="0501A2C7" w:rsidR="009C496A" w:rsidRDefault="009C496A">
            <w:pPr>
              <w:pStyle w:val="051Tabletext228pt"/>
              <w:rPr>
                <w:sz w:val="18"/>
                <w:szCs w:val="24"/>
              </w:rPr>
            </w:pPr>
            <w:r w:rsidRPr="00D40D4C">
              <w:rPr>
                <w:sz w:val="18"/>
                <w:szCs w:val="24"/>
              </w:rPr>
              <w:t xml:space="preserve">TVT: </w:t>
            </w:r>
            <w:r>
              <w:rPr>
                <w:sz w:val="18"/>
                <w:szCs w:val="24"/>
              </w:rPr>
              <w:t>$8,651</w:t>
            </w:r>
            <w:r w:rsidRPr="00D40D4C">
              <w:rPr>
                <w:sz w:val="18"/>
                <w:szCs w:val="24"/>
              </w:rPr>
              <w:br/>
              <w:t xml:space="preserve">BC: </w:t>
            </w:r>
            <w:r>
              <w:rPr>
                <w:sz w:val="18"/>
                <w:szCs w:val="24"/>
              </w:rPr>
              <w:t>$10,545</w:t>
            </w:r>
          </w:p>
          <w:p w14:paraId="142E5A79" w14:textId="05853FC1" w:rsidR="009C496A" w:rsidRPr="00D40D4C" w:rsidRDefault="009C496A">
            <w:pPr>
              <w:pStyle w:val="051Tabletext228pt"/>
              <w:rPr>
                <w:sz w:val="18"/>
                <w:szCs w:val="24"/>
              </w:rPr>
            </w:pPr>
            <w:r>
              <w:rPr>
                <w:sz w:val="18"/>
                <w:szCs w:val="24"/>
              </w:rPr>
              <w:t>Incremental: - $1,894</w:t>
            </w:r>
          </w:p>
        </w:tc>
        <w:tc>
          <w:tcPr>
            <w:tcW w:w="1012" w:type="pct"/>
          </w:tcPr>
          <w:p w14:paraId="3DF2EBBC" w14:textId="77777777" w:rsidR="009C496A" w:rsidRDefault="009C496A">
            <w:pPr>
              <w:pStyle w:val="051Tabletext228pt"/>
              <w:rPr>
                <w:sz w:val="18"/>
                <w:szCs w:val="24"/>
              </w:rPr>
            </w:pPr>
            <w:r>
              <w:rPr>
                <w:sz w:val="18"/>
                <w:szCs w:val="24"/>
              </w:rPr>
              <w:t>TVT: $1,495</w:t>
            </w:r>
            <w:r>
              <w:rPr>
                <w:sz w:val="18"/>
                <w:szCs w:val="24"/>
              </w:rPr>
              <w:br/>
              <w:t>BC: $1,824</w:t>
            </w:r>
          </w:p>
          <w:p w14:paraId="51519E5C" w14:textId="2ACE5D86" w:rsidR="009C496A" w:rsidRPr="00D40D4C" w:rsidRDefault="009C496A">
            <w:pPr>
              <w:pStyle w:val="051Tabletext228pt"/>
              <w:rPr>
                <w:sz w:val="18"/>
                <w:szCs w:val="24"/>
              </w:rPr>
            </w:pPr>
            <w:r>
              <w:rPr>
                <w:sz w:val="18"/>
                <w:szCs w:val="24"/>
              </w:rPr>
              <w:t>ICER:</w:t>
            </w:r>
            <w:r w:rsidR="0045527E">
              <w:rPr>
                <w:sz w:val="18"/>
                <w:szCs w:val="24"/>
              </w:rPr>
              <w:t xml:space="preserve"> </w:t>
            </w:r>
            <w:r w:rsidRPr="00D40D4C">
              <w:rPr>
                <w:sz w:val="18"/>
                <w:szCs w:val="24"/>
              </w:rPr>
              <w:t>-</w:t>
            </w:r>
            <w:r>
              <w:rPr>
                <w:sz w:val="18"/>
                <w:szCs w:val="24"/>
              </w:rPr>
              <w:t> </w:t>
            </w:r>
            <w:r w:rsidRPr="00D40D4C">
              <w:rPr>
                <w:sz w:val="18"/>
                <w:szCs w:val="24"/>
              </w:rPr>
              <w:t>$296</w:t>
            </w:r>
            <w:r>
              <w:rPr>
                <w:sz w:val="18"/>
                <w:szCs w:val="24"/>
              </w:rPr>
              <w:t>,</w:t>
            </w:r>
            <w:r w:rsidRPr="00D40D4C">
              <w:rPr>
                <w:sz w:val="18"/>
                <w:szCs w:val="24"/>
              </w:rPr>
              <w:t>877/QALY</w:t>
            </w:r>
          </w:p>
        </w:tc>
        <w:tc>
          <w:tcPr>
            <w:tcW w:w="903" w:type="pct"/>
          </w:tcPr>
          <w:p w14:paraId="4335176C" w14:textId="49E69E1E" w:rsidR="009C496A" w:rsidRPr="00D40D4C" w:rsidRDefault="009C496A">
            <w:pPr>
              <w:pStyle w:val="051Tabletext228pt"/>
              <w:rPr>
                <w:sz w:val="18"/>
                <w:szCs w:val="24"/>
              </w:rPr>
            </w:pPr>
            <w:r w:rsidRPr="00D40D4C">
              <w:rPr>
                <w:sz w:val="18"/>
                <w:szCs w:val="24"/>
              </w:rPr>
              <w:t xml:space="preserve">TVT is cost-effective only if: </w:t>
            </w:r>
            <w:r>
              <w:rPr>
                <w:sz w:val="18"/>
                <w:szCs w:val="24"/>
              </w:rPr>
              <w:br/>
            </w:r>
            <w:r w:rsidRPr="00D40D4C">
              <w:rPr>
                <w:sz w:val="18"/>
                <w:szCs w:val="24"/>
              </w:rPr>
              <w:t>TVT price &lt;$3</w:t>
            </w:r>
            <w:r>
              <w:rPr>
                <w:sz w:val="18"/>
                <w:szCs w:val="24"/>
              </w:rPr>
              <w:t>,</w:t>
            </w:r>
            <w:r w:rsidRPr="00D40D4C">
              <w:rPr>
                <w:sz w:val="18"/>
                <w:szCs w:val="24"/>
              </w:rPr>
              <w:t>220</w:t>
            </w:r>
            <w:r>
              <w:rPr>
                <w:sz w:val="18"/>
                <w:szCs w:val="24"/>
              </w:rPr>
              <w:br/>
            </w:r>
            <w:r w:rsidRPr="00D40D4C">
              <w:rPr>
                <w:sz w:val="18"/>
                <w:szCs w:val="24"/>
              </w:rPr>
              <w:t>TVT success &gt;42%</w:t>
            </w:r>
          </w:p>
        </w:tc>
        <w:tc>
          <w:tcPr>
            <w:tcW w:w="844" w:type="pct"/>
          </w:tcPr>
          <w:p w14:paraId="66D06891" w14:textId="2F4CC6D5" w:rsidR="009C496A" w:rsidRPr="00D40D4C" w:rsidRDefault="009C496A">
            <w:pPr>
              <w:pStyle w:val="051Tabletext228pt"/>
              <w:rPr>
                <w:sz w:val="18"/>
                <w:szCs w:val="24"/>
              </w:rPr>
            </w:pPr>
            <w:r w:rsidRPr="00D40D4C">
              <w:rPr>
                <w:sz w:val="18"/>
                <w:szCs w:val="24"/>
              </w:rPr>
              <w:t xml:space="preserve">At 10 </w:t>
            </w:r>
            <w:proofErr w:type="spellStart"/>
            <w:r w:rsidRPr="00D40D4C">
              <w:rPr>
                <w:sz w:val="18"/>
                <w:szCs w:val="24"/>
              </w:rPr>
              <w:t>yr</w:t>
            </w:r>
            <w:proofErr w:type="spellEnd"/>
            <w:r>
              <w:rPr>
                <w:sz w:val="18"/>
                <w:szCs w:val="24"/>
              </w:rPr>
              <w:t>,</w:t>
            </w:r>
            <w:r w:rsidRPr="00D40D4C">
              <w:rPr>
                <w:sz w:val="18"/>
                <w:szCs w:val="24"/>
              </w:rPr>
              <w:t xml:space="preserve"> TVT was more cost-effective than </w:t>
            </w:r>
            <w:r>
              <w:rPr>
                <w:sz w:val="18"/>
                <w:szCs w:val="24"/>
              </w:rPr>
              <w:t>BC</w:t>
            </w:r>
          </w:p>
        </w:tc>
      </w:tr>
    </w:tbl>
    <w:p w14:paraId="4B02F83B" w14:textId="17DD6FA7" w:rsidR="003212AF" w:rsidRDefault="009E6902" w:rsidP="001B3CEE">
      <w:pPr>
        <w:pStyle w:val="111Tablefootnoteslast-nostick8pt"/>
      </w:pPr>
      <w:r>
        <w:t xml:space="preserve">Abbreviations: </w:t>
      </w:r>
      <w:r w:rsidR="003212AF" w:rsidRPr="00B0485F">
        <w:t>BC</w:t>
      </w:r>
      <w:r>
        <w:t>,</w:t>
      </w:r>
      <w:r w:rsidR="003212AF" w:rsidRPr="00B0485F">
        <w:t xml:space="preserve"> Burch </w:t>
      </w:r>
      <w:proofErr w:type="spellStart"/>
      <w:r w:rsidR="003212AF" w:rsidRPr="00B0485F">
        <w:t>colposuspension</w:t>
      </w:r>
      <w:proofErr w:type="spellEnd"/>
      <w:r w:rsidR="003212AF" w:rsidRPr="00B0485F">
        <w:t>; ICER</w:t>
      </w:r>
      <w:r>
        <w:t>,</w:t>
      </w:r>
      <w:r w:rsidR="003212AF" w:rsidRPr="00B0485F">
        <w:t xml:space="preserve"> incremental cost-effectiveness ratio; NR</w:t>
      </w:r>
      <w:r>
        <w:t>,</w:t>
      </w:r>
      <w:r w:rsidR="003212AF" w:rsidRPr="00B0485F">
        <w:t xml:space="preserve"> not reported; QALY</w:t>
      </w:r>
      <w:r>
        <w:t>,</w:t>
      </w:r>
      <w:r w:rsidR="003212AF" w:rsidRPr="00B0485F">
        <w:t xml:space="preserve"> quality-adjusted life year; SUI</w:t>
      </w:r>
      <w:r>
        <w:t>,</w:t>
      </w:r>
      <w:r w:rsidR="003212AF" w:rsidRPr="00B0485F">
        <w:t xml:space="preserve"> stress urinary incontinence; TVT</w:t>
      </w:r>
      <w:r>
        <w:t>,</w:t>
      </w:r>
      <w:r w:rsidR="003212AF" w:rsidRPr="00B0485F">
        <w:t xml:space="preserve"> tension-free vaginal tape; </w:t>
      </w:r>
      <w:r w:rsidR="000D6084">
        <w:t xml:space="preserve">USD, </w:t>
      </w:r>
      <w:r w:rsidR="00D1433B">
        <w:t>US</w:t>
      </w:r>
      <w:r w:rsidR="000D6084">
        <w:t xml:space="preserve"> dollars; </w:t>
      </w:r>
      <w:proofErr w:type="spellStart"/>
      <w:r w:rsidR="003212AF" w:rsidRPr="00B0485F">
        <w:t>yr</w:t>
      </w:r>
      <w:proofErr w:type="spellEnd"/>
      <w:r>
        <w:t>,</w:t>
      </w:r>
      <w:r w:rsidR="003212AF" w:rsidRPr="00B0485F">
        <w:t xml:space="preserve"> year.</w:t>
      </w:r>
    </w:p>
    <w:p w14:paraId="4BF9D423" w14:textId="43536700" w:rsidR="003212AF" w:rsidRPr="00B0485F" w:rsidRDefault="003212AF" w:rsidP="003212AF">
      <w:pPr>
        <w:pStyle w:val="BodyText"/>
      </w:pPr>
      <w:r w:rsidRPr="00B0485F">
        <w:t xml:space="preserve">The authors </w:t>
      </w:r>
      <w:r>
        <w:t xml:space="preserve">reported similar effectiveness for the two procedures but a higher procedure cost for </w:t>
      </w:r>
      <w:proofErr w:type="spellStart"/>
      <w:r>
        <w:t>colposuspension</w:t>
      </w:r>
      <w:proofErr w:type="spellEnd"/>
      <w:r>
        <w:t xml:space="preserve">. Hence, it was </w:t>
      </w:r>
      <w:r w:rsidRPr="00B0485F">
        <w:t xml:space="preserve">concluded that over ten years of follow-up, </w:t>
      </w:r>
      <w:r w:rsidR="00F12F0F">
        <w:t>RP-MUS</w:t>
      </w:r>
      <w:r>
        <w:t xml:space="preserve"> (TVT) </w:t>
      </w:r>
      <w:r w:rsidRPr="00B0485F">
        <w:t xml:space="preserve">was more cost effective than Burch </w:t>
      </w:r>
      <w:proofErr w:type="spellStart"/>
      <w:r w:rsidRPr="00B0485F">
        <w:t>colposuspension</w:t>
      </w:r>
      <w:proofErr w:type="spellEnd"/>
      <w:r w:rsidRPr="00B0485F">
        <w:t xml:space="preserve"> </w:t>
      </w:r>
      <w:r w:rsidRPr="00B860A4">
        <w:t>“despite the risk of mesh erosion, bladder perforation and other sling-specific complications”</w:t>
      </w:r>
      <w:r w:rsidR="003652BC" w:rsidRPr="003652BC">
        <w:t xml:space="preserve"> </w:t>
      </w:r>
      <w:r w:rsidR="00245CE2">
        <w:rPr>
          <w:noProof/>
        </w:rPr>
        <w:t>(Laudano 2013)</w:t>
      </w:r>
      <w:r w:rsidR="003652BC">
        <w:t>.</w:t>
      </w:r>
      <w:r w:rsidRPr="00B0485F">
        <w:t xml:space="preserve"> Sensitivity analyses showed that this depended on the price of the </w:t>
      </w:r>
      <w:r>
        <w:t>sling</w:t>
      </w:r>
      <w:r w:rsidRPr="00B0485F">
        <w:t xml:space="preserve"> device remaining below US$3</w:t>
      </w:r>
      <w:r w:rsidR="00DF60E1">
        <w:t>,</w:t>
      </w:r>
      <w:r w:rsidRPr="00B0485F">
        <w:t>220 and the success rate above 42%</w:t>
      </w:r>
      <w:r>
        <w:t xml:space="preserve"> (the actual mesh unit cost was </w:t>
      </w:r>
      <w:r w:rsidR="00333C4E">
        <w:t>US</w:t>
      </w:r>
      <w:r>
        <w:t>$1</w:t>
      </w:r>
      <w:r w:rsidR="00DF60E1">
        <w:t>,</w:t>
      </w:r>
      <w:r>
        <w:t>170)</w:t>
      </w:r>
      <w:r w:rsidRPr="00B0485F">
        <w:t xml:space="preserve">. </w:t>
      </w:r>
      <w:r>
        <w:t>Note that it is not likely tha</w:t>
      </w:r>
      <w:r w:rsidR="00DC73FA">
        <w:t>t</w:t>
      </w:r>
      <w:r>
        <w:t xml:space="preserve"> complications from studies with only 24 months follow-up could be used to reflect rates over a </w:t>
      </w:r>
      <w:r w:rsidR="00DF60E1">
        <w:t>ten-year</w:t>
      </w:r>
      <w:r>
        <w:t xml:space="preserve"> period.</w:t>
      </w:r>
    </w:p>
    <w:p w14:paraId="14C456C0" w14:textId="60DFF0A5" w:rsidR="00317339" w:rsidRPr="00B0485F" w:rsidRDefault="009858DE" w:rsidP="004657CD">
      <w:pPr>
        <w:pStyle w:val="Heading3"/>
      </w:pPr>
      <w:bookmarkStart w:id="132" w:name="_Toc165627842"/>
      <w:bookmarkEnd w:id="97"/>
      <w:r w:rsidRPr="001F7DAB">
        <w:t xml:space="preserve">Trial-based </w:t>
      </w:r>
      <w:r w:rsidR="001F7DAB" w:rsidRPr="001F7DAB">
        <w:t>economic</w:t>
      </w:r>
      <w:r w:rsidR="00834264" w:rsidRPr="001F7DAB">
        <w:t xml:space="preserve"> </w:t>
      </w:r>
      <w:r w:rsidRPr="001F7DAB">
        <w:t>evaluations</w:t>
      </w:r>
      <w:bookmarkEnd w:id="132"/>
    </w:p>
    <w:p w14:paraId="101143B0" w14:textId="07831C02" w:rsidR="00C64E32" w:rsidRPr="00B0485F" w:rsidRDefault="00C64E32" w:rsidP="004657CD">
      <w:pPr>
        <w:pStyle w:val="BodyText"/>
        <w:keepNext/>
      </w:pPr>
      <w:r w:rsidRPr="00181561">
        <w:t xml:space="preserve">The literature search </w:t>
      </w:r>
      <w:r w:rsidRPr="00097E2D">
        <w:t>identified two trial-based economic studies which</w:t>
      </w:r>
      <w:r>
        <w:t xml:space="preserve"> </w:t>
      </w:r>
      <w:r w:rsidRPr="00181561">
        <w:t>are summarised below.</w:t>
      </w:r>
    </w:p>
    <w:p w14:paraId="0B31C4B5" w14:textId="77777777" w:rsidR="00F26DC9" w:rsidRPr="00B0485F" w:rsidRDefault="00F26DC9" w:rsidP="00F26DC9">
      <w:pPr>
        <w:pStyle w:val="Heading4"/>
      </w:pPr>
      <w:proofErr w:type="spellStart"/>
      <w:r w:rsidRPr="00B0485F">
        <w:t>Casteleijn</w:t>
      </w:r>
      <w:proofErr w:type="spellEnd"/>
      <w:r>
        <w:t xml:space="preserve"> </w:t>
      </w:r>
      <w:r w:rsidRPr="00B0485F">
        <w:t>(2023)</w:t>
      </w:r>
    </w:p>
    <w:p w14:paraId="0F53F83F" w14:textId="6544BD65" w:rsidR="00F26DC9" w:rsidRPr="00B0485F" w:rsidRDefault="00F26DC9" w:rsidP="00F26DC9">
      <w:pPr>
        <w:pStyle w:val="BodyText"/>
      </w:pPr>
      <w:r w:rsidRPr="00B0485F">
        <w:t>The</w:t>
      </w:r>
      <w:r w:rsidRPr="00B0485F" w:rsidDel="00803B7A">
        <w:t xml:space="preserve"> </w:t>
      </w:r>
      <w:r w:rsidRPr="00B0485F">
        <w:t xml:space="preserve">characteristics of </w:t>
      </w:r>
      <w:r>
        <w:t xml:space="preserve">the economic analysis by </w:t>
      </w:r>
      <w:proofErr w:type="spellStart"/>
      <w:r w:rsidRPr="00B0485F">
        <w:t>Casteleijn</w:t>
      </w:r>
      <w:proofErr w:type="spellEnd"/>
      <w:r w:rsidRPr="00B0485F">
        <w:t xml:space="preserve"> </w:t>
      </w:r>
      <w:r>
        <w:t xml:space="preserve">and colleagues </w:t>
      </w:r>
      <w:r w:rsidR="00245CE2">
        <w:rPr>
          <w:noProof/>
        </w:rPr>
        <w:t>(Casteleijn 2023)</w:t>
      </w:r>
      <w:r w:rsidRPr="00B0485F">
        <w:t xml:space="preserve"> are summarised in </w:t>
      </w:r>
      <w:r w:rsidRPr="006F75BA">
        <w:rPr>
          <w:b/>
          <w:bCs/>
        </w:rPr>
        <w:fldChar w:fldCharType="begin"/>
      </w:r>
      <w:r w:rsidRPr="006F75BA">
        <w:rPr>
          <w:b/>
          <w:bCs/>
        </w:rPr>
        <w:instrText xml:space="preserve"> REF _Ref131670769 \h </w:instrText>
      </w:r>
      <w:r>
        <w:rPr>
          <w:b/>
          <w:bCs/>
        </w:rPr>
        <w:instrText xml:space="preserve"> \* MERGEFORMAT </w:instrText>
      </w:r>
      <w:r w:rsidRPr="006F75BA">
        <w:rPr>
          <w:b/>
          <w:bCs/>
        </w:rPr>
      </w:r>
      <w:r w:rsidRPr="006F75BA">
        <w:rPr>
          <w:b/>
          <w:bCs/>
        </w:rPr>
        <w:fldChar w:fldCharType="separate"/>
      </w:r>
      <w:r w:rsidR="007105D3" w:rsidRPr="007105D3">
        <w:rPr>
          <w:b/>
          <w:bCs/>
        </w:rPr>
        <w:t xml:space="preserve">Table </w:t>
      </w:r>
      <w:r w:rsidR="007105D3" w:rsidRPr="007105D3">
        <w:rPr>
          <w:b/>
          <w:bCs/>
          <w:noProof/>
        </w:rPr>
        <w:t>24</w:t>
      </w:r>
      <w:r w:rsidRPr="006F75BA">
        <w:rPr>
          <w:b/>
          <w:bCs/>
        </w:rPr>
        <w:fldChar w:fldCharType="end"/>
      </w:r>
      <w:r w:rsidRPr="009645F6">
        <w:t>.</w:t>
      </w:r>
      <w:r>
        <w:t xml:space="preserve"> The authors presented a p</w:t>
      </w:r>
      <w:r w:rsidRPr="00253637">
        <w:t xml:space="preserve">rospective, two-arm cohort study </w:t>
      </w:r>
      <w:r>
        <w:t>conducted in four countries, which compared MUS to a silicone bulking agent. The study converted trial quality of life (QoL) scores (disease specific IIQ and general EQ-5D-5L) to QALYs and used bootstrap sampling to explore variation/uncertainty.</w:t>
      </w:r>
    </w:p>
    <w:p w14:paraId="23674DF9" w14:textId="32A7FA69" w:rsidR="00F26DC9" w:rsidRPr="00B0485F" w:rsidRDefault="00F26DC9" w:rsidP="00F26DC9">
      <w:pPr>
        <w:pStyle w:val="Caption"/>
      </w:pPr>
      <w:bookmarkStart w:id="133" w:name="_Ref131670769"/>
      <w:bookmarkStart w:id="134" w:name="_Toc165627892"/>
      <w:r w:rsidRPr="00B0485F">
        <w:t xml:space="preserve">Table </w:t>
      </w:r>
      <w:fldSimple w:instr=" SEQ Table \* ARABIC ">
        <w:r w:rsidR="007105D3">
          <w:rPr>
            <w:noProof/>
          </w:rPr>
          <w:t>24</w:t>
        </w:r>
      </w:fldSimple>
      <w:bookmarkEnd w:id="133"/>
      <w:r w:rsidRPr="00B0485F">
        <w:tab/>
        <w:t xml:space="preserve">Study characteristics of </w:t>
      </w:r>
      <w:proofErr w:type="spellStart"/>
      <w:r w:rsidRPr="00B0485F">
        <w:t>Casteleijn</w:t>
      </w:r>
      <w:proofErr w:type="spellEnd"/>
      <w:r w:rsidRPr="00B0485F">
        <w:t xml:space="preserve"> (2023)</w:t>
      </w:r>
      <w:bookmarkEnd w:id="134"/>
    </w:p>
    <w:tbl>
      <w:tblPr>
        <w:tblW w:w="10206" w:type="dxa"/>
        <w:tblBorders>
          <w:top w:val="single" w:sz="4" w:space="0" w:color="auto"/>
          <w:bottom w:val="single" w:sz="4" w:space="0" w:color="auto"/>
          <w:insideH w:val="single" w:sz="4" w:space="0" w:color="auto"/>
        </w:tblBorders>
        <w:tblLayout w:type="fixed"/>
        <w:tblLook w:val="04A0" w:firstRow="1" w:lastRow="0" w:firstColumn="1" w:lastColumn="0" w:noHBand="0" w:noVBand="1"/>
        <w:tblCaption w:val="Study characteristics of Casteleijn (2023)"/>
        <w:tblDescription w:val="This table shows the study characteristics of the Casteleijn (2023) study including country, research question, perspective, time horizon, economic evaluation type, population, intervention, comparator, source of effectiveness inputs, funding and author conflicts of interest. "/>
      </w:tblPr>
      <w:tblGrid>
        <w:gridCol w:w="1080"/>
        <w:gridCol w:w="1408"/>
        <w:gridCol w:w="1566"/>
        <w:gridCol w:w="1166"/>
        <w:gridCol w:w="1170"/>
        <w:gridCol w:w="1170"/>
        <w:gridCol w:w="2646"/>
      </w:tblGrid>
      <w:tr w:rsidR="00F26DC9" w:rsidRPr="007663DE" w14:paraId="7022FCC5" w14:textId="77777777" w:rsidTr="009E5EB1">
        <w:trPr>
          <w:tblHeader/>
        </w:trPr>
        <w:tc>
          <w:tcPr>
            <w:tcW w:w="1080" w:type="dxa"/>
            <w:shd w:val="clear" w:color="auto" w:fill="BFBFBF"/>
          </w:tcPr>
          <w:p w14:paraId="4D270F11" w14:textId="77777777" w:rsidR="00F26DC9" w:rsidRPr="007663DE" w:rsidRDefault="00F26DC9">
            <w:pPr>
              <w:pStyle w:val="011TableHeading8pt"/>
              <w:spacing w:before="40"/>
              <w:ind w:left="-57" w:right="-57"/>
              <w:rPr>
                <w:sz w:val="18"/>
                <w:szCs w:val="24"/>
              </w:rPr>
            </w:pPr>
            <w:r w:rsidRPr="007663DE">
              <w:rPr>
                <w:sz w:val="18"/>
                <w:szCs w:val="24"/>
              </w:rPr>
              <w:t>Study ID</w:t>
            </w:r>
            <w:r w:rsidRPr="007663DE">
              <w:rPr>
                <w:sz w:val="18"/>
                <w:szCs w:val="24"/>
              </w:rPr>
              <w:br/>
              <w:t>Country</w:t>
            </w:r>
          </w:p>
        </w:tc>
        <w:tc>
          <w:tcPr>
            <w:tcW w:w="1408" w:type="dxa"/>
            <w:shd w:val="clear" w:color="auto" w:fill="BFBFBF"/>
          </w:tcPr>
          <w:p w14:paraId="6E79CF32" w14:textId="2FA90DEE" w:rsidR="00F26DC9" w:rsidRPr="007663DE" w:rsidRDefault="00F26DC9">
            <w:pPr>
              <w:pStyle w:val="011TableHeading8pt"/>
              <w:spacing w:before="40"/>
              <w:ind w:left="-57" w:right="-57"/>
              <w:rPr>
                <w:sz w:val="18"/>
                <w:szCs w:val="24"/>
              </w:rPr>
            </w:pPr>
            <w:r>
              <w:rPr>
                <w:sz w:val="18"/>
                <w:szCs w:val="24"/>
              </w:rPr>
              <w:t>Re</w:t>
            </w:r>
            <w:r w:rsidRPr="007663DE">
              <w:rPr>
                <w:sz w:val="18"/>
                <w:szCs w:val="24"/>
              </w:rPr>
              <w:t>search question</w:t>
            </w:r>
          </w:p>
        </w:tc>
        <w:tc>
          <w:tcPr>
            <w:tcW w:w="1566" w:type="dxa"/>
            <w:shd w:val="clear" w:color="auto" w:fill="BFBFBF"/>
          </w:tcPr>
          <w:p w14:paraId="520EB111" w14:textId="77777777" w:rsidR="00F26DC9" w:rsidRPr="007663DE" w:rsidRDefault="00F26DC9">
            <w:pPr>
              <w:pStyle w:val="011TableHeading8pt"/>
              <w:spacing w:before="40"/>
              <w:ind w:left="-57" w:right="-57"/>
              <w:rPr>
                <w:sz w:val="18"/>
                <w:szCs w:val="24"/>
              </w:rPr>
            </w:pPr>
            <w:r w:rsidRPr="007663DE">
              <w:rPr>
                <w:sz w:val="18"/>
                <w:szCs w:val="24"/>
              </w:rPr>
              <w:t xml:space="preserve">Perspective </w:t>
            </w:r>
            <w:r w:rsidRPr="007663DE">
              <w:rPr>
                <w:sz w:val="18"/>
                <w:szCs w:val="24"/>
              </w:rPr>
              <w:br/>
              <w:t>Time horizon</w:t>
            </w:r>
            <w:r w:rsidRPr="007663DE">
              <w:rPr>
                <w:sz w:val="18"/>
                <w:szCs w:val="24"/>
              </w:rPr>
              <w:br/>
              <w:t>EE type</w:t>
            </w:r>
          </w:p>
        </w:tc>
        <w:tc>
          <w:tcPr>
            <w:tcW w:w="1166" w:type="dxa"/>
            <w:shd w:val="clear" w:color="auto" w:fill="BFBFBF"/>
          </w:tcPr>
          <w:p w14:paraId="18ABB56A" w14:textId="77777777" w:rsidR="00F26DC9" w:rsidRPr="007663DE" w:rsidRDefault="00F26DC9">
            <w:pPr>
              <w:pStyle w:val="011TableHeading8pt"/>
              <w:spacing w:before="40"/>
              <w:ind w:left="-57" w:right="-57"/>
              <w:rPr>
                <w:sz w:val="18"/>
                <w:szCs w:val="24"/>
              </w:rPr>
            </w:pPr>
            <w:r w:rsidRPr="007663DE">
              <w:rPr>
                <w:sz w:val="18"/>
                <w:szCs w:val="24"/>
              </w:rPr>
              <w:t>Population</w:t>
            </w:r>
          </w:p>
        </w:tc>
        <w:tc>
          <w:tcPr>
            <w:tcW w:w="1170" w:type="dxa"/>
            <w:shd w:val="clear" w:color="auto" w:fill="BFBFBF"/>
          </w:tcPr>
          <w:p w14:paraId="0E5B6DFD" w14:textId="77777777" w:rsidR="00F26DC9" w:rsidRPr="007663DE" w:rsidRDefault="00F26DC9">
            <w:pPr>
              <w:pStyle w:val="011TableHeading8pt"/>
              <w:spacing w:before="40"/>
              <w:ind w:left="-57" w:right="-57"/>
              <w:rPr>
                <w:sz w:val="18"/>
                <w:szCs w:val="24"/>
              </w:rPr>
            </w:pPr>
            <w:r w:rsidRPr="007663DE">
              <w:rPr>
                <w:sz w:val="18"/>
                <w:szCs w:val="24"/>
              </w:rPr>
              <w:t>Intervention</w:t>
            </w:r>
            <w:r w:rsidRPr="007663DE">
              <w:rPr>
                <w:sz w:val="18"/>
                <w:szCs w:val="24"/>
              </w:rPr>
              <w:br/>
              <w:t>Comparator</w:t>
            </w:r>
          </w:p>
        </w:tc>
        <w:tc>
          <w:tcPr>
            <w:tcW w:w="1170" w:type="dxa"/>
            <w:shd w:val="clear" w:color="auto" w:fill="BFBFBF"/>
          </w:tcPr>
          <w:p w14:paraId="64974B84" w14:textId="77777777" w:rsidR="00F26DC9" w:rsidRPr="007663DE" w:rsidRDefault="00F26DC9">
            <w:pPr>
              <w:pStyle w:val="011TableHeading8pt"/>
              <w:spacing w:before="40"/>
              <w:ind w:left="-57" w:right="-57"/>
              <w:rPr>
                <w:sz w:val="18"/>
                <w:szCs w:val="24"/>
              </w:rPr>
            </w:pPr>
            <w:r w:rsidRPr="007663DE">
              <w:rPr>
                <w:sz w:val="18"/>
                <w:szCs w:val="24"/>
              </w:rPr>
              <w:t>Source of effectiveness inputs</w:t>
            </w:r>
          </w:p>
        </w:tc>
        <w:tc>
          <w:tcPr>
            <w:tcW w:w="2646" w:type="dxa"/>
            <w:shd w:val="clear" w:color="auto" w:fill="BFBFBF"/>
          </w:tcPr>
          <w:p w14:paraId="1B38E12B" w14:textId="77777777" w:rsidR="00F26DC9" w:rsidRPr="007663DE" w:rsidRDefault="00F26DC9">
            <w:pPr>
              <w:pStyle w:val="011TableHeading8pt"/>
              <w:spacing w:before="40"/>
              <w:ind w:left="-57" w:right="-57"/>
              <w:rPr>
                <w:sz w:val="18"/>
                <w:szCs w:val="24"/>
              </w:rPr>
            </w:pPr>
            <w:r w:rsidRPr="007663DE">
              <w:rPr>
                <w:sz w:val="18"/>
                <w:szCs w:val="24"/>
              </w:rPr>
              <w:t>Funding</w:t>
            </w:r>
            <w:r w:rsidRPr="007663DE">
              <w:rPr>
                <w:sz w:val="18"/>
                <w:szCs w:val="24"/>
              </w:rPr>
              <w:br/>
              <w:t>Author COIs</w:t>
            </w:r>
          </w:p>
        </w:tc>
      </w:tr>
      <w:tr w:rsidR="00F26DC9" w:rsidRPr="007663DE" w14:paraId="346379F0" w14:textId="77777777" w:rsidTr="009E5EB1">
        <w:tc>
          <w:tcPr>
            <w:tcW w:w="1080" w:type="dxa"/>
            <w:shd w:val="clear" w:color="auto" w:fill="auto"/>
          </w:tcPr>
          <w:p w14:paraId="0947FCB8" w14:textId="03881F7C" w:rsidR="00F26DC9" w:rsidRPr="007663DE" w:rsidRDefault="00F26DC9">
            <w:pPr>
              <w:pStyle w:val="051Tabletext228pt"/>
              <w:ind w:left="-57" w:right="-57"/>
              <w:rPr>
                <w:sz w:val="18"/>
                <w:szCs w:val="24"/>
                <w:highlight w:val="yellow"/>
              </w:rPr>
            </w:pPr>
            <w:proofErr w:type="spellStart"/>
            <w:r w:rsidRPr="007663DE">
              <w:rPr>
                <w:sz w:val="18"/>
                <w:szCs w:val="24"/>
              </w:rPr>
              <w:t>Casteleijn</w:t>
            </w:r>
            <w:proofErr w:type="spellEnd"/>
            <w:r w:rsidRPr="007663DE">
              <w:rPr>
                <w:sz w:val="18"/>
                <w:szCs w:val="24"/>
              </w:rPr>
              <w:t xml:space="preserve"> 2023</w:t>
            </w:r>
            <w:r w:rsidRPr="007663DE">
              <w:rPr>
                <w:sz w:val="18"/>
                <w:szCs w:val="24"/>
                <w:highlight w:val="yellow"/>
              </w:rPr>
              <w:br/>
            </w:r>
            <w:r>
              <w:rPr>
                <w:sz w:val="18"/>
                <w:szCs w:val="24"/>
                <w:vertAlign w:val="superscript"/>
              </w:rPr>
              <w:t>1</w:t>
            </w:r>
            <w:r w:rsidRPr="007663DE">
              <w:rPr>
                <w:sz w:val="18"/>
                <w:szCs w:val="24"/>
              </w:rPr>
              <w:t>N</w:t>
            </w:r>
            <w:r>
              <w:rPr>
                <w:sz w:val="18"/>
                <w:szCs w:val="24"/>
              </w:rPr>
              <w:t>etherlands</w:t>
            </w:r>
          </w:p>
        </w:tc>
        <w:tc>
          <w:tcPr>
            <w:tcW w:w="1408" w:type="dxa"/>
          </w:tcPr>
          <w:p w14:paraId="643F7603" w14:textId="57E0FC44" w:rsidR="00F26DC9" w:rsidRPr="007663DE" w:rsidRDefault="00F26DC9">
            <w:pPr>
              <w:pStyle w:val="051Tabletext228pt"/>
              <w:ind w:left="-57" w:right="-57"/>
              <w:rPr>
                <w:sz w:val="18"/>
                <w:szCs w:val="24"/>
                <w:highlight w:val="yellow"/>
              </w:rPr>
            </w:pPr>
            <w:r w:rsidRPr="007663DE">
              <w:rPr>
                <w:sz w:val="18"/>
                <w:szCs w:val="24"/>
              </w:rPr>
              <w:t xml:space="preserve">What is the cost-effectiveness of PDMS-U bulking agent compared with MUS at 1 </w:t>
            </w:r>
            <w:proofErr w:type="spellStart"/>
            <w:r w:rsidRPr="007663DE">
              <w:rPr>
                <w:sz w:val="18"/>
                <w:szCs w:val="24"/>
              </w:rPr>
              <w:t>yr</w:t>
            </w:r>
            <w:proofErr w:type="spellEnd"/>
            <w:r w:rsidRPr="007663DE">
              <w:rPr>
                <w:sz w:val="18"/>
                <w:szCs w:val="24"/>
              </w:rPr>
              <w:t xml:space="preserve"> follow-up?</w:t>
            </w:r>
          </w:p>
        </w:tc>
        <w:tc>
          <w:tcPr>
            <w:tcW w:w="1566" w:type="dxa"/>
            <w:shd w:val="clear" w:color="auto" w:fill="auto"/>
          </w:tcPr>
          <w:p w14:paraId="719F4740" w14:textId="6D3AAB12" w:rsidR="00F26DC9" w:rsidRPr="007663DE" w:rsidRDefault="00F26DC9">
            <w:pPr>
              <w:pStyle w:val="051Tabletext228pt"/>
              <w:ind w:left="-57" w:right="-57"/>
              <w:rPr>
                <w:sz w:val="18"/>
                <w:szCs w:val="24"/>
              </w:rPr>
            </w:pPr>
            <w:r>
              <w:rPr>
                <w:sz w:val="18"/>
                <w:szCs w:val="24"/>
              </w:rPr>
              <w:t>Dutch h</w:t>
            </w:r>
            <w:r w:rsidRPr="007663DE">
              <w:rPr>
                <w:sz w:val="18"/>
                <w:szCs w:val="24"/>
              </w:rPr>
              <w:t>ealth</w:t>
            </w:r>
            <w:r>
              <w:rPr>
                <w:sz w:val="18"/>
                <w:szCs w:val="24"/>
              </w:rPr>
              <w:t xml:space="preserve"> </w:t>
            </w:r>
            <w:r w:rsidRPr="007663DE">
              <w:rPr>
                <w:sz w:val="18"/>
                <w:szCs w:val="24"/>
              </w:rPr>
              <w:t>care &amp; societal</w:t>
            </w:r>
            <w:r w:rsidRPr="007663DE">
              <w:rPr>
                <w:sz w:val="18"/>
                <w:szCs w:val="24"/>
              </w:rPr>
              <w:br/>
              <w:t xml:space="preserve">1 </w:t>
            </w:r>
            <w:proofErr w:type="spellStart"/>
            <w:r w:rsidRPr="007663DE">
              <w:rPr>
                <w:sz w:val="18"/>
                <w:szCs w:val="24"/>
              </w:rPr>
              <w:t>yr</w:t>
            </w:r>
            <w:proofErr w:type="spellEnd"/>
            <w:r w:rsidRPr="007663DE">
              <w:rPr>
                <w:sz w:val="18"/>
                <w:szCs w:val="24"/>
              </w:rPr>
              <w:br/>
            </w:r>
            <w:r>
              <w:rPr>
                <w:sz w:val="18"/>
                <w:szCs w:val="24"/>
              </w:rPr>
              <w:t xml:space="preserve">CUA: </w:t>
            </w:r>
            <w:r w:rsidRPr="007663DE">
              <w:rPr>
                <w:sz w:val="18"/>
                <w:szCs w:val="24"/>
              </w:rPr>
              <w:t>Trial based</w:t>
            </w:r>
            <w:r>
              <w:rPr>
                <w:sz w:val="18"/>
                <w:szCs w:val="24"/>
              </w:rPr>
              <w:t>, unadjusted &amp; adjusted (net benefit regression); 2021 costs</w:t>
            </w:r>
          </w:p>
        </w:tc>
        <w:tc>
          <w:tcPr>
            <w:tcW w:w="1166" w:type="dxa"/>
          </w:tcPr>
          <w:p w14:paraId="067D4D40" w14:textId="77777777" w:rsidR="00F26DC9" w:rsidRPr="007663DE" w:rsidRDefault="00F26DC9">
            <w:pPr>
              <w:pStyle w:val="051Tabletext228pt"/>
              <w:ind w:left="-57" w:right="-57"/>
              <w:rPr>
                <w:sz w:val="18"/>
                <w:szCs w:val="24"/>
              </w:rPr>
            </w:pPr>
            <w:r w:rsidRPr="007663DE">
              <w:rPr>
                <w:sz w:val="18"/>
                <w:szCs w:val="24"/>
              </w:rPr>
              <w:t>Moderate to severe SUI</w:t>
            </w:r>
          </w:p>
        </w:tc>
        <w:tc>
          <w:tcPr>
            <w:tcW w:w="1170" w:type="dxa"/>
          </w:tcPr>
          <w:p w14:paraId="1009526A" w14:textId="77777777" w:rsidR="00F26DC9" w:rsidRDefault="00F26DC9">
            <w:pPr>
              <w:pStyle w:val="051Tabletext228pt"/>
              <w:ind w:left="-57" w:right="-57"/>
              <w:rPr>
                <w:sz w:val="18"/>
                <w:szCs w:val="24"/>
              </w:rPr>
            </w:pPr>
            <w:r w:rsidRPr="007663DE">
              <w:rPr>
                <w:sz w:val="18"/>
                <w:szCs w:val="24"/>
              </w:rPr>
              <w:t>MUS (n=153)</w:t>
            </w:r>
          </w:p>
          <w:p w14:paraId="50AB6EE5" w14:textId="77777777" w:rsidR="00F26DC9" w:rsidRPr="007663DE" w:rsidRDefault="00F26DC9">
            <w:pPr>
              <w:pStyle w:val="051Tabletext228pt"/>
              <w:ind w:left="-57" w:right="-57"/>
              <w:rPr>
                <w:sz w:val="18"/>
                <w:szCs w:val="24"/>
              </w:rPr>
            </w:pPr>
            <w:r w:rsidRPr="007663DE">
              <w:rPr>
                <w:sz w:val="18"/>
                <w:szCs w:val="24"/>
              </w:rPr>
              <w:t>PDMS-U bulking agent (n=131)</w:t>
            </w:r>
          </w:p>
        </w:tc>
        <w:tc>
          <w:tcPr>
            <w:tcW w:w="1170" w:type="dxa"/>
          </w:tcPr>
          <w:p w14:paraId="5BCA1E7B" w14:textId="1A80B7F8" w:rsidR="00F26DC9" w:rsidRPr="007663DE" w:rsidRDefault="00F26DC9">
            <w:pPr>
              <w:pStyle w:val="051Tabletext228pt"/>
              <w:ind w:left="-57" w:right="-57"/>
              <w:rPr>
                <w:sz w:val="18"/>
                <w:szCs w:val="24"/>
              </w:rPr>
            </w:pPr>
            <w:r w:rsidRPr="007663DE">
              <w:rPr>
                <w:sz w:val="18"/>
                <w:szCs w:val="24"/>
              </w:rPr>
              <w:t>This study</w:t>
            </w:r>
          </w:p>
        </w:tc>
        <w:tc>
          <w:tcPr>
            <w:tcW w:w="2646" w:type="dxa"/>
            <w:shd w:val="clear" w:color="auto" w:fill="auto"/>
          </w:tcPr>
          <w:p w14:paraId="740045F9" w14:textId="77777777" w:rsidR="00F26DC9" w:rsidRPr="007663DE" w:rsidRDefault="00F26DC9">
            <w:pPr>
              <w:pStyle w:val="051Tabletext228pt"/>
              <w:ind w:left="-57" w:right="-57"/>
              <w:rPr>
                <w:sz w:val="18"/>
                <w:szCs w:val="24"/>
              </w:rPr>
            </w:pPr>
            <w:r w:rsidRPr="007663DE">
              <w:rPr>
                <w:sz w:val="18"/>
                <w:szCs w:val="24"/>
              </w:rPr>
              <w:t xml:space="preserve">Funding: Research grants from </w:t>
            </w:r>
            <w:proofErr w:type="spellStart"/>
            <w:r w:rsidRPr="007663DE">
              <w:rPr>
                <w:sz w:val="18"/>
                <w:szCs w:val="24"/>
              </w:rPr>
              <w:t>Urogyn</w:t>
            </w:r>
            <w:proofErr w:type="spellEnd"/>
            <w:r>
              <w:rPr>
                <w:sz w:val="18"/>
                <w:szCs w:val="24"/>
              </w:rPr>
              <w:t> </w:t>
            </w:r>
            <w:r w:rsidRPr="007663DE">
              <w:rPr>
                <w:sz w:val="18"/>
                <w:szCs w:val="24"/>
              </w:rPr>
              <w:t xml:space="preserve">BV and </w:t>
            </w:r>
            <w:proofErr w:type="spellStart"/>
            <w:r w:rsidRPr="007663DE">
              <w:rPr>
                <w:sz w:val="18"/>
                <w:szCs w:val="24"/>
              </w:rPr>
              <w:t>ZonMw</w:t>
            </w:r>
            <w:proofErr w:type="spellEnd"/>
          </w:p>
          <w:p w14:paraId="498953DF" w14:textId="77777777" w:rsidR="00F26DC9" w:rsidRPr="007663DE" w:rsidRDefault="00F26DC9">
            <w:pPr>
              <w:pStyle w:val="051Tabletext228pt"/>
              <w:ind w:left="-57" w:right="-57"/>
              <w:rPr>
                <w:sz w:val="18"/>
                <w:szCs w:val="24"/>
              </w:rPr>
            </w:pPr>
            <w:r w:rsidRPr="007663DE">
              <w:rPr>
                <w:sz w:val="18"/>
                <w:szCs w:val="24"/>
              </w:rPr>
              <w:t>COI: Research Grants (</w:t>
            </w:r>
            <w:proofErr w:type="spellStart"/>
            <w:r w:rsidRPr="007663DE">
              <w:rPr>
                <w:sz w:val="18"/>
                <w:szCs w:val="24"/>
              </w:rPr>
              <w:t>Fotona</w:t>
            </w:r>
            <w:proofErr w:type="spellEnd"/>
            <w:r w:rsidRPr="007663DE">
              <w:rPr>
                <w:sz w:val="18"/>
                <w:szCs w:val="24"/>
              </w:rPr>
              <w:t>, Medtronic); Expert testimony (</w:t>
            </w:r>
            <w:proofErr w:type="spellStart"/>
            <w:r w:rsidRPr="007663DE">
              <w:rPr>
                <w:sz w:val="18"/>
                <w:szCs w:val="24"/>
              </w:rPr>
              <w:t>Dekra</w:t>
            </w:r>
            <w:proofErr w:type="spellEnd"/>
            <w:r w:rsidRPr="007663DE">
              <w:rPr>
                <w:sz w:val="18"/>
                <w:szCs w:val="24"/>
              </w:rPr>
              <w:t xml:space="preserve">); Safety and advisory boards (Kuste.ICS, EAU, NVU, AAEU); Consulting fees, honoraria (Astellas, BSCI, Coloplast, </w:t>
            </w:r>
            <w:proofErr w:type="spellStart"/>
            <w:r w:rsidRPr="007663DE">
              <w:rPr>
                <w:sz w:val="18"/>
                <w:szCs w:val="24"/>
              </w:rPr>
              <w:t>Kuste</w:t>
            </w:r>
            <w:proofErr w:type="spellEnd"/>
            <w:r w:rsidRPr="007663DE">
              <w:rPr>
                <w:sz w:val="18"/>
                <w:szCs w:val="24"/>
              </w:rPr>
              <w:t xml:space="preserve">, Medtronic, </w:t>
            </w:r>
            <w:proofErr w:type="spellStart"/>
            <w:r w:rsidRPr="007663DE">
              <w:rPr>
                <w:sz w:val="18"/>
                <w:szCs w:val="24"/>
              </w:rPr>
              <w:t>Promedon</w:t>
            </w:r>
            <w:proofErr w:type="spellEnd"/>
            <w:r w:rsidRPr="007663DE">
              <w:rPr>
                <w:sz w:val="18"/>
                <w:szCs w:val="24"/>
              </w:rPr>
              <w:t xml:space="preserve">, </w:t>
            </w:r>
            <w:proofErr w:type="spellStart"/>
            <w:r w:rsidRPr="007663DE">
              <w:rPr>
                <w:sz w:val="18"/>
                <w:szCs w:val="24"/>
              </w:rPr>
              <w:t>Urogyn</w:t>
            </w:r>
            <w:proofErr w:type="spellEnd"/>
            <w:r w:rsidRPr="007663DE">
              <w:rPr>
                <w:sz w:val="18"/>
                <w:szCs w:val="24"/>
              </w:rPr>
              <w:t>)</w:t>
            </w:r>
          </w:p>
        </w:tc>
      </w:tr>
    </w:tbl>
    <w:p w14:paraId="52B3CF28" w14:textId="77777777" w:rsidR="00E769DB" w:rsidRPr="00E769DB" w:rsidRDefault="00E769DB" w:rsidP="00E769DB">
      <w:pPr>
        <w:pStyle w:val="111Tablefootnoteslast-nostick8pt"/>
        <w:spacing w:after="0"/>
      </w:pPr>
      <w:r w:rsidRPr="00E769DB">
        <w:t>Abbreviations</w:t>
      </w:r>
      <w:r w:rsidR="00F26DC9" w:rsidRPr="00E769DB">
        <w:t>: COI, conflict of interest; CUA, cost-utility analysis; EE, economic evaluation; MUS, mid-urethral sling; PDMS-U, polydimethylsiloxane (</w:t>
      </w:r>
      <w:proofErr w:type="spellStart"/>
      <w:r w:rsidR="00F26DC9" w:rsidRPr="00E769DB">
        <w:t>Urolastic</w:t>
      </w:r>
      <w:proofErr w:type="spellEnd"/>
      <w:r w:rsidR="00F26DC9" w:rsidRPr="00E769DB">
        <w:t xml:space="preserve">®); SUI, stress urinary incontinence; </w:t>
      </w:r>
      <w:proofErr w:type="spellStart"/>
      <w:r w:rsidR="00F26DC9" w:rsidRPr="00E769DB">
        <w:t>yr</w:t>
      </w:r>
      <w:proofErr w:type="spellEnd"/>
      <w:r w:rsidR="00F26DC9" w:rsidRPr="00E769DB">
        <w:t xml:space="preserve">, year; </w:t>
      </w:r>
      <w:proofErr w:type="spellStart"/>
      <w:r w:rsidR="00F26DC9" w:rsidRPr="00E769DB">
        <w:t>ZonMw</w:t>
      </w:r>
      <w:proofErr w:type="spellEnd"/>
      <w:r w:rsidR="00F26DC9" w:rsidRPr="00E769DB">
        <w:t>, Netherlands Organisation for Health Research and Development.</w:t>
      </w:r>
    </w:p>
    <w:p w14:paraId="6749C38D" w14:textId="74A1F645" w:rsidR="00F26DC9" w:rsidRPr="00E769DB" w:rsidRDefault="00F26DC9" w:rsidP="00F26DC9">
      <w:pPr>
        <w:pStyle w:val="111Tablefootnoteslast-nostick8pt"/>
      </w:pPr>
      <w:r w:rsidRPr="00396F96">
        <w:rPr>
          <w:vertAlign w:val="superscript"/>
        </w:rPr>
        <w:t>1</w:t>
      </w:r>
      <w:r w:rsidRPr="00E769DB">
        <w:t xml:space="preserve">The economic evaluation is applied to Netherlands but the clinical </w:t>
      </w:r>
      <w:proofErr w:type="spellStart"/>
      <w:r w:rsidRPr="00E769DB">
        <w:t>centres</w:t>
      </w:r>
      <w:proofErr w:type="spellEnd"/>
      <w:r w:rsidRPr="00E769DB">
        <w:t xml:space="preserve"> were in four countries (Netherlands, Slovakia; South Africa and Canada)</w:t>
      </w:r>
    </w:p>
    <w:p w14:paraId="13DFF07C" w14:textId="1FCE3B31" w:rsidR="00F26DC9" w:rsidRPr="00B0485F" w:rsidRDefault="00F26DC9" w:rsidP="00F26DC9">
      <w:pPr>
        <w:pStyle w:val="BodyText"/>
      </w:pPr>
      <w:r>
        <w:t>The MUS arm included both RP-MUS (n=15 [9.8%]), TO-MUS (n=66 [43.2%]) and single-incision mini-sling (n=72 [47%]). T</w:t>
      </w:r>
      <w:r w:rsidRPr="0037519B">
        <w:t xml:space="preserve">hus, almost half the comparator </w:t>
      </w:r>
      <w:r>
        <w:t>patients</w:t>
      </w:r>
      <w:r w:rsidRPr="0037519B">
        <w:t xml:space="preserve"> received an intervention </w:t>
      </w:r>
      <w:r>
        <w:t>that</w:t>
      </w:r>
      <w:r w:rsidRPr="0037519B">
        <w:t xml:space="preserve"> is out of scope for this post-listing review</w:t>
      </w:r>
      <w:r>
        <w:t xml:space="preserve">. Further, the authors noted several marked differences in baseline characteristics, </w:t>
      </w:r>
      <w:r w:rsidRPr="008520C4">
        <w:rPr>
          <w:i/>
          <w:iCs/>
        </w:rPr>
        <w:t>“the PDMS</w:t>
      </w:r>
      <w:r>
        <w:rPr>
          <w:i/>
          <w:iCs/>
        </w:rPr>
        <w:noBreakHyphen/>
      </w:r>
      <w:r w:rsidRPr="008520C4">
        <w:rPr>
          <w:i/>
          <w:iCs/>
        </w:rPr>
        <w:t xml:space="preserve">U group were on average twice as old, had more severe SUI, more </w:t>
      </w:r>
      <w:r>
        <w:rPr>
          <w:i/>
          <w:iCs/>
        </w:rPr>
        <w:t>mixed urinary incontinence (</w:t>
      </w:r>
      <w:r w:rsidRPr="008520C4">
        <w:rPr>
          <w:i/>
          <w:iCs/>
        </w:rPr>
        <w:t>MUI</w:t>
      </w:r>
      <w:r>
        <w:rPr>
          <w:i/>
          <w:iCs/>
        </w:rPr>
        <w:t>)</w:t>
      </w:r>
      <w:r w:rsidRPr="008520C4">
        <w:rPr>
          <w:i/>
          <w:iCs/>
        </w:rPr>
        <w:t xml:space="preserve"> and a higher number of previous surgical treatments for SUI”</w:t>
      </w:r>
      <w:r>
        <w:t xml:space="preserve">, thus likely to be at higher risk of poorer </w:t>
      </w:r>
      <w:r>
        <w:lastRenderedPageBreak/>
        <w:t>outcomes than the MUS group. An adjusted analysis using logistic regression attempted to correct for this source of bias. Total costs included societal costs such as loss of productivity.</w:t>
      </w:r>
    </w:p>
    <w:p w14:paraId="11198CFB" w14:textId="77777777" w:rsidR="00F26DC9" w:rsidRPr="00B0485F" w:rsidRDefault="00F26DC9" w:rsidP="00F26DC9">
      <w:pPr>
        <w:pStyle w:val="Heading5"/>
      </w:pPr>
      <w:r w:rsidRPr="00B0485F">
        <w:t>Findings</w:t>
      </w:r>
    </w:p>
    <w:p w14:paraId="1C423B0C" w14:textId="60A8B904" w:rsidR="00F26DC9" w:rsidRPr="00B0485F" w:rsidRDefault="00F26DC9" w:rsidP="00F26DC9">
      <w:pPr>
        <w:pStyle w:val="BodyText"/>
      </w:pPr>
      <w:r w:rsidRPr="00B0485F">
        <w:t>The findings of the cost</w:t>
      </w:r>
      <w:r>
        <w:t>-utility</w:t>
      </w:r>
      <w:r w:rsidRPr="00B0485F">
        <w:t xml:space="preserve"> analysis</w:t>
      </w:r>
      <w:r w:rsidRPr="00B0485F" w:rsidDel="0073314D">
        <w:t xml:space="preserve"> </w:t>
      </w:r>
      <w:r w:rsidRPr="00B0485F">
        <w:t xml:space="preserve">are presented in </w:t>
      </w:r>
      <w:r w:rsidRPr="00216727">
        <w:rPr>
          <w:b/>
          <w:bCs/>
        </w:rPr>
        <w:fldChar w:fldCharType="begin"/>
      </w:r>
      <w:r w:rsidRPr="00216727">
        <w:rPr>
          <w:b/>
          <w:bCs/>
        </w:rPr>
        <w:instrText xml:space="preserve"> REF _Ref131670783 \h </w:instrText>
      </w:r>
      <w:r>
        <w:rPr>
          <w:b/>
          <w:bCs/>
        </w:rPr>
        <w:instrText xml:space="preserve"> \* MERGEFORMAT </w:instrText>
      </w:r>
      <w:r w:rsidRPr="00216727">
        <w:rPr>
          <w:b/>
          <w:bCs/>
        </w:rPr>
      </w:r>
      <w:r w:rsidRPr="00216727">
        <w:rPr>
          <w:b/>
          <w:bCs/>
        </w:rPr>
        <w:fldChar w:fldCharType="separate"/>
      </w:r>
      <w:r w:rsidR="007105D3" w:rsidRPr="007105D3">
        <w:rPr>
          <w:b/>
          <w:bCs/>
        </w:rPr>
        <w:t xml:space="preserve">Table </w:t>
      </w:r>
      <w:r w:rsidR="007105D3" w:rsidRPr="007105D3">
        <w:rPr>
          <w:b/>
          <w:bCs/>
          <w:noProof/>
        </w:rPr>
        <w:t>25</w:t>
      </w:r>
      <w:r w:rsidRPr="00216727">
        <w:rPr>
          <w:b/>
          <w:bCs/>
        </w:rPr>
        <w:fldChar w:fldCharType="end"/>
      </w:r>
      <w:r w:rsidRPr="00C833BB">
        <w:t>, from a Dutch health care and societal perspective</w:t>
      </w:r>
      <w:r w:rsidRPr="00B0485F">
        <w:t>.</w:t>
      </w:r>
    </w:p>
    <w:p w14:paraId="33E0083D" w14:textId="127E24A9" w:rsidR="00F26DC9" w:rsidRPr="00B0485F" w:rsidRDefault="00F26DC9" w:rsidP="00F26DC9">
      <w:pPr>
        <w:pStyle w:val="Caption"/>
      </w:pPr>
      <w:bookmarkStart w:id="135" w:name="_Ref131670783"/>
      <w:bookmarkStart w:id="136" w:name="_Toc165627893"/>
      <w:r w:rsidRPr="00B0485F">
        <w:t xml:space="preserve">Table </w:t>
      </w:r>
      <w:fldSimple w:instr=" SEQ Table \* ARABIC ">
        <w:r w:rsidR="007105D3">
          <w:rPr>
            <w:noProof/>
          </w:rPr>
          <w:t>25</w:t>
        </w:r>
      </w:fldSimple>
      <w:bookmarkEnd w:id="135"/>
      <w:r w:rsidRPr="00B0485F">
        <w:tab/>
        <w:t xml:space="preserve">Outcomes of </w:t>
      </w:r>
      <w:proofErr w:type="spellStart"/>
      <w:r w:rsidRPr="00B0485F">
        <w:t>Casteleijn</w:t>
      </w:r>
      <w:proofErr w:type="spellEnd"/>
      <w:r w:rsidRPr="00B0485F">
        <w:t xml:space="preserve"> (2023)</w:t>
      </w:r>
      <w:r>
        <w:t xml:space="preserve"> – at 1 year</w:t>
      </w:r>
      <w:bookmarkEnd w:id="136"/>
    </w:p>
    <w:tbl>
      <w:tblPr>
        <w:tblStyle w:val="TableGrid"/>
        <w:tblW w:w="5074" w:type="pct"/>
        <w:tblLook w:val="04A0" w:firstRow="1" w:lastRow="0" w:firstColumn="1" w:lastColumn="0" w:noHBand="0" w:noVBand="1"/>
        <w:tblCaption w:val="Outcomes of Casteleijn (2023) at 1 year"/>
        <w:tblDescription w:val="This table shows the outcomes of the Casteleijn (2023) study at 1 year including incremental effectiveness, incremental costs, ICER cost/QALY, sensitivity analysis and conclusion. "/>
      </w:tblPr>
      <w:tblGrid>
        <w:gridCol w:w="872"/>
        <w:gridCol w:w="1647"/>
        <w:gridCol w:w="1622"/>
        <w:gridCol w:w="1620"/>
        <w:gridCol w:w="2320"/>
        <w:gridCol w:w="1700"/>
      </w:tblGrid>
      <w:tr w:rsidR="00F26DC9" w:rsidRPr="008C47D5" w14:paraId="4CC4CBE4" w14:textId="77777777">
        <w:trPr>
          <w:cnfStyle w:val="100000000000" w:firstRow="1" w:lastRow="0" w:firstColumn="0" w:lastColumn="0" w:oddVBand="0" w:evenVBand="0" w:oddHBand="0" w:evenHBand="0" w:firstRowFirstColumn="0" w:firstRowLastColumn="0" w:lastRowFirstColumn="0" w:lastRowLastColumn="0"/>
        </w:trPr>
        <w:tc>
          <w:tcPr>
            <w:tcW w:w="446" w:type="pct"/>
          </w:tcPr>
          <w:p w14:paraId="34A8CD93" w14:textId="77777777" w:rsidR="00F26DC9" w:rsidRPr="008C47D5" w:rsidRDefault="00F26DC9">
            <w:pPr>
              <w:pStyle w:val="011TableHeading8pt"/>
              <w:ind w:left="-57" w:right="-57"/>
              <w:rPr>
                <w:sz w:val="18"/>
                <w:szCs w:val="24"/>
              </w:rPr>
            </w:pPr>
            <w:r w:rsidRPr="008C47D5">
              <w:rPr>
                <w:sz w:val="18"/>
                <w:szCs w:val="24"/>
              </w:rPr>
              <w:t>Study ID</w:t>
            </w:r>
          </w:p>
        </w:tc>
        <w:tc>
          <w:tcPr>
            <w:tcW w:w="842" w:type="pct"/>
          </w:tcPr>
          <w:p w14:paraId="4AE349D5" w14:textId="77777777" w:rsidR="00F26DC9" w:rsidRPr="008C47D5" w:rsidRDefault="00F26DC9">
            <w:pPr>
              <w:pStyle w:val="011TableHeading8pt"/>
              <w:ind w:left="-57" w:right="-57"/>
              <w:rPr>
                <w:sz w:val="18"/>
                <w:szCs w:val="24"/>
              </w:rPr>
            </w:pPr>
            <w:r w:rsidRPr="008C47D5">
              <w:rPr>
                <w:sz w:val="18"/>
                <w:szCs w:val="24"/>
              </w:rPr>
              <w:t>Incremental effectiveness, QALY (IQR)</w:t>
            </w:r>
          </w:p>
        </w:tc>
        <w:tc>
          <w:tcPr>
            <w:tcW w:w="829" w:type="pct"/>
          </w:tcPr>
          <w:p w14:paraId="0C944A85" w14:textId="77777777" w:rsidR="00F26DC9" w:rsidRPr="008C47D5" w:rsidRDefault="00F26DC9">
            <w:pPr>
              <w:pStyle w:val="011TableHeading8pt"/>
              <w:ind w:left="-57" w:right="-57"/>
              <w:rPr>
                <w:sz w:val="18"/>
                <w:szCs w:val="24"/>
              </w:rPr>
            </w:pPr>
            <w:r w:rsidRPr="008C47D5">
              <w:rPr>
                <w:sz w:val="18"/>
                <w:szCs w:val="24"/>
              </w:rPr>
              <w:t xml:space="preserve">Incremental costs, </w:t>
            </w:r>
            <w:r w:rsidRPr="008C47D5">
              <w:rPr>
                <w:sz w:val="18"/>
                <w:szCs w:val="24"/>
              </w:rPr>
              <w:br/>
              <w:t>Euro (95% CI)</w:t>
            </w:r>
          </w:p>
        </w:tc>
        <w:tc>
          <w:tcPr>
            <w:tcW w:w="828" w:type="pct"/>
          </w:tcPr>
          <w:p w14:paraId="2FFB9780" w14:textId="7B7E0381" w:rsidR="00F26DC9" w:rsidRPr="008C47D5" w:rsidRDefault="00F26DC9">
            <w:pPr>
              <w:pStyle w:val="011TableHeading8pt"/>
              <w:ind w:left="-57" w:right="-57"/>
              <w:rPr>
                <w:sz w:val="18"/>
                <w:szCs w:val="24"/>
              </w:rPr>
            </w:pPr>
            <w:r w:rsidRPr="008C47D5">
              <w:rPr>
                <w:sz w:val="18"/>
                <w:szCs w:val="24"/>
              </w:rPr>
              <w:t>ICER Cost/QALY (95% CI)</w:t>
            </w:r>
          </w:p>
        </w:tc>
        <w:tc>
          <w:tcPr>
            <w:tcW w:w="1186" w:type="pct"/>
          </w:tcPr>
          <w:p w14:paraId="61EFD267" w14:textId="77777777" w:rsidR="00F26DC9" w:rsidRPr="008C47D5" w:rsidRDefault="00F26DC9">
            <w:pPr>
              <w:pStyle w:val="011TableHeading8pt"/>
              <w:ind w:left="-57" w:right="-57"/>
              <w:rPr>
                <w:sz w:val="18"/>
                <w:szCs w:val="24"/>
              </w:rPr>
            </w:pPr>
            <w:r w:rsidRPr="008C47D5">
              <w:rPr>
                <w:sz w:val="18"/>
                <w:szCs w:val="24"/>
              </w:rPr>
              <w:t>Sensitivity analysis</w:t>
            </w:r>
            <w:r>
              <w:rPr>
                <w:sz w:val="18"/>
                <w:szCs w:val="24"/>
              </w:rPr>
              <w:t xml:space="preserve"> </w:t>
            </w:r>
            <w:r>
              <w:rPr>
                <w:sz w:val="18"/>
                <w:szCs w:val="24"/>
              </w:rPr>
              <w:br/>
              <w:t>(95% CI)</w:t>
            </w:r>
          </w:p>
        </w:tc>
        <w:tc>
          <w:tcPr>
            <w:tcW w:w="869" w:type="pct"/>
          </w:tcPr>
          <w:p w14:paraId="4867AF81" w14:textId="77777777" w:rsidR="00F26DC9" w:rsidRPr="008C47D5" w:rsidRDefault="00F26DC9">
            <w:pPr>
              <w:pStyle w:val="011TableHeading8pt"/>
              <w:ind w:left="-57" w:right="-57"/>
              <w:rPr>
                <w:sz w:val="18"/>
                <w:szCs w:val="24"/>
              </w:rPr>
            </w:pPr>
            <w:r w:rsidRPr="008C47D5">
              <w:rPr>
                <w:sz w:val="18"/>
                <w:szCs w:val="24"/>
              </w:rPr>
              <w:t>Conclusion</w:t>
            </w:r>
          </w:p>
        </w:tc>
      </w:tr>
      <w:tr w:rsidR="00F26DC9" w:rsidRPr="00443CF7" w14:paraId="74F9FBE1" w14:textId="77777777">
        <w:tc>
          <w:tcPr>
            <w:tcW w:w="446" w:type="pct"/>
          </w:tcPr>
          <w:p w14:paraId="34CED67A" w14:textId="77777777" w:rsidR="00F26DC9" w:rsidRPr="008C47D5" w:rsidRDefault="00F26DC9">
            <w:pPr>
              <w:pStyle w:val="051Tabletext228pt"/>
              <w:ind w:left="-57" w:right="-57"/>
              <w:rPr>
                <w:sz w:val="18"/>
                <w:szCs w:val="24"/>
              </w:rPr>
            </w:pPr>
            <w:proofErr w:type="spellStart"/>
            <w:r w:rsidRPr="008C47D5">
              <w:rPr>
                <w:sz w:val="18"/>
                <w:szCs w:val="24"/>
              </w:rPr>
              <w:t>Casteleijn</w:t>
            </w:r>
            <w:proofErr w:type="spellEnd"/>
            <w:r w:rsidRPr="008C47D5">
              <w:rPr>
                <w:sz w:val="18"/>
                <w:szCs w:val="24"/>
              </w:rPr>
              <w:t xml:space="preserve"> 2023</w:t>
            </w:r>
            <w:r w:rsidRPr="008C47D5">
              <w:rPr>
                <w:sz w:val="18"/>
                <w:szCs w:val="24"/>
              </w:rPr>
              <w:br/>
              <w:t>NL</w:t>
            </w:r>
          </w:p>
        </w:tc>
        <w:tc>
          <w:tcPr>
            <w:tcW w:w="842" w:type="pct"/>
          </w:tcPr>
          <w:p w14:paraId="7E06C854" w14:textId="2D3C1AD6" w:rsidR="00F26DC9" w:rsidRPr="008C47D5" w:rsidRDefault="00F26DC9">
            <w:pPr>
              <w:pStyle w:val="051Tabletext228pt"/>
              <w:ind w:left="-57" w:right="-57"/>
              <w:rPr>
                <w:sz w:val="18"/>
                <w:szCs w:val="24"/>
              </w:rPr>
            </w:pPr>
            <w:r w:rsidRPr="008C47D5">
              <w:rPr>
                <w:sz w:val="18"/>
                <w:szCs w:val="24"/>
              </w:rPr>
              <w:t>Mean difference, MUS</w:t>
            </w:r>
            <w:r>
              <w:rPr>
                <w:sz w:val="18"/>
                <w:szCs w:val="24"/>
              </w:rPr>
              <w:t xml:space="preserve"> vs. </w:t>
            </w:r>
            <w:r w:rsidRPr="008C47D5">
              <w:rPr>
                <w:sz w:val="18"/>
                <w:szCs w:val="24"/>
              </w:rPr>
              <w:t xml:space="preserve">PDMS-U: </w:t>
            </w:r>
            <w:r w:rsidRPr="008C47D5">
              <w:rPr>
                <w:sz w:val="18"/>
                <w:szCs w:val="24"/>
              </w:rPr>
              <w:br/>
            </w:r>
            <w:r w:rsidRPr="008C47D5">
              <w:rPr>
                <w:sz w:val="18"/>
                <w:szCs w:val="24"/>
                <w:u w:val="single"/>
              </w:rPr>
              <w:t>IIQ</w:t>
            </w:r>
            <w:r w:rsidRPr="008C47D5">
              <w:rPr>
                <w:sz w:val="18"/>
                <w:szCs w:val="24"/>
              </w:rPr>
              <w:t xml:space="preserve"> </w:t>
            </w:r>
            <w:r w:rsidRPr="008C47D5">
              <w:rPr>
                <w:sz w:val="18"/>
                <w:szCs w:val="24"/>
              </w:rPr>
              <w:br/>
              <w:t>0.20 (0.15</w:t>
            </w:r>
            <w:r>
              <w:rPr>
                <w:sz w:val="18"/>
                <w:szCs w:val="24"/>
              </w:rPr>
              <w:t xml:space="preserve">, </w:t>
            </w:r>
            <w:r w:rsidRPr="008C47D5">
              <w:rPr>
                <w:sz w:val="18"/>
                <w:szCs w:val="24"/>
              </w:rPr>
              <w:t>0.25)</w:t>
            </w:r>
          </w:p>
          <w:p w14:paraId="65403FB1" w14:textId="6E1DB5C8" w:rsidR="00F26DC9" w:rsidRPr="008C47D5" w:rsidRDefault="00F26DC9">
            <w:pPr>
              <w:pStyle w:val="051Tabletext228pt"/>
              <w:ind w:left="-57" w:right="-57"/>
              <w:rPr>
                <w:sz w:val="18"/>
                <w:szCs w:val="24"/>
                <w:highlight w:val="yellow"/>
              </w:rPr>
            </w:pPr>
            <w:r w:rsidRPr="008C47D5">
              <w:rPr>
                <w:sz w:val="18"/>
                <w:szCs w:val="24"/>
                <w:u w:val="single"/>
              </w:rPr>
              <w:t>EQ-5D-5L</w:t>
            </w:r>
            <w:r w:rsidRPr="008C47D5">
              <w:rPr>
                <w:sz w:val="18"/>
                <w:szCs w:val="24"/>
              </w:rPr>
              <w:t xml:space="preserve"> </w:t>
            </w:r>
            <w:r w:rsidRPr="008C47D5">
              <w:rPr>
                <w:sz w:val="18"/>
                <w:szCs w:val="24"/>
              </w:rPr>
              <w:br/>
              <w:t>0.08 (0.05</w:t>
            </w:r>
            <w:r>
              <w:rPr>
                <w:sz w:val="18"/>
                <w:szCs w:val="24"/>
              </w:rPr>
              <w:t xml:space="preserve">, </w:t>
            </w:r>
            <w:r w:rsidRPr="008C47D5">
              <w:rPr>
                <w:sz w:val="18"/>
                <w:szCs w:val="24"/>
              </w:rPr>
              <w:t>0.12</w:t>
            </w:r>
            <w:r>
              <w:rPr>
                <w:sz w:val="18"/>
                <w:szCs w:val="24"/>
              </w:rPr>
              <w:t>)</w:t>
            </w:r>
          </w:p>
        </w:tc>
        <w:tc>
          <w:tcPr>
            <w:tcW w:w="829" w:type="pct"/>
          </w:tcPr>
          <w:p w14:paraId="6CD848D5" w14:textId="61EC50E3" w:rsidR="00F26DC9" w:rsidRPr="008C47D5" w:rsidRDefault="00F26DC9">
            <w:pPr>
              <w:pStyle w:val="051Tabletext228pt"/>
              <w:ind w:left="-57" w:right="-57"/>
              <w:rPr>
                <w:sz w:val="18"/>
                <w:szCs w:val="24"/>
                <w:highlight w:val="yellow"/>
              </w:rPr>
            </w:pPr>
            <w:r w:rsidRPr="008C47D5">
              <w:rPr>
                <w:sz w:val="18"/>
                <w:szCs w:val="24"/>
              </w:rPr>
              <w:t>Mean difference, MUS</w:t>
            </w:r>
            <w:r>
              <w:rPr>
                <w:sz w:val="18"/>
                <w:szCs w:val="24"/>
              </w:rPr>
              <w:t xml:space="preserve"> vs. </w:t>
            </w:r>
            <w:r w:rsidRPr="008C47D5">
              <w:rPr>
                <w:sz w:val="18"/>
                <w:szCs w:val="24"/>
              </w:rPr>
              <w:t xml:space="preserve">PDMS-U: </w:t>
            </w:r>
            <w:r w:rsidRPr="008C47D5">
              <w:rPr>
                <w:sz w:val="18"/>
                <w:szCs w:val="24"/>
              </w:rPr>
              <w:br/>
              <w:t>€3</w:t>
            </w:r>
            <w:r>
              <w:rPr>
                <w:sz w:val="18"/>
                <w:szCs w:val="24"/>
              </w:rPr>
              <w:t>,</w:t>
            </w:r>
            <w:r w:rsidRPr="008C47D5">
              <w:rPr>
                <w:sz w:val="18"/>
                <w:szCs w:val="24"/>
              </w:rPr>
              <w:t>120 (€2</w:t>
            </w:r>
            <w:r>
              <w:rPr>
                <w:sz w:val="18"/>
                <w:szCs w:val="24"/>
              </w:rPr>
              <w:t>,</w:t>
            </w:r>
            <w:r w:rsidRPr="008C47D5">
              <w:rPr>
                <w:sz w:val="18"/>
                <w:szCs w:val="24"/>
              </w:rPr>
              <w:t>382</w:t>
            </w:r>
            <w:r>
              <w:rPr>
                <w:sz w:val="18"/>
                <w:szCs w:val="24"/>
              </w:rPr>
              <w:t xml:space="preserve">, </w:t>
            </w:r>
            <w:r w:rsidRPr="008C47D5">
              <w:rPr>
                <w:sz w:val="18"/>
                <w:szCs w:val="24"/>
              </w:rPr>
              <w:t>€3</w:t>
            </w:r>
            <w:r>
              <w:rPr>
                <w:sz w:val="18"/>
                <w:szCs w:val="24"/>
              </w:rPr>
              <w:t>,</w:t>
            </w:r>
            <w:r w:rsidRPr="008C47D5">
              <w:rPr>
                <w:sz w:val="18"/>
                <w:szCs w:val="24"/>
              </w:rPr>
              <w:t>861)</w:t>
            </w:r>
          </w:p>
        </w:tc>
        <w:tc>
          <w:tcPr>
            <w:tcW w:w="828" w:type="pct"/>
          </w:tcPr>
          <w:p w14:paraId="406F03EC" w14:textId="77777777" w:rsidR="00F26DC9" w:rsidRDefault="00F26DC9">
            <w:pPr>
              <w:pStyle w:val="051Tabletext228pt"/>
              <w:ind w:left="-57" w:right="-57"/>
              <w:rPr>
                <w:sz w:val="18"/>
                <w:szCs w:val="24"/>
              </w:rPr>
            </w:pPr>
            <w:r w:rsidRPr="008C47D5">
              <w:rPr>
                <w:sz w:val="18"/>
                <w:szCs w:val="24"/>
              </w:rPr>
              <w:t>MUS</w:t>
            </w:r>
            <w:r>
              <w:rPr>
                <w:sz w:val="18"/>
                <w:szCs w:val="24"/>
              </w:rPr>
              <w:t xml:space="preserve"> vs. </w:t>
            </w:r>
            <w:r w:rsidRPr="008C47D5">
              <w:rPr>
                <w:sz w:val="18"/>
                <w:szCs w:val="24"/>
              </w:rPr>
              <w:t>PDMS-U:</w:t>
            </w:r>
          </w:p>
          <w:p w14:paraId="7DF647FA" w14:textId="7CE13326" w:rsidR="00F26DC9" w:rsidRPr="008C47D5" w:rsidRDefault="00F26DC9">
            <w:pPr>
              <w:pStyle w:val="051Tabletext228pt"/>
              <w:ind w:left="-57" w:right="-57"/>
              <w:rPr>
                <w:sz w:val="18"/>
                <w:szCs w:val="24"/>
              </w:rPr>
            </w:pPr>
            <w:r w:rsidRPr="008C47D5">
              <w:rPr>
                <w:sz w:val="18"/>
                <w:szCs w:val="24"/>
                <w:u w:val="single"/>
              </w:rPr>
              <w:t>IIQ</w:t>
            </w:r>
            <w:r w:rsidRPr="008C47D5">
              <w:rPr>
                <w:sz w:val="18"/>
                <w:szCs w:val="24"/>
              </w:rPr>
              <w:t xml:space="preserve"> </w:t>
            </w:r>
            <w:r>
              <w:rPr>
                <w:sz w:val="18"/>
                <w:szCs w:val="24"/>
              </w:rPr>
              <w:br/>
            </w:r>
            <w:r w:rsidRPr="008C47D5">
              <w:rPr>
                <w:sz w:val="18"/>
                <w:szCs w:val="24"/>
              </w:rPr>
              <w:t>€15,598 (€10,950</w:t>
            </w:r>
            <w:r>
              <w:rPr>
                <w:sz w:val="18"/>
                <w:szCs w:val="24"/>
              </w:rPr>
              <w:t>,</w:t>
            </w:r>
            <w:r w:rsidRPr="008C47D5" w:rsidDel="006A3F08">
              <w:rPr>
                <w:sz w:val="18"/>
                <w:szCs w:val="24"/>
              </w:rPr>
              <w:t xml:space="preserve"> </w:t>
            </w:r>
            <w:r w:rsidRPr="008C47D5">
              <w:rPr>
                <w:sz w:val="18"/>
                <w:szCs w:val="24"/>
              </w:rPr>
              <w:t>€21,966)</w:t>
            </w:r>
          </w:p>
          <w:p w14:paraId="6C343A74" w14:textId="10211D11" w:rsidR="00F26DC9" w:rsidRPr="008C47D5" w:rsidRDefault="00F26DC9">
            <w:pPr>
              <w:pStyle w:val="051Tabletext228pt"/>
              <w:ind w:left="-57" w:right="-57"/>
              <w:rPr>
                <w:sz w:val="18"/>
                <w:szCs w:val="24"/>
              </w:rPr>
            </w:pPr>
            <w:r w:rsidRPr="008C47D5">
              <w:rPr>
                <w:sz w:val="18"/>
                <w:szCs w:val="24"/>
                <w:u w:val="single"/>
              </w:rPr>
              <w:t>EQ-5D-5L</w:t>
            </w:r>
            <w:r w:rsidRPr="008C47D5">
              <w:rPr>
                <w:sz w:val="18"/>
                <w:szCs w:val="24"/>
              </w:rPr>
              <w:t xml:space="preserve"> </w:t>
            </w:r>
            <w:r>
              <w:rPr>
                <w:sz w:val="18"/>
                <w:szCs w:val="24"/>
              </w:rPr>
              <w:br/>
            </w:r>
            <w:r w:rsidRPr="008C47D5">
              <w:rPr>
                <w:sz w:val="18"/>
                <w:szCs w:val="24"/>
              </w:rPr>
              <w:t>€37,408 (€22,817</w:t>
            </w:r>
            <w:r>
              <w:rPr>
                <w:sz w:val="18"/>
                <w:szCs w:val="24"/>
              </w:rPr>
              <w:t>,</w:t>
            </w:r>
            <w:r w:rsidRPr="008C47D5">
              <w:rPr>
                <w:sz w:val="18"/>
                <w:szCs w:val="24"/>
              </w:rPr>
              <w:t xml:space="preserve"> €67,102)</w:t>
            </w:r>
            <w:r>
              <w:rPr>
                <w:sz w:val="18"/>
                <w:szCs w:val="24"/>
              </w:rPr>
              <w:br/>
            </w:r>
            <w:r w:rsidRPr="00801CCF">
              <w:rPr>
                <w:i/>
                <w:iCs/>
                <w:sz w:val="18"/>
                <w:szCs w:val="24"/>
              </w:rPr>
              <w:t>(favours PDMS-U)</w:t>
            </w:r>
          </w:p>
        </w:tc>
        <w:tc>
          <w:tcPr>
            <w:tcW w:w="1186" w:type="pct"/>
          </w:tcPr>
          <w:p w14:paraId="2AB35F11" w14:textId="49922490" w:rsidR="00F26DC9" w:rsidRDefault="00F26DC9">
            <w:pPr>
              <w:pStyle w:val="051Tabletext228pt"/>
              <w:ind w:left="-57" w:right="-57"/>
              <w:rPr>
                <w:i/>
                <w:iCs/>
                <w:sz w:val="18"/>
                <w:szCs w:val="24"/>
              </w:rPr>
            </w:pPr>
            <w:r w:rsidRPr="00C85B47">
              <w:rPr>
                <w:i/>
                <w:sz w:val="18"/>
                <w:szCs w:val="24"/>
              </w:rPr>
              <w:t>Assuming zero leave days for missing data:</w:t>
            </w:r>
            <w:r w:rsidRPr="00CB2136">
              <w:rPr>
                <w:sz w:val="18"/>
                <w:szCs w:val="24"/>
              </w:rPr>
              <w:br/>
            </w:r>
            <w:r w:rsidRPr="008C47D5">
              <w:rPr>
                <w:sz w:val="18"/>
                <w:szCs w:val="24"/>
                <w:u w:val="single"/>
              </w:rPr>
              <w:t>IIQ</w:t>
            </w:r>
            <w:r>
              <w:rPr>
                <w:sz w:val="18"/>
                <w:szCs w:val="24"/>
              </w:rPr>
              <w:br/>
            </w:r>
            <w:r w:rsidRPr="008C47D5">
              <w:rPr>
                <w:sz w:val="18"/>
                <w:szCs w:val="24"/>
              </w:rPr>
              <w:t>€12,365 (€7,823</w:t>
            </w:r>
            <w:r>
              <w:rPr>
                <w:sz w:val="18"/>
                <w:szCs w:val="24"/>
              </w:rPr>
              <w:t>,</w:t>
            </w:r>
            <w:r w:rsidRPr="008C47D5">
              <w:rPr>
                <w:sz w:val="18"/>
                <w:szCs w:val="24"/>
              </w:rPr>
              <w:t xml:space="preserve"> €18,283) </w:t>
            </w:r>
            <w:r w:rsidRPr="00CB2136">
              <w:rPr>
                <w:sz w:val="18"/>
                <w:szCs w:val="24"/>
              </w:rPr>
              <w:br/>
            </w:r>
            <w:r w:rsidRPr="008C47D5">
              <w:rPr>
                <w:sz w:val="18"/>
                <w:szCs w:val="24"/>
                <w:u w:val="single"/>
              </w:rPr>
              <w:t>EQ-5D-5L</w:t>
            </w:r>
            <w:r>
              <w:rPr>
                <w:sz w:val="18"/>
                <w:szCs w:val="24"/>
              </w:rPr>
              <w:br/>
            </w:r>
            <w:r w:rsidRPr="008C47D5">
              <w:rPr>
                <w:sz w:val="18"/>
                <w:szCs w:val="24"/>
              </w:rPr>
              <w:t>€29,889 (€16,777</w:t>
            </w:r>
            <w:r>
              <w:rPr>
                <w:sz w:val="18"/>
                <w:szCs w:val="24"/>
              </w:rPr>
              <w:t>,</w:t>
            </w:r>
            <w:r w:rsidRPr="008C47D5">
              <w:rPr>
                <w:sz w:val="18"/>
                <w:szCs w:val="24"/>
              </w:rPr>
              <w:t xml:space="preserve"> €56,204)</w:t>
            </w:r>
            <w:r w:rsidRPr="00CB2136">
              <w:rPr>
                <w:sz w:val="18"/>
                <w:szCs w:val="24"/>
              </w:rPr>
              <w:br/>
            </w:r>
            <w:r w:rsidRPr="00801CCF">
              <w:rPr>
                <w:i/>
                <w:iCs/>
                <w:sz w:val="18"/>
                <w:szCs w:val="24"/>
              </w:rPr>
              <w:t>(favours PDMS-U)</w:t>
            </w:r>
          </w:p>
          <w:p w14:paraId="3E52CA72" w14:textId="686C30C1" w:rsidR="00F26DC9" w:rsidRPr="00CB2136" w:rsidRDefault="00F26DC9">
            <w:pPr>
              <w:pStyle w:val="051Tabletext228pt"/>
              <w:ind w:left="-57" w:right="-57"/>
              <w:rPr>
                <w:sz w:val="18"/>
                <w:szCs w:val="24"/>
              </w:rPr>
            </w:pPr>
            <w:r w:rsidRPr="00CB2136">
              <w:rPr>
                <w:i/>
                <w:sz w:val="18"/>
                <w:szCs w:val="24"/>
              </w:rPr>
              <w:t>Using 12 mo</w:t>
            </w:r>
            <w:r>
              <w:rPr>
                <w:i/>
                <w:sz w:val="18"/>
                <w:szCs w:val="24"/>
              </w:rPr>
              <w:t>.</w:t>
            </w:r>
            <w:r w:rsidRPr="00CB2136">
              <w:rPr>
                <w:i/>
                <w:sz w:val="18"/>
                <w:szCs w:val="24"/>
              </w:rPr>
              <w:t xml:space="preserve"> scores only:</w:t>
            </w:r>
            <w:r w:rsidRPr="00CB2136">
              <w:rPr>
                <w:i/>
                <w:iCs/>
                <w:sz w:val="18"/>
                <w:szCs w:val="24"/>
              </w:rPr>
              <w:br/>
            </w:r>
            <w:r w:rsidRPr="008C47D5">
              <w:rPr>
                <w:sz w:val="18"/>
                <w:szCs w:val="24"/>
                <w:u w:val="single"/>
              </w:rPr>
              <w:t>IIQ</w:t>
            </w:r>
            <w:r>
              <w:rPr>
                <w:sz w:val="18"/>
                <w:szCs w:val="24"/>
              </w:rPr>
              <w:br/>
            </w:r>
            <w:r w:rsidRPr="008C47D5">
              <w:rPr>
                <w:sz w:val="18"/>
                <w:szCs w:val="24"/>
              </w:rPr>
              <w:t>€12,365 (€7,823</w:t>
            </w:r>
            <w:r>
              <w:rPr>
                <w:sz w:val="18"/>
                <w:szCs w:val="24"/>
              </w:rPr>
              <w:t>,</w:t>
            </w:r>
            <w:r w:rsidRPr="008C47D5">
              <w:rPr>
                <w:sz w:val="18"/>
                <w:szCs w:val="24"/>
              </w:rPr>
              <w:t xml:space="preserve"> €18,283) </w:t>
            </w:r>
            <w:r w:rsidRPr="00CB2136">
              <w:rPr>
                <w:sz w:val="18"/>
                <w:szCs w:val="24"/>
              </w:rPr>
              <w:br/>
            </w:r>
            <w:r w:rsidRPr="008C47D5">
              <w:rPr>
                <w:sz w:val="18"/>
                <w:szCs w:val="24"/>
                <w:u w:val="single"/>
              </w:rPr>
              <w:t>EQ-5D-5L</w:t>
            </w:r>
            <w:r>
              <w:rPr>
                <w:sz w:val="18"/>
                <w:szCs w:val="24"/>
              </w:rPr>
              <w:br/>
            </w:r>
            <w:r w:rsidRPr="008324CE">
              <w:rPr>
                <w:sz w:val="18"/>
                <w:szCs w:val="24"/>
              </w:rPr>
              <w:t>€47</w:t>
            </w:r>
            <w:r>
              <w:rPr>
                <w:sz w:val="18"/>
                <w:szCs w:val="24"/>
              </w:rPr>
              <w:t>,</w:t>
            </w:r>
            <w:r w:rsidRPr="008324CE">
              <w:rPr>
                <w:sz w:val="18"/>
                <w:szCs w:val="24"/>
              </w:rPr>
              <w:t>526 (€26</w:t>
            </w:r>
            <w:r>
              <w:rPr>
                <w:sz w:val="18"/>
                <w:szCs w:val="24"/>
              </w:rPr>
              <w:t>,</w:t>
            </w:r>
            <w:r w:rsidRPr="008324CE">
              <w:rPr>
                <w:sz w:val="18"/>
                <w:szCs w:val="24"/>
              </w:rPr>
              <w:t>400</w:t>
            </w:r>
            <w:r>
              <w:rPr>
                <w:sz w:val="18"/>
                <w:szCs w:val="24"/>
              </w:rPr>
              <w:t xml:space="preserve">, </w:t>
            </w:r>
            <w:r w:rsidRPr="008324CE">
              <w:rPr>
                <w:sz w:val="18"/>
                <w:szCs w:val="24"/>
              </w:rPr>
              <w:t>€134</w:t>
            </w:r>
            <w:r>
              <w:rPr>
                <w:sz w:val="18"/>
                <w:szCs w:val="24"/>
              </w:rPr>
              <w:t>,</w:t>
            </w:r>
            <w:r w:rsidRPr="008324CE">
              <w:rPr>
                <w:sz w:val="18"/>
                <w:szCs w:val="24"/>
              </w:rPr>
              <w:t>600)</w:t>
            </w:r>
            <w:r w:rsidRPr="00CB2136">
              <w:rPr>
                <w:sz w:val="18"/>
                <w:szCs w:val="24"/>
              </w:rPr>
              <w:br/>
            </w:r>
            <w:r w:rsidRPr="00801CCF">
              <w:rPr>
                <w:i/>
                <w:iCs/>
                <w:sz w:val="18"/>
                <w:szCs w:val="24"/>
              </w:rPr>
              <w:t>(favours PDMS-U)</w:t>
            </w:r>
          </w:p>
        </w:tc>
        <w:tc>
          <w:tcPr>
            <w:tcW w:w="869" w:type="pct"/>
          </w:tcPr>
          <w:p w14:paraId="092D44E5" w14:textId="77777777" w:rsidR="00F26DC9" w:rsidRPr="00914396" w:rsidRDefault="00F26DC9">
            <w:pPr>
              <w:pStyle w:val="051Tabletext228pt"/>
              <w:ind w:left="-57" w:right="-57"/>
              <w:rPr>
                <w:i/>
                <w:iCs/>
                <w:sz w:val="18"/>
                <w:szCs w:val="24"/>
              </w:rPr>
            </w:pPr>
            <w:r w:rsidRPr="00914396">
              <w:rPr>
                <w:i/>
                <w:iCs/>
                <w:sz w:val="18"/>
                <w:szCs w:val="24"/>
              </w:rPr>
              <w:t>Silicone bulking agent was more cost-effective.</w:t>
            </w:r>
          </w:p>
          <w:p w14:paraId="28B8B1A0" w14:textId="77777777" w:rsidR="00F26DC9" w:rsidRPr="00914396" w:rsidRDefault="00F26DC9">
            <w:pPr>
              <w:pStyle w:val="051Tabletext228pt"/>
              <w:ind w:left="-57" w:right="-57"/>
              <w:rPr>
                <w:i/>
                <w:sz w:val="18"/>
                <w:szCs w:val="24"/>
              </w:rPr>
            </w:pPr>
            <w:r w:rsidRPr="00914396">
              <w:rPr>
                <w:i/>
                <w:sz w:val="18"/>
                <w:szCs w:val="24"/>
              </w:rPr>
              <w:t xml:space="preserve">Based on €25,000 </w:t>
            </w:r>
            <w:r w:rsidRPr="00DB1281">
              <w:rPr>
                <w:i/>
                <w:sz w:val="18"/>
                <w:szCs w:val="24"/>
              </w:rPr>
              <w:t>WTP</w:t>
            </w:r>
            <w:r w:rsidRPr="00914396">
              <w:rPr>
                <w:i/>
                <w:sz w:val="18"/>
                <w:szCs w:val="24"/>
              </w:rPr>
              <w:t xml:space="preserve"> threshold</w:t>
            </w:r>
          </w:p>
          <w:p w14:paraId="508315F3" w14:textId="77777777" w:rsidR="00F26DC9" w:rsidRPr="00914396" w:rsidRDefault="00F26DC9">
            <w:pPr>
              <w:pStyle w:val="051Tabletext228pt"/>
              <w:ind w:left="-57" w:right="-57"/>
              <w:rPr>
                <w:sz w:val="18"/>
                <w:szCs w:val="24"/>
              </w:rPr>
            </w:pPr>
            <w:r w:rsidRPr="00914396">
              <w:rPr>
                <w:sz w:val="18"/>
                <w:szCs w:val="24"/>
                <w:u w:val="single"/>
              </w:rPr>
              <w:t>MUS</w:t>
            </w:r>
            <w:r w:rsidRPr="00914396">
              <w:rPr>
                <w:sz w:val="18"/>
                <w:szCs w:val="24"/>
              </w:rPr>
              <w:t xml:space="preserve">: 84% chance of being </w:t>
            </w:r>
            <w:proofErr w:type="gramStart"/>
            <w:r w:rsidRPr="00914396">
              <w:rPr>
                <w:sz w:val="18"/>
                <w:szCs w:val="24"/>
              </w:rPr>
              <w:t>cost-effective;</w:t>
            </w:r>
            <w:proofErr w:type="gramEnd"/>
            <w:r w:rsidRPr="00914396">
              <w:rPr>
                <w:sz w:val="18"/>
                <w:szCs w:val="24"/>
              </w:rPr>
              <w:t xml:space="preserve"> </w:t>
            </w:r>
          </w:p>
          <w:p w14:paraId="4FEDE86A" w14:textId="77777777" w:rsidR="00F26DC9" w:rsidRPr="00914396" w:rsidRDefault="00F26DC9">
            <w:pPr>
              <w:pStyle w:val="051Tabletext228pt"/>
              <w:ind w:left="-57" w:right="-57"/>
              <w:rPr>
                <w:sz w:val="18"/>
                <w:szCs w:val="24"/>
              </w:rPr>
            </w:pPr>
            <w:r w:rsidRPr="00914396">
              <w:rPr>
                <w:sz w:val="18"/>
                <w:szCs w:val="24"/>
                <w:u w:val="single"/>
              </w:rPr>
              <w:t>PDMS-U</w:t>
            </w:r>
            <w:r w:rsidRPr="00914396">
              <w:rPr>
                <w:sz w:val="18"/>
                <w:szCs w:val="24"/>
              </w:rPr>
              <w:t>: 99% chance of being cost-effective</w:t>
            </w:r>
          </w:p>
        </w:tc>
      </w:tr>
    </w:tbl>
    <w:p w14:paraId="3540CA9E" w14:textId="66F15DB4" w:rsidR="00F26DC9" w:rsidRPr="00B0485F" w:rsidRDefault="00F26DC9" w:rsidP="00F26DC9">
      <w:pPr>
        <w:pStyle w:val="111Tablefootnoteslast-nostick8pt"/>
        <w:rPr>
          <w:lang w:val="en-AU"/>
        </w:rPr>
      </w:pPr>
      <w:r>
        <w:rPr>
          <w:lang w:val="en-AU"/>
        </w:rPr>
        <w:t xml:space="preserve">Abbreviations: CI, confidence interval; </w:t>
      </w:r>
      <w:r w:rsidRPr="00AA38AF">
        <w:rPr>
          <w:lang w:val="en-AU"/>
        </w:rPr>
        <w:t>EQ-5D-5L</w:t>
      </w:r>
      <w:r>
        <w:rPr>
          <w:lang w:val="en-AU"/>
        </w:rPr>
        <w:t xml:space="preserve">, </w:t>
      </w:r>
      <w:r w:rsidRPr="00AA38AF">
        <w:rPr>
          <w:lang w:val="en-AU"/>
        </w:rPr>
        <w:t>Euro-</w:t>
      </w:r>
      <w:proofErr w:type="spellStart"/>
      <w:r w:rsidRPr="00AA38AF">
        <w:rPr>
          <w:lang w:val="en-AU"/>
        </w:rPr>
        <w:t>Qol</w:t>
      </w:r>
      <w:proofErr w:type="spellEnd"/>
      <w:r w:rsidRPr="00AA38AF">
        <w:rPr>
          <w:lang w:val="en-AU"/>
        </w:rPr>
        <w:t xml:space="preserve"> five-d</w:t>
      </w:r>
      <w:r>
        <w:rPr>
          <w:lang w:val="en-AU"/>
        </w:rPr>
        <w:t>omain</w:t>
      </w:r>
      <w:r w:rsidRPr="00AA38AF">
        <w:rPr>
          <w:lang w:val="en-AU"/>
        </w:rPr>
        <w:t xml:space="preserve"> QoL questionnaire</w:t>
      </w:r>
      <w:r>
        <w:rPr>
          <w:lang w:val="en-AU"/>
        </w:rPr>
        <w:t xml:space="preserve">; </w:t>
      </w:r>
      <w:r w:rsidRPr="00B0485F">
        <w:rPr>
          <w:lang w:val="en-AU"/>
        </w:rPr>
        <w:t>ICER</w:t>
      </w:r>
      <w:r>
        <w:rPr>
          <w:lang w:val="en-AU"/>
        </w:rPr>
        <w:t>,</w:t>
      </w:r>
      <w:r w:rsidRPr="00B0485F">
        <w:rPr>
          <w:lang w:val="en-AU"/>
        </w:rPr>
        <w:t xml:space="preserve"> incremental cost-effectiveness ratio; </w:t>
      </w:r>
      <w:r w:rsidRPr="0042228B">
        <w:rPr>
          <w:lang w:val="en-AU"/>
        </w:rPr>
        <w:t>IIQ</w:t>
      </w:r>
      <w:r>
        <w:rPr>
          <w:lang w:val="en-AU"/>
        </w:rPr>
        <w:t xml:space="preserve">, </w:t>
      </w:r>
      <w:r w:rsidRPr="0042228B">
        <w:rPr>
          <w:lang w:val="en-AU"/>
        </w:rPr>
        <w:t>Incontinence Impact Questionnaire</w:t>
      </w:r>
      <w:r>
        <w:rPr>
          <w:lang w:val="en-AU"/>
        </w:rPr>
        <w:t>;</w:t>
      </w:r>
      <w:r w:rsidRPr="0042228B">
        <w:rPr>
          <w:lang w:val="en-AU"/>
        </w:rPr>
        <w:t xml:space="preserve"> </w:t>
      </w:r>
      <w:r>
        <w:rPr>
          <w:lang w:val="en-AU"/>
        </w:rPr>
        <w:t xml:space="preserve">IQR, inter-quartile range; </w:t>
      </w:r>
      <w:proofErr w:type="spellStart"/>
      <w:r w:rsidRPr="00B0485F">
        <w:rPr>
          <w:lang w:val="en-AU"/>
        </w:rPr>
        <w:t>mo</w:t>
      </w:r>
      <w:proofErr w:type="spellEnd"/>
      <w:r>
        <w:rPr>
          <w:lang w:val="en-AU"/>
        </w:rPr>
        <w:t>,</w:t>
      </w:r>
      <w:r w:rsidRPr="00B0485F">
        <w:rPr>
          <w:lang w:val="en-AU"/>
        </w:rPr>
        <w:t xml:space="preserve"> month(s); MUS</w:t>
      </w:r>
      <w:r>
        <w:rPr>
          <w:lang w:val="en-AU"/>
        </w:rPr>
        <w:t>,</w:t>
      </w:r>
      <w:r w:rsidRPr="00B0485F">
        <w:rPr>
          <w:lang w:val="en-AU"/>
        </w:rPr>
        <w:t xml:space="preserve"> mid-urethral sling; NR</w:t>
      </w:r>
      <w:r>
        <w:rPr>
          <w:lang w:val="en-AU"/>
        </w:rPr>
        <w:t>,</w:t>
      </w:r>
      <w:r w:rsidRPr="00B0485F">
        <w:rPr>
          <w:lang w:val="en-AU"/>
        </w:rPr>
        <w:t xml:space="preserve"> not reported; </w:t>
      </w:r>
      <w:r w:rsidRPr="00833B66">
        <w:rPr>
          <w:lang w:val="en-AU"/>
        </w:rPr>
        <w:t>PDMS-U</w:t>
      </w:r>
      <w:r>
        <w:rPr>
          <w:lang w:val="en-AU"/>
        </w:rPr>
        <w:t xml:space="preserve">, </w:t>
      </w:r>
      <w:r w:rsidRPr="00833B66">
        <w:rPr>
          <w:lang w:val="en-AU"/>
        </w:rPr>
        <w:t>polydimethylsiloxane</w:t>
      </w:r>
      <w:r>
        <w:rPr>
          <w:lang w:val="en-AU"/>
        </w:rPr>
        <w:t xml:space="preserve"> (</w:t>
      </w:r>
      <w:proofErr w:type="spellStart"/>
      <w:r w:rsidRPr="00833B66">
        <w:rPr>
          <w:lang w:val="en-AU"/>
        </w:rPr>
        <w:t>Urolastic</w:t>
      </w:r>
      <w:proofErr w:type="spellEnd"/>
      <w:r>
        <w:rPr>
          <w:lang w:val="en-AU"/>
        </w:rPr>
        <w:t xml:space="preserve">®); QALY, quality-adjusted life year; </w:t>
      </w:r>
      <w:r w:rsidRPr="00DB1281">
        <w:rPr>
          <w:lang w:val="en-AU"/>
        </w:rPr>
        <w:t xml:space="preserve">WTP, willingness to pay (cost-effectiveness threshold); </w:t>
      </w:r>
      <w:proofErr w:type="spellStart"/>
      <w:r w:rsidRPr="00DB1281">
        <w:rPr>
          <w:lang w:val="en-AU"/>
        </w:rPr>
        <w:t>yr</w:t>
      </w:r>
      <w:proofErr w:type="spellEnd"/>
      <w:r w:rsidRPr="00DB1281">
        <w:rPr>
          <w:lang w:val="en-AU"/>
        </w:rPr>
        <w:t>, year.</w:t>
      </w:r>
    </w:p>
    <w:p w14:paraId="11A9EE30" w14:textId="26CFAA63" w:rsidR="00F26DC9" w:rsidRDefault="00F26DC9" w:rsidP="00F26DC9">
      <w:pPr>
        <w:pStyle w:val="BodyText"/>
      </w:pPr>
      <w:r>
        <w:t>For the analysis using the disease-specific IIQ scores, 100% of bootstrap samples appeared in the north-east plane of cost-effectiveness, meaning MUS was more expensive than PDMS-U, but also more effective.</w:t>
      </w:r>
    </w:p>
    <w:p w14:paraId="3F23524C" w14:textId="2F568F99" w:rsidR="00F26DC9" w:rsidRPr="00B0485F" w:rsidRDefault="00F26DC9" w:rsidP="00F26DC9">
      <w:pPr>
        <w:pStyle w:val="BodyText"/>
      </w:pPr>
      <w:r>
        <w:t>The authors concluded that MUS</w:t>
      </w:r>
      <w:r w:rsidRPr="00717133">
        <w:t xml:space="preserve"> surgery is more cost-effective </w:t>
      </w:r>
      <w:r>
        <w:t>for improving</w:t>
      </w:r>
      <w:r w:rsidRPr="00717133">
        <w:t xml:space="preserve"> disease</w:t>
      </w:r>
      <w:r>
        <w:t>-</w:t>
      </w:r>
      <w:r w:rsidRPr="00717133">
        <w:t xml:space="preserve">specific QoL, while </w:t>
      </w:r>
      <w:r>
        <w:t xml:space="preserve">the bulking agent </w:t>
      </w:r>
      <w:r w:rsidRPr="00717133">
        <w:t>PDMS-U is more cost-effective in improv</w:t>
      </w:r>
      <w:r>
        <w:t>ing</w:t>
      </w:r>
      <w:r w:rsidRPr="00717133">
        <w:t xml:space="preserve"> QoL</w:t>
      </w:r>
      <w:r>
        <w:t xml:space="preserve"> in general</w:t>
      </w:r>
      <w:r w:rsidRPr="00717133">
        <w:t>.</w:t>
      </w:r>
    </w:p>
    <w:p w14:paraId="4292BBBA" w14:textId="54F7BF5D" w:rsidR="00165357" w:rsidRPr="00B0485F" w:rsidRDefault="00165357" w:rsidP="00D26049">
      <w:pPr>
        <w:pStyle w:val="Heading4"/>
      </w:pPr>
      <w:r w:rsidRPr="00B0485F">
        <w:t>Lier (2017)</w:t>
      </w:r>
    </w:p>
    <w:p w14:paraId="1238A56B" w14:textId="6C48F682" w:rsidR="00165357" w:rsidRPr="00B0485F" w:rsidRDefault="00165357" w:rsidP="00165357">
      <w:pPr>
        <w:pStyle w:val="BodyText"/>
      </w:pPr>
      <w:r w:rsidRPr="00B0485F">
        <w:t>The</w:t>
      </w:r>
      <w:r w:rsidRPr="00B0485F" w:rsidDel="0051734B">
        <w:t xml:space="preserve"> </w:t>
      </w:r>
      <w:r w:rsidRPr="00B0485F">
        <w:t xml:space="preserve">characteristics of </w:t>
      </w:r>
      <w:r w:rsidR="00282819">
        <w:t xml:space="preserve">the economic </w:t>
      </w:r>
      <w:r w:rsidR="008C78CB">
        <w:t>analysis</w:t>
      </w:r>
      <w:r w:rsidR="00282819">
        <w:t xml:space="preserve"> by </w:t>
      </w:r>
      <w:r w:rsidRPr="00B0485F">
        <w:t xml:space="preserve">Lier </w:t>
      </w:r>
      <w:r w:rsidR="00282819">
        <w:t>and collea</w:t>
      </w:r>
      <w:r w:rsidR="00A3698C">
        <w:t>g</w:t>
      </w:r>
      <w:r w:rsidR="00282819">
        <w:t>ues</w:t>
      </w:r>
      <w:r w:rsidR="006B647B">
        <w:t xml:space="preserve"> </w:t>
      </w:r>
      <w:r w:rsidR="00245CE2">
        <w:rPr>
          <w:noProof/>
        </w:rPr>
        <w:t>(Lier 2017)</w:t>
      </w:r>
      <w:r w:rsidRPr="00B0485F">
        <w:t xml:space="preserve"> are summarised in </w:t>
      </w:r>
      <w:r w:rsidRPr="005C6B81">
        <w:rPr>
          <w:b/>
          <w:bCs/>
        </w:rPr>
        <w:fldChar w:fldCharType="begin"/>
      </w:r>
      <w:r w:rsidRPr="005C6B81">
        <w:rPr>
          <w:b/>
          <w:bCs/>
        </w:rPr>
        <w:instrText xml:space="preserve"> REF _Ref131001145 \h </w:instrText>
      </w:r>
      <w:r w:rsidR="005C6B81">
        <w:rPr>
          <w:b/>
          <w:bCs/>
        </w:rPr>
        <w:instrText xml:space="preserve"> \* MERGEFORMAT </w:instrText>
      </w:r>
      <w:r w:rsidRPr="005C6B81">
        <w:rPr>
          <w:b/>
          <w:bCs/>
        </w:rPr>
      </w:r>
      <w:r w:rsidRPr="005C6B81">
        <w:rPr>
          <w:b/>
          <w:bCs/>
        </w:rPr>
        <w:fldChar w:fldCharType="separate"/>
      </w:r>
      <w:r w:rsidR="007105D3" w:rsidRPr="007105D3">
        <w:rPr>
          <w:b/>
          <w:bCs/>
        </w:rPr>
        <w:t xml:space="preserve">Table </w:t>
      </w:r>
      <w:r w:rsidR="007105D3" w:rsidRPr="007105D3">
        <w:rPr>
          <w:b/>
          <w:bCs/>
          <w:noProof/>
        </w:rPr>
        <w:t>26</w:t>
      </w:r>
      <w:r w:rsidRPr="005C6B81">
        <w:rPr>
          <w:b/>
          <w:bCs/>
        </w:rPr>
        <w:fldChar w:fldCharType="end"/>
      </w:r>
      <w:r w:rsidRPr="00B0485F">
        <w:t xml:space="preserve">. </w:t>
      </w:r>
      <w:r>
        <w:t xml:space="preserve">The authors presented </w:t>
      </w:r>
      <w:r w:rsidR="00A3698C">
        <w:t>a</w:t>
      </w:r>
      <w:r w:rsidR="00332B86">
        <w:t>n</w:t>
      </w:r>
      <w:r w:rsidR="00932ED0" w:rsidRPr="00B0485F" w:rsidDel="00332B86">
        <w:t xml:space="preserve"> </w:t>
      </w:r>
      <w:r w:rsidR="00932ED0" w:rsidRPr="00B0485F">
        <w:t>economic evaluation of</w:t>
      </w:r>
      <w:r>
        <w:t xml:space="preserve"> two types of </w:t>
      </w:r>
      <w:r w:rsidR="003B5EFE">
        <w:t>MUS</w:t>
      </w:r>
      <w:r>
        <w:t xml:space="preserve">, </w:t>
      </w:r>
      <w:r w:rsidR="003B5EFE">
        <w:t>TO</w:t>
      </w:r>
      <w:r>
        <w:t xml:space="preserve"> versus </w:t>
      </w:r>
      <w:r w:rsidR="003B5EFE">
        <w:t>RP</w:t>
      </w:r>
      <w:r>
        <w:t xml:space="preserve"> (referred to in the article as TOT and TVT</w:t>
      </w:r>
      <w:r w:rsidR="00961281">
        <w:t>)</w:t>
      </w:r>
      <w:r w:rsidR="00A3698C">
        <w:t>,</w:t>
      </w:r>
      <w:r w:rsidRPr="00B0485F">
        <w:t xml:space="preserve"> using outcomes at five years</w:t>
      </w:r>
      <w:r w:rsidR="00A3698C">
        <w:t>’</w:t>
      </w:r>
      <w:r w:rsidRPr="00B0485F">
        <w:t xml:space="preserve"> follow-up from an RCT in 195 women in Canada. </w:t>
      </w:r>
      <w:r w:rsidRPr="00E067C3">
        <w:t>Th</w:t>
      </w:r>
      <w:r>
        <w:t>is work was</w:t>
      </w:r>
      <w:r w:rsidRPr="00E067C3">
        <w:t xml:space="preserve"> a five-year follow-up report of the</w:t>
      </w:r>
      <w:r>
        <w:t xml:space="preserve"> authors’</w:t>
      </w:r>
      <w:r w:rsidRPr="00E067C3">
        <w:t xml:space="preserve"> initial economic analysis at 12 months </w:t>
      </w:r>
      <w:r w:rsidR="00245CE2">
        <w:rPr>
          <w:noProof/>
        </w:rPr>
        <w:t>(Lier 2011)</w:t>
      </w:r>
      <w:r w:rsidRPr="00E067C3">
        <w:t>.</w:t>
      </w:r>
    </w:p>
    <w:p w14:paraId="222EB1FF" w14:textId="6C2CA601" w:rsidR="00165357" w:rsidRPr="00B0485F" w:rsidRDefault="00165357" w:rsidP="00165357">
      <w:pPr>
        <w:pStyle w:val="Caption"/>
      </w:pPr>
      <w:bookmarkStart w:id="137" w:name="_Ref131001145"/>
      <w:bookmarkStart w:id="138" w:name="_Toc132286060"/>
      <w:bookmarkStart w:id="139" w:name="_Toc165627894"/>
      <w:r w:rsidRPr="00B0485F">
        <w:t xml:space="preserve">Table </w:t>
      </w:r>
      <w:fldSimple w:instr=" SEQ Table \* ARABIC ">
        <w:r w:rsidR="007105D3">
          <w:rPr>
            <w:noProof/>
          </w:rPr>
          <w:t>26</w:t>
        </w:r>
      </w:fldSimple>
      <w:bookmarkEnd w:id="137"/>
      <w:r w:rsidRPr="00B0485F">
        <w:tab/>
        <w:t>Study characteristics of Lier (2017)</w:t>
      </w:r>
      <w:bookmarkEnd w:id="138"/>
      <w:bookmarkEnd w:id="139"/>
    </w:p>
    <w:tbl>
      <w:tblPr>
        <w:tblW w:w="5074" w:type="pct"/>
        <w:tblBorders>
          <w:top w:val="single" w:sz="4" w:space="0" w:color="auto"/>
          <w:bottom w:val="single" w:sz="4" w:space="0" w:color="auto"/>
          <w:insideH w:val="single" w:sz="4" w:space="0" w:color="auto"/>
        </w:tblBorders>
        <w:tblLook w:val="04A0" w:firstRow="1" w:lastRow="0" w:firstColumn="1" w:lastColumn="0" w:noHBand="0" w:noVBand="1"/>
        <w:tblCaption w:val="Study characteristics of Lier (2017)"/>
        <w:tblDescription w:val="This table shows the study characteristics of the Lier (2017) study including country, research question, perspective, time horizon, economic evaluation type, population, intervention, comparator, source of effectiveness inputs, funding and author conflicts of interest. "/>
      </w:tblPr>
      <w:tblGrid>
        <w:gridCol w:w="899"/>
        <w:gridCol w:w="1172"/>
        <w:gridCol w:w="1890"/>
        <w:gridCol w:w="1080"/>
        <w:gridCol w:w="1440"/>
        <w:gridCol w:w="1446"/>
        <w:gridCol w:w="1854"/>
      </w:tblGrid>
      <w:tr w:rsidR="00254EC9" w:rsidRPr="007663DE" w14:paraId="097FCBC6" w14:textId="77777777" w:rsidTr="009E5EB1">
        <w:trPr>
          <w:tblHeader/>
        </w:trPr>
        <w:tc>
          <w:tcPr>
            <w:tcW w:w="460" w:type="pct"/>
            <w:shd w:val="clear" w:color="auto" w:fill="BFBFBF"/>
          </w:tcPr>
          <w:p w14:paraId="746F38FC" w14:textId="77777777" w:rsidR="00165357" w:rsidRPr="007663DE" w:rsidRDefault="00165357">
            <w:pPr>
              <w:pStyle w:val="011TableHeading8pt"/>
              <w:ind w:left="-57" w:right="-57"/>
              <w:rPr>
                <w:sz w:val="18"/>
                <w:szCs w:val="24"/>
              </w:rPr>
            </w:pPr>
            <w:r w:rsidRPr="007663DE">
              <w:rPr>
                <w:sz w:val="18"/>
                <w:szCs w:val="24"/>
              </w:rPr>
              <w:t>Study ID</w:t>
            </w:r>
            <w:r w:rsidRPr="007663DE">
              <w:rPr>
                <w:sz w:val="18"/>
                <w:szCs w:val="24"/>
              </w:rPr>
              <w:br/>
              <w:t>Country</w:t>
            </w:r>
          </w:p>
        </w:tc>
        <w:tc>
          <w:tcPr>
            <w:tcW w:w="599" w:type="pct"/>
            <w:shd w:val="clear" w:color="auto" w:fill="BFBFBF"/>
          </w:tcPr>
          <w:p w14:paraId="69EA01F9" w14:textId="5DE4954B" w:rsidR="00165357" w:rsidRPr="007663DE" w:rsidRDefault="005D71BC">
            <w:pPr>
              <w:pStyle w:val="011TableHeading8pt"/>
              <w:ind w:left="-57" w:right="-57"/>
              <w:rPr>
                <w:sz w:val="18"/>
                <w:szCs w:val="24"/>
              </w:rPr>
            </w:pPr>
            <w:r>
              <w:rPr>
                <w:sz w:val="18"/>
                <w:szCs w:val="24"/>
              </w:rPr>
              <w:t>R</w:t>
            </w:r>
            <w:r w:rsidR="00165357" w:rsidRPr="007663DE">
              <w:rPr>
                <w:sz w:val="18"/>
                <w:szCs w:val="24"/>
              </w:rPr>
              <w:t>esearch question</w:t>
            </w:r>
          </w:p>
        </w:tc>
        <w:tc>
          <w:tcPr>
            <w:tcW w:w="966" w:type="pct"/>
            <w:shd w:val="clear" w:color="auto" w:fill="BFBFBF"/>
          </w:tcPr>
          <w:p w14:paraId="515A92FC" w14:textId="77777777" w:rsidR="00165357" w:rsidRPr="007663DE" w:rsidRDefault="00165357">
            <w:pPr>
              <w:pStyle w:val="011TableHeading8pt"/>
              <w:ind w:left="-57" w:right="-57"/>
              <w:rPr>
                <w:sz w:val="18"/>
                <w:szCs w:val="24"/>
              </w:rPr>
            </w:pPr>
            <w:r w:rsidRPr="007663DE">
              <w:rPr>
                <w:sz w:val="18"/>
                <w:szCs w:val="24"/>
              </w:rPr>
              <w:t xml:space="preserve">Perspective </w:t>
            </w:r>
            <w:r w:rsidRPr="007663DE">
              <w:rPr>
                <w:sz w:val="18"/>
                <w:szCs w:val="24"/>
              </w:rPr>
              <w:br/>
              <w:t>Time horizon</w:t>
            </w:r>
            <w:r w:rsidRPr="007663DE">
              <w:rPr>
                <w:sz w:val="18"/>
                <w:szCs w:val="24"/>
              </w:rPr>
              <w:br/>
              <w:t>EE type</w:t>
            </w:r>
          </w:p>
        </w:tc>
        <w:tc>
          <w:tcPr>
            <w:tcW w:w="552" w:type="pct"/>
            <w:shd w:val="clear" w:color="auto" w:fill="BFBFBF"/>
          </w:tcPr>
          <w:p w14:paraId="1AC5AC1C" w14:textId="77777777" w:rsidR="00165357" w:rsidRPr="007663DE" w:rsidRDefault="00165357">
            <w:pPr>
              <w:pStyle w:val="011TableHeading8pt"/>
              <w:ind w:left="-57" w:right="-57"/>
              <w:rPr>
                <w:sz w:val="18"/>
                <w:szCs w:val="24"/>
              </w:rPr>
            </w:pPr>
            <w:r w:rsidRPr="007663DE">
              <w:rPr>
                <w:sz w:val="18"/>
                <w:szCs w:val="24"/>
              </w:rPr>
              <w:t>Population</w:t>
            </w:r>
          </w:p>
        </w:tc>
        <w:tc>
          <w:tcPr>
            <w:tcW w:w="736" w:type="pct"/>
            <w:shd w:val="clear" w:color="auto" w:fill="BFBFBF"/>
          </w:tcPr>
          <w:p w14:paraId="2C686A7E" w14:textId="77777777" w:rsidR="00165357" w:rsidRPr="007663DE" w:rsidRDefault="00165357">
            <w:pPr>
              <w:pStyle w:val="011TableHeading8pt"/>
              <w:ind w:left="-57" w:right="-57"/>
              <w:rPr>
                <w:sz w:val="18"/>
                <w:szCs w:val="24"/>
              </w:rPr>
            </w:pPr>
            <w:r w:rsidRPr="007663DE">
              <w:rPr>
                <w:sz w:val="18"/>
                <w:szCs w:val="24"/>
              </w:rPr>
              <w:t>Intervention</w:t>
            </w:r>
            <w:r w:rsidRPr="007663DE">
              <w:rPr>
                <w:sz w:val="18"/>
                <w:szCs w:val="24"/>
              </w:rPr>
              <w:br/>
              <w:t>Comparator</w:t>
            </w:r>
          </w:p>
        </w:tc>
        <w:tc>
          <w:tcPr>
            <w:tcW w:w="739" w:type="pct"/>
            <w:shd w:val="clear" w:color="auto" w:fill="BFBFBF"/>
          </w:tcPr>
          <w:p w14:paraId="3CCA1FB7" w14:textId="77777777" w:rsidR="00165357" w:rsidRPr="007663DE" w:rsidRDefault="00165357">
            <w:pPr>
              <w:pStyle w:val="011TableHeading8pt"/>
              <w:ind w:left="-57" w:right="-57"/>
              <w:rPr>
                <w:sz w:val="18"/>
                <w:szCs w:val="24"/>
              </w:rPr>
            </w:pPr>
            <w:r w:rsidRPr="007663DE">
              <w:rPr>
                <w:sz w:val="18"/>
                <w:szCs w:val="24"/>
              </w:rPr>
              <w:t>Source of effectiveness inputs</w:t>
            </w:r>
          </w:p>
        </w:tc>
        <w:tc>
          <w:tcPr>
            <w:tcW w:w="949" w:type="pct"/>
            <w:shd w:val="clear" w:color="auto" w:fill="BFBFBF"/>
          </w:tcPr>
          <w:p w14:paraId="312F954F" w14:textId="77777777" w:rsidR="00165357" w:rsidRPr="007663DE" w:rsidRDefault="00165357">
            <w:pPr>
              <w:pStyle w:val="011TableHeading8pt"/>
              <w:ind w:left="-57" w:right="-57"/>
              <w:rPr>
                <w:sz w:val="18"/>
                <w:szCs w:val="24"/>
              </w:rPr>
            </w:pPr>
            <w:r w:rsidRPr="007663DE">
              <w:rPr>
                <w:sz w:val="18"/>
                <w:szCs w:val="24"/>
              </w:rPr>
              <w:t>Funding</w:t>
            </w:r>
            <w:r w:rsidRPr="007663DE">
              <w:rPr>
                <w:sz w:val="18"/>
                <w:szCs w:val="24"/>
              </w:rPr>
              <w:br/>
              <w:t>Author COIs</w:t>
            </w:r>
          </w:p>
        </w:tc>
      </w:tr>
      <w:tr w:rsidR="00254EC9" w:rsidRPr="007663DE" w14:paraId="1DBAE4BD" w14:textId="77777777" w:rsidTr="009E5EB1">
        <w:tc>
          <w:tcPr>
            <w:tcW w:w="460" w:type="pct"/>
            <w:shd w:val="clear" w:color="auto" w:fill="auto"/>
          </w:tcPr>
          <w:p w14:paraId="06B916C4" w14:textId="77777777" w:rsidR="00165357" w:rsidRPr="007663DE" w:rsidRDefault="00165357">
            <w:pPr>
              <w:pStyle w:val="051Tabletext228pt"/>
              <w:ind w:left="-57" w:right="-57"/>
              <w:rPr>
                <w:sz w:val="18"/>
                <w:szCs w:val="24"/>
              </w:rPr>
            </w:pPr>
            <w:r w:rsidRPr="007663DE">
              <w:rPr>
                <w:sz w:val="18"/>
                <w:szCs w:val="24"/>
              </w:rPr>
              <w:t>Lier 2017</w:t>
            </w:r>
            <w:r w:rsidRPr="007663DE">
              <w:rPr>
                <w:sz w:val="18"/>
                <w:szCs w:val="24"/>
              </w:rPr>
              <w:br/>
              <w:t>Canada</w:t>
            </w:r>
          </w:p>
        </w:tc>
        <w:tc>
          <w:tcPr>
            <w:tcW w:w="599" w:type="pct"/>
          </w:tcPr>
          <w:p w14:paraId="102A03B0" w14:textId="73B67B59" w:rsidR="00165357" w:rsidRPr="007663DE" w:rsidRDefault="00165357">
            <w:pPr>
              <w:pStyle w:val="051Tabletext228pt"/>
              <w:ind w:left="-57" w:right="-57"/>
              <w:rPr>
                <w:sz w:val="18"/>
                <w:szCs w:val="24"/>
              </w:rPr>
            </w:pPr>
            <w:r w:rsidRPr="007663DE">
              <w:rPr>
                <w:sz w:val="18"/>
                <w:szCs w:val="24"/>
              </w:rPr>
              <w:t>What is the cost–utility and cost-effectiveness of TOT v</w:t>
            </w:r>
            <w:r w:rsidR="006E1857">
              <w:rPr>
                <w:sz w:val="18"/>
                <w:szCs w:val="24"/>
              </w:rPr>
              <w:t>ersus</w:t>
            </w:r>
            <w:r w:rsidRPr="007663DE">
              <w:rPr>
                <w:sz w:val="18"/>
                <w:szCs w:val="24"/>
              </w:rPr>
              <w:t xml:space="preserve"> TVT</w:t>
            </w:r>
            <w:r w:rsidR="00BE3EF5">
              <w:rPr>
                <w:sz w:val="18"/>
                <w:szCs w:val="24"/>
              </w:rPr>
              <w:t>?</w:t>
            </w:r>
          </w:p>
        </w:tc>
        <w:tc>
          <w:tcPr>
            <w:tcW w:w="966" w:type="pct"/>
            <w:shd w:val="clear" w:color="auto" w:fill="auto"/>
          </w:tcPr>
          <w:p w14:paraId="36DC1EF3" w14:textId="190DCC3C" w:rsidR="00165357" w:rsidRPr="007663DE" w:rsidRDefault="00783392" w:rsidP="005D71BC">
            <w:pPr>
              <w:pStyle w:val="051Tabletext228pt"/>
              <w:ind w:left="-57" w:right="-57"/>
              <w:rPr>
                <w:sz w:val="18"/>
                <w:szCs w:val="24"/>
              </w:rPr>
            </w:pPr>
            <w:r>
              <w:rPr>
                <w:sz w:val="18"/>
                <w:szCs w:val="24"/>
              </w:rPr>
              <w:t>Canadian p</w:t>
            </w:r>
            <w:r w:rsidRPr="007663DE">
              <w:rPr>
                <w:sz w:val="18"/>
                <w:szCs w:val="24"/>
              </w:rPr>
              <w:t xml:space="preserve">ublic </w:t>
            </w:r>
            <w:r w:rsidR="00165357" w:rsidRPr="007663DE">
              <w:rPr>
                <w:sz w:val="18"/>
                <w:szCs w:val="24"/>
              </w:rPr>
              <w:t>payer (health</w:t>
            </w:r>
            <w:r w:rsidR="00AA2195">
              <w:rPr>
                <w:sz w:val="18"/>
                <w:szCs w:val="24"/>
              </w:rPr>
              <w:t xml:space="preserve"> </w:t>
            </w:r>
            <w:r w:rsidR="00165357" w:rsidRPr="007663DE">
              <w:rPr>
                <w:sz w:val="18"/>
                <w:szCs w:val="24"/>
              </w:rPr>
              <w:t>care)</w:t>
            </w:r>
            <w:r w:rsidR="00165357" w:rsidRPr="007663DE">
              <w:rPr>
                <w:sz w:val="18"/>
                <w:szCs w:val="24"/>
              </w:rPr>
              <w:br/>
              <w:t xml:space="preserve">5 </w:t>
            </w:r>
            <w:proofErr w:type="spellStart"/>
            <w:r w:rsidR="00165357" w:rsidRPr="007663DE">
              <w:rPr>
                <w:sz w:val="18"/>
                <w:szCs w:val="24"/>
              </w:rPr>
              <w:t>yr</w:t>
            </w:r>
            <w:proofErr w:type="spellEnd"/>
            <w:r w:rsidR="00165357" w:rsidRPr="007663DE">
              <w:rPr>
                <w:sz w:val="18"/>
                <w:szCs w:val="24"/>
              </w:rPr>
              <w:br/>
            </w:r>
            <w:r w:rsidR="00D66DA0">
              <w:rPr>
                <w:sz w:val="18"/>
                <w:szCs w:val="24"/>
              </w:rPr>
              <w:t>CEA</w:t>
            </w:r>
            <w:r w:rsidR="006203A7">
              <w:rPr>
                <w:sz w:val="18"/>
                <w:szCs w:val="24"/>
              </w:rPr>
              <w:t xml:space="preserve"> </w:t>
            </w:r>
            <w:r w:rsidR="00404F69">
              <w:rPr>
                <w:sz w:val="18"/>
                <w:szCs w:val="24"/>
              </w:rPr>
              <w:t>&amp;</w:t>
            </w:r>
            <w:r w:rsidR="006203A7">
              <w:rPr>
                <w:sz w:val="18"/>
                <w:szCs w:val="24"/>
              </w:rPr>
              <w:t xml:space="preserve"> CUA</w:t>
            </w:r>
            <w:r w:rsidR="00D66DA0">
              <w:rPr>
                <w:sz w:val="18"/>
                <w:szCs w:val="24"/>
              </w:rPr>
              <w:t xml:space="preserve">: </w:t>
            </w:r>
            <w:r w:rsidR="00165357" w:rsidRPr="007663DE">
              <w:rPr>
                <w:sz w:val="18"/>
                <w:szCs w:val="24"/>
              </w:rPr>
              <w:t>Trial based</w:t>
            </w:r>
            <w:r w:rsidR="005D71BC">
              <w:rPr>
                <w:sz w:val="18"/>
                <w:szCs w:val="24"/>
              </w:rPr>
              <w:t>,</w:t>
            </w:r>
            <w:r w:rsidR="0088470C">
              <w:rPr>
                <w:sz w:val="18"/>
                <w:szCs w:val="24"/>
              </w:rPr>
              <w:t xml:space="preserve"> unadjusted </w:t>
            </w:r>
            <w:r w:rsidR="00E910C3">
              <w:rPr>
                <w:sz w:val="18"/>
                <w:szCs w:val="24"/>
              </w:rPr>
              <w:t>&amp;</w:t>
            </w:r>
            <w:r w:rsidR="0088470C">
              <w:rPr>
                <w:sz w:val="18"/>
                <w:szCs w:val="24"/>
              </w:rPr>
              <w:t xml:space="preserve"> adjusted, </w:t>
            </w:r>
            <w:r w:rsidR="005D71BC" w:rsidRPr="005D71BC">
              <w:rPr>
                <w:sz w:val="18"/>
                <w:szCs w:val="24"/>
              </w:rPr>
              <w:t>multiple imputation</w:t>
            </w:r>
            <w:r w:rsidR="00026FB7">
              <w:rPr>
                <w:sz w:val="18"/>
                <w:szCs w:val="24"/>
              </w:rPr>
              <w:t xml:space="preserve">; 3% </w:t>
            </w:r>
            <w:r w:rsidR="00FC5C82">
              <w:rPr>
                <w:sz w:val="18"/>
                <w:szCs w:val="24"/>
              </w:rPr>
              <w:t xml:space="preserve">annual discount rate; </w:t>
            </w:r>
            <w:r w:rsidR="004C1C0F">
              <w:rPr>
                <w:sz w:val="18"/>
                <w:szCs w:val="24"/>
              </w:rPr>
              <w:t>2011 costs</w:t>
            </w:r>
          </w:p>
        </w:tc>
        <w:tc>
          <w:tcPr>
            <w:tcW w:w="552" w:type="pct"/>
          </w:tcPr>
          <w:p w14:paraId="359C29F8" w14:textId="77777777" w:rsidR="00165357" w:rsidRPr="007663DE" w:rsidRDefault="00165357">
            <w:pPr>
              <w:pStyle w:val="051Tabletext228pt"/>
              <w:ind w:left="-57" w:right="-57"/>
              <w:rPr>
                <w:sz w:val="18"/>
                <w:szCs w:val="24"/>
              </w:rPr>
            </w:pPr>
            <w:r w:rsidRPr="007663DE">
              <w:rPr>
                <w:sz w:val="18"/>
                <w:szCs w:val="24"/>
              </w:rPr>
              <w:t>SUI</w:t>
            </w:r>
          </w:p>
        </w:tc>
        <w:tc>
          <w:tcPr>
            <w:tcW w:w="736" w:type="pct"/>
          </w:tcPr>
          <w:p w14:paraId="4302D2D4" w14:textId="3D5BC84D" w:rsidR="00165357" w:rsidRPr="007663DE" w:rsidRDefault="00165357">
            <w:pPr>
              <w:pStyle w:val="051Tabletext228pt"/>
              <w:ind w:left="-57" w:right="-57"/>
              <w:rPr>
                <w:sz w:val="18"/>
                <w:szCs w:val="24"/>
              </w:rPr>
            </w:pPr>
            <w:r w:rsidRPr="007663DE">
              <w:rPr>
                <w:sz w:val="18"/>
                <w:szCs w:val="24"/>
              </w:rPr>
              <w:t xml:space="preserve">TOT </w:t>
            </w:r>
            <w:r>
              <w:rPr>
                <w:sz w:val="18"/>
                <w:szCs w:val="24"/>
              </w:rPr>
              <w:t>(</w:t>
            </w:r>
            <w:r w:rsidR="00B94BCF">
              <w:rPr>
                <w:sz w:val="18"/>
                <w:szCs w:val="24"/>
              </w:rPr>
              <w:t>TO-MUS</w:t>
            </w:r>
            <w:r>
              <w:rPr>
                <w:sz w:val="18"/>
                <w:szCs w:val="24"/>
              </w:rPr>
              <w:t>)</w:t>
            </w:r>
          </w:p>
          <w:p w14:paraId="5E5EF0A5" w14:textId="582A0F12" w:rsidR="00165357" w:rsidRPr="007663DE" w:rsidRDefault="00165357">
            <w:pPr>
              <w:pStyle w:val="051Tabletext228pt"/>
              <w:ind w:left="-57" w:right="-57"/>
              <w:rPr>
                <w:sz w:val="18"/>
                <w:szCs w:val="24"/>
              </w:rPr>
            </w:pPr>
            <w:r w:rsidRPr="007663DE">
              <w:rPr>
                <w:sz w:val="18"/>
                <w:szCs w:val="24"/>
              </w:rPr>
              <w:t>TVT</w:t>
            </w:r>
            <w:r>
              <w:rPr>
                <w:sz w:val="18"/>
                <w:szCs w:val="24"/>
              </w:rPr>
              <w:t xml:space="preserve"> (</w:t>
            </w:r>
            <w:r w:rsidR="00B94BCF">
              <w:rPr>
                <w:sz w:val="18"/>
                <w:szCs w:val="24"/>
              </w:rPr>
              <w:t>RP-MUS</w:t>
            </w:r>
            <w:r>
              <w:rPr>
                <w:sz w:val="18"/>
                <w:szCs w:val="24"/>
              </w:rPr>
              <w:t>)</w:t>
            </w:r>
          </w:p>
        </w:tc>
        <w:tc>
          <w:tcPr>
            <w:tcW w:w="739" w:type="pct"/>
          </w:tcPr>
          <w:p w14:paraId="7B42DDC7" w14:textId="77777777" w:rsidR="00165357" w:rsidRPr="007663DE" w:rsidRDefault="00165357">
            <w:pPr>
              <w:pStyle w:val="051Tabletext228pt"/>
              <w:ind w:left="-57" w:right="-57"/>
              <w:rPr>
                <w:sz w:val="18"/>
                <w:szCs w:val="24"/>
              </w:rPr>
            </w:pPr>
            <w:r w:rsidRPr="007663DE">
              <w:rPr>
                <w:sz w:val="18"/>
                <w:szCs w:val="24"/>
              </w:rPr>
              <w:t>RCT (this study)</w:t>
            </w:r>
            <w:r w:rsidRPr="007663DE">
              <w:rPr>
                <w:sz w:val="18"/>
                <w:szCs w:val="24"/>
              </w:rPr>
              <w:br/>
              <w:t>NCT00234754</w:t>
            </w:r>
          </w:p>
        </w:tc>
        <w:tc>
          <w:tcPr>
            <w:tcW w:w="949" w:type="pct"/>
            <w:shd w:val="clear" w:color="auto" w:fill="auto"/>
          </w:tcPr>
          <w:p w14:paraId="4F431474" w14:textId="4DB53A39" w:rsidR="00165357" w:rsidRPr="007663DE" w:rsidRDefault="00951453">
            <w:pPr>
              <w:pStyle w:val="051Tabletext228pt"/>
              <w:ind w:left="-57" w:right="-57"/>
              <w:rPr>
                <w:sz w:val="18"/>
                <w:szCs w:val="24"/>
              </w:rPr>
            </w:pPr>
            <w:r>
              <w:rPr>
                <w:sz w:val="18"/>
                <w:szCs w:val="24"/>
              </w:rPr>
              <w:t>CIHR</w:t>
            </w:r>
            <w:r w:rsidR="00165357" w:rsidRPr="007663DE">
              <w:rPr>
                <w:sz w:val="18"/>
                <w:szCs w:val="24"/>
              </w:rPr>
              <w:t>; Alberta Heritage Fund for Medical Research; Boston Scientific</w:t>
            </w:r>
          </w:p>
          <w:p w14:paraId="5B74750A" w14:textId="1F31054A" w:rsidR="00165357" w:rsidRPr="007663DE" w:rsidRDefault="00165357">
            <w:pPr>
              <w:pStyle w:val="051Tabletext228pt"/>
              <w:ind w:left="-57" w:right="-57"/>
              <w:rPr>
                <w:sz w:val="18"/>
                <w:szCs w:val="24"/>
              </w:rPr>
            </w:pPr>
            <w:r w:rsidRPr="007663DE">
              <w:rPr>
                <w:sz w:val="18"/>
                <w:szCs w:val="24"/>
              </w:rPr>
              <w:t>COI per funding above</w:t>
            </w:r>
          </w:p>
        </w:tc>
      </w:tr>
    </w:tbl>
    <w:p w14:paraId="25E5F3EA" w14:textId="787F7178" w:rsidR="00165357" w:rsidRPr="00B0485F" w:rsidRDefault="003B5EFE" w:rsidP="00165357">
      <w:pPr>
        <w:pStyle w:val="111Tablefootnoteslast-nostick8pt"/>
        <w:rPr>
          <w:lang w:val="en-AU"/>
        </w:rPr>
      </w:pPr>
      <w:r>
        <w:rPr>
          <w:lang w:val="en-AU"/>
        </w:rPr>
        <w:t xml:space="preserve">Abbreviations: </w:t>
      </w:r>
      <w:r w:rsidR="00D66DA0">
        <w:rPr>
          <w:lang w:val="en-AU"/>
        </w:rPr>
        <w:t>C</w:t>
      </w:r>
      <w:r w:rsidR="006203A7">
        <w:rPr>
          <w:lang w:val="en-AU"/>
        </w:rPr>
        <w:t>E</w:t>
      </w:r>
      <w:r w:rsidR="00D66DA0">
        <w:rPr>
          <w:lang w:val="en-AU"/>
        </w:rPr>
        <w:t xml:space="preserve">A, cost-effectiveness analysis; </w:t>
      </w:r>
      <w:r w:rsidR="00951453">
        <w:rPr>
          <w:lang w:val="en-AU"/>
        </w:rPr>
        <w:t xml:space="preserve">CIHR, </w:t>
      </w:r>
      <w:r w:rsidR="00951453" w:rsidRPr="00951453">
        <w:rPr>
          <w:lang w:val="en-AU"/>
        </w:rPr>
        <w:t>Canadian Institutes of Health Research</w:t>
      </w:r>
      <w:r w:rsidR="00951453">
        <w:rPr>
          <w:lang w:val="en-AU"/>
        </w:rPr>
        <w:t xml:space="preserve">; </w:t>
      </w:r>
      <w:r w:rsidR="006203A7">
        <w:rPr>
          <w:lang w:val="en-AU"/>
        </w:rPr>
        <w:t xml:space="preserve">CUA, cost-utility analysis; </w:t>
      </w:r>
      <w:r w:rsidR="00165357" w:rsidRPr="00B0485F">
        <w:rPr>
          <w:lang w:val="en-AU"/>
        </w:rPr>
        <w:t>COI</w:t>
      </w:r>
      <w:r>
        <w:rPr>
          <w:lang w:val="en-AU"/>
        </w:rPr>
        <w:t>,</w:t>
      </w:r>
      <w:r w:rsidR="00165357" w:rsidRPr="00B0485F">
        <w:rPr>
          <w:lang w:val="en-AU"/>
        </w:rPr>
        <w:t xml:space="preserve"> conflict of interest; EE</w:t>
      </w:r>
      <w:r>
        <w:rPr>
          <w:lang w:val="en-AU"/>
        </w:rPr>
        <w:t>,</w:t>
      </w:r>
      <w:r w:rsidR="00165357" w:rsidRPr="00B0485F">
        <w:rPr>
          <w:lang w:val="en-AU"/>
        </w:rPr>
        <w:t xml:space="preserve"> economic evaluation; SUI</w:t>
      </w:r>
      <w:r>
        <w:rPr>
          <w:lang w:val="en-AU"/>
        </w:rPr>
        <w:t>,</w:t>
      </w:r>
      <w:r w:rsidR="00165357" w:rsidRPr="00B0485F">
        <w:rPr>
          <w:lang w:val="en-AU"/>
        </w:rPr>
        <w:t xml:space="preserve"> stress urinary incontinence; RCT</w:t>
      </w:r>
      <w:r>
        <w:rPr>
          <w:lang w:val="en-AU"/>
        </w:rPr>
        <w:t>,</w:t>
      </w:r>
      <w:r w:rsidR="00165357" w:rsidRPr="00B0485F">
        <w:rPr>
          <w:lang w:val="en-AU"/>
        </w:rPr>
        <w:t xml:space="preserve"> randomi</w:t>
      </w:r>
      <w:r>
        <w:rPr>
          <w:lang w:val="en-AU"/>
        </w:rPr>
        <w:t>s</w:t>
      </w:r>
      <w:r w:rsidR="00165357" w:rsidRPr="00B0485F">
        <w:rPr>
          <w:lang w:val="en-AU"/>
        </w:rPr>
        <w:t xml:space="preserve">ed controlled trial; </w:t>
      </w:r>
      <w:r w:rsidR="00157DF5">
        <w:rPr>
          <w:lang w:val="en-AU"/>
        </w:rPr>
        <w:t>RP-MUS, retropubic mid</w:t>
      </w:r>
      <w:r w:rsidR="000A7944">
        <w:rPr>
          <w:lang w:val="en-AU"/>
        </w:rPr>
        <w:t>-urethral sling</w:t>
      </w:r>
      <w:r w:rsidR="00157DF5">
        <w:rPr>
          <w:lang w:val="en-AU"/>
        </w:rPr>
        <w:t xml:space="preserve">; </w:t>
      </w:r>
      <w:r w:rsidR="000A7944" w:rsidRPr="00B0485F">
        <w:rPr>
          <w:lang w:val="en-AU"/>
        </w:rPr>
        <w:t>T</w:t>
      </w:r>
      <w:r w:rsidR="000A7944">
        <w:rPr>
          <w:lang w:val="en-AU"/>
        </w:rPr>
        <w:t>O</w:t>
      </w:r>
      <w:r w:rsidR="000A7944" w:rsidRPr="00B0485F">
        <w:rPr>
          <w:lang w:val="en-AU"/>
        </w:rPr>
        <w:t>-MUS</w:t>
      </w:r>
      <w:r w:rsidR="000A7944">
        <w:rPr>
          <w:lang w:val="en-AU"/>
        </w:rPr>
        <w:t>,</w:t>
      </w:r>
      <w:r w:rsidR="000A7944" w:rsidRPr="00B0485F">
        <w:rPr>
          <w:lang w:val="en-AU"/>
        </w:rPr>
        <w:t xml:space="preserve"> </w:t>
      </w:r>
      <w:proofErr w:type="spellStart"/>
      <w:r w:rsidR="000A7944" w:rsidRPr="00B0485F">
        <w:rPr>
          <w:lang w:val="en-AU"/>
        </w:rPr>
        <w:t>transobturator</w:t>
      </w:r>
      <w:proofErr w:type="spellEnd"/>
      <w:r w:rsidR="000A7944" w:rsidRPr="00B0485F">
        <w:rPr>
          <w:lang w:val="en-AU"/>
        </w:rPr>
        <w:t xml:space="preserve"> </w:t>
      </w:r>
      <w:r w:rsidR="000A7944">
        <w:rPr>
          <w:lang w:val="en-AU"/>
        </w:rPr>
        <w:t>mid-urethral sling</w:t>
      </w:r>
      <w:r w:rsidR="00AC386B">
        <w:rPr>
          <w:lang w:val="en-AU"/>
        </w:rPr>
        <w:t>;</w:t>
      </w:r>
      <w:r w:rsidR="000A7944" w:rsidRPr="00B0485F">
        <w:rPr>
          <w:lang w:val="en-AU"/>
        </w:rPr>
        <w:t xml:space="preserve"> </w:t>
      </w:r>
      <w:r w:rsidR="00165357" w:rsidRPr="00B0485F">
        <w:rPr>
          <w:lang w:val="en-AU"/>
        </w:rPr>
        <w:t>TOT</w:t>
      </w:r>
      <w:r>
        <w:rPr>
          <w:lang w:val="en-AU"/>
        </w:rPr>
        <w:t>,</w:t>
      </w:r>
      <w:r w:rsidR="00165357" w:rsidRPr="00B0485F">
        <w:rPr>
          <w:lang w:val="en-AU"/>
        </w:rPr>
        <w:t xml:space="preserve"> </w:t>
      </w:r>
      <w:proofErr w:type="spellStart"/>
      <w:r w:rsidR="00165357" w:rsidRPr="00B0485F">
        <w:rPr>
          <w:lang w:val="en-AU"/>
        </w:rPr>
        <w:t>transobturator</w:t>
      </w:r>
      <w:proofErr w:type="spellEnd"/>
      <w:r w:rsidR="00165357" w:rsidRPr="00B0485F">
        <w:rPr>
          <w:lang w:val="en-AU"/>
        </w:rPr>
        <w:t xml:space="preserve"> tape; TVT</w:t>
      </w:r>
      <w:r>
        <w:rPr>
          <w:lang w:val="en-AU"/>
        </w:rPr>
        <w:t>,</w:t>
      </w:r>
      <w:r w:rsidR="00165357" w:rsidRPr="00B0485F">
        <w:rPr>
          <w:lang w:val="en-AU"/>
        </w:rPr>
        <w:t xml:space="preserve"> tension-free vaginal tape; </w:t>
      </w:r>
      <w:proofErr w:type="spellStart"/>
      <w:r w:rsidR="00165357" w:rsidRPr="00B0485F">
        <w:rPr>
          <w:lang w:val="en-AU"/>
        </w:rPr>
        <w:t>yr</w:t>
      </w:r>
      <w:proofErr w:type="spellEnd"/>
      <w:r>
        <w:rPr>
          <w:lang w:val="en-AU"/>
        </w:rPr>
        <w:t>,</w:t>
      </w:r>
      <w:r w:rsidR="00165357" w:rsidRPr="00B0485F">
        <w:rPr>
          <w:lang w:val="en-AU"/>
        </w:rPr>
        <w:t xml:space="preserve"> year.</w:t>
      </w:r>
    </w:p>
    <w:p w14:paraId="01CB15E7" w14:textId="2BB995DF" w:rsidR="00165357" w:rsidRPr="00E067C3" w:rsidRDefault="00F62A7F" w:rsidP="00165357">
      <w:pPr>
        <w:pStyle w:val="BodyText"/>
      </w:pPr>
      <w:r>
        <w:lastRenderedPageBreak/>
        <w:t>T</w:t>
      </w:r>
      <w:r w:rsidR="00165357" w:rsidRPr="00E067C3">
        <w:t>he five-year report present</w:t>
      </w:r>
      <w:r w:rsidR="00165357">
        <w:t>s</w:t>
      </w:r>
      <w:r w:rsidR="00165357" w:rsidRPr="00E067C3">
        <w:t xml:space="preserve"> </w:t>
      </w:r>
      <w:r w:rsidR="001A3F6D">
        <w:t>two</w:t>
      </w:r>
      <w:r w:rsidR="00165357" w:rsidRPr="00E067C3">
        <w:t xml:space="preserve"> economic </w:t>
      </w:r>
      <w:r w:rsidR="001A3F6D">
        <w:t>analyses</w:t>
      </w:r>
      <w:r w:rsidR="001A3F6D" w:rsidRPr="00E067C3">
        <w:t xml:space="preserve"> </w:t>
      </w:r>
      <w:r w:rsidR="00165357" w:rsidRPr="00E067C3">
        <w:t>as follows:</w:t>
      </w:r>
    </w:p>
    <w:p w14:paraId="6713F3BE" w14:textId="07C86E96" w:rsidR="00165357" w:rsidRPr="00E067C3" w:rsidRDefault="001A3F6D" w:rsidP="00E0055B">
      <w:pPr>
        <w:pStyle w:val="BodyText"/>
        <w:numPr>
          <w:ilvl w:val="0"/>
          <w:numId w:val="27"/>
        </w:numPr>
        <w:spacing w:after="0"/>
      </w:pPr>
      <w:r>
        <w:t>cost-utility</w:t>
      </w:r>
      <w:r w:rsidRPr="00E067C3">
        <w:t xml:space="preserve"> </w:t>
      </w:r>
      <w:r w:rsidR="00165357" w:rsidRPr="00E067C3">
        <w:t xml:space="preserve">analysis: health utilities collected using the 15D instrument (non-disease-specific 15-domain patient </w:t>
      </w:r>
      <w:proofErr w:type="spellStart"/>
      <w:r w:rsidR="007B1DCA">
        <w:t>HRQoL</w:t>
      </w:r>
      <w:proofErr w:type="spellEnd"/>
      <w:r w:rsidR="00165357" w:rsidRPr="00E067C3">
        <w:t xml:space="preserve"> questionnaire)</w:t>
      </w:r>
    </w:p>
    <w:p w14:paraId="037A9C0B" w14:textId="5B413413" w:rsidR="00165357" w:rsidRPr="00E067C3" w:rsidRDefault="001A3F6D" w:rsidP="00713A63">
      <w:pPr>
        <w:pStyle w:val="BodyText"/>
        <w:numPr>
          <w:ilvl w:val="0"/>
          <w:numId w:val="27"/>
        </w:numPr>
      </w:pPr>
      <w:r>
        <w:t>cost-effectiveness</w:t>
      </w:r>
      <w:r w:rsidRPr="00E067C3">
        <w:t xml:space="preserve"> </w:t>
      </w:r>
      <w:r w:rsidR="00165357" w:rsidRPr="00E067C3">
        <w:t xml:space="preserve">analysis: proportion of women with no </w:t>
      </w:r>
      <w:r w:rsidR="00165357" w:rsidRPr="00CA5A57">
        <w:t>serious adverse events</w:t>
      </w:r>
      <w:r w:rsidR="00165357" w:rsidRPr="00E067C3">
        <w:t xml:space="preserve"> at five years (for example, tape erosion, re-operation)</w:t>
      </w:r>
      <w:r w:rsidR="00E0055B">
        <w:t>.</w:t>
      </w:r>
    </w:p>
    <w:p w14:paraId="11C0F836" w14:textId="2F472312" w:rsidR="00165357" w:rsidRPr="00B0485F" w:rsidRDefault="00165357" w:rsidP="00165357">
      <w:pPr>
        <w:pStyle w:val="BodyText"/>
      </w:pPr>
      <w:r w:rsidRPr="00E067C3">
        <w:t xml:space="preserve">These primary outcomes for the </w:t>
      </w:r>
      <w:r>
        <w:t>five-</w:t>
      </w:r>
      <w:r w:rsidRPr="00E067C3">
        <w:t xml:space="preserve">year analyses were different to that reported for the initial phase of the </w:t>
      </w:r>
      <w:r w:rsidR="00657F51">
        <w:t>RCT</w:t>
      </w:r>
      <w:r w:rsidR="005C4491">
        <w:t>,</w:t>
      </w:r>
      <w:r w:rsidRPr="00E067C3">
        <w:t xml:space="preserve"> which was objective cure </w:t>
      </w:r>
      <w:r w:rsidR="00245CE2">
        <w:rPr>
          <w:noProof/>
        </w:rPr>
        <w:t>(Ross 2009)</w:t>
      </w:r>
      <w:r w:rsidRPr="00E067C3">
        <w:t>.</w:t>
      </w:r>
    </w:p>
    <w:p w14:paraId="32FEFB85" w14:textId="77777777" w:rsidR="00165357" w:rsidRPr="00B0485F" w:rsidRDefault="00165357" w:rsidP="00165357">
      <w:pPr>
        <w:pStyle w:val="Heading5"/>
      </w:pPr>
      <w:r w:rsidRPr="00B0485F">
        <w:t>Findings</w:t>
      </w:r>
    </w:p>
    <w:p w14:paraId="7B03F73A" w14:textId="7E147DBD" w:rsidR="00165357" w:rsidRDefault="00165357" w:rsidP="00165357">
      <w:pPr>
        <w:pStyle w:val="BodyText"/>
      </w:pPr>
      <w:r w:rsidRPr="00E067C3">
        <w:t xml:space="preserve">The findings of the </w:t>
      </w:r>
      <w:r w:rsidR="004D1039">
        <w:t>economic</w:t>
      </w:r>
      <w:r w:rsidRPr="00E067C3">
        <w:t xml:space="preserve"> analys</w:t>
      </w:r>
      <w:r w:rsidR="002121D9">
        <w:t>e</w:t>
      </w:r>
      <w:r w:rsidRPr="00E067C3">
        <w:t>s</w:t>
      </w:r>
      <w:r w:rsidRPr="00E067C3" w:rsidDel="004D1039">
        <w:t xml:space="preserve"> </w:t>
      </w:r>
      <w:r w:rsidRPr="00E067C3">
        <w:t xml:space="preserve">are presented in </w:t>
      </w:r>
      <w:r w:rsidRPr="00841F77">
        <w:rPr>
          <w:b/>
          <w:bCs/>
        </w:rPr>
        <w:fldChar w:fldCharType="begin"/>
      </w:r>
      <w:r w:rsidRPr="00841F77">
        <w:rPr>
          <w:b/>
          <w:bCs/>
        </w:rPr>
        <w:instrText xml:space="preserve"> REF _Ref131670737 \h </w:instrText>
      </w:r>
      <w:r w:rsidR="00841F77">
        <w:rPr>
          <w:b/>
          <w:bCs/>
        </w:rPr>
        <w:instrText xml:space="preserve"> \* MERGEFORMAT </w:instrText>
      </w:r>
      <w:r w:rsidRPr="00841F77">
        <w:rPr>
          <w:b/>
          <w:bCs/>
        </w:rPr>
      </w:r>
      <w:r w:rsidRPr="00841F77">
        <w:rPr>
          <w:b/>
          <w:bCs/>
        </w:rPr>
        <w:fldChar w:fldCharType="separate"/>
      </w:r>
      <w:r w:rsidR="007105D3" w:rsidRPr="007105D3">
        <w:rPr>
          <w:b/>
          <w:bCs/>
        </w:rPr>
        <w:t xml:space="preserve">Table </w:t>
      </w:r>
      <w:r w:rsidR="007105D3" w:rsidRPr="007105D3">
        <w:rPr>
          <w:b/>
          <w:bCs/>
          <w:noProof/>
        </w:rPr>
        <w:t>27</w:t>
      </w:r>
      <w:r w:rsidRPr="00841F77">
        <w:rPr>
          <w:b/>
          <w:bCs/>
        </w:rPr>
        <w:fldChar w:fldCharType="end"/>
      </w:r>
      <w:r w:rsidR="00196FB9" w:rsidRPr="00196FB9">
        <w:t>, from a Canadian health care perspective</w:t>
      </w:r>
      <w:r w:rsidRPr="00E067C3">
        <w:t>.</w:t>
      </w:r>
    </w:p>
    <w:p w14:paraId="62306B12" w14:textId="393BCAA4" w:rsidR="00165357" w:rsidRPr="00B0485F" w:rsidRDefault="00165357" w:rsidP="00165357">
      <w:pPr>
        <w:pStyle w:val="Caption"/>
      </w:pPr>
      <w:bookmarkStart w:id="140" w:name="_Ref131670737"/>
      <w:bookmarkStart w:id="141" w:name="_Toc132286061"/>
      <w:bookmarkStart w:id="142" w:name="_Toc165627895"/>
      <w:r w:rsidRPr="00B0485F">
        <w:t xml:space="preserve">Table </w:t>
      </w:r>
      <w:bookmarkStart w:id="143" w:name="_Ref131001153"/>
      <w:r>
        <w:fldChar w:fldCharType="begin"/>
      </w:r>
      <w:r>
        <w:instrText xml:space="preserve"> SEQ Table \* ARABIC </w:instrText>
      </w:r>
      <w:r>
        <w:fldChar w:fldCharType="separate"/>
      </w:r>
      <w:r w:rsidR="007105D3">
        <w:rPr>
          <w:noProof/>
        </w:rPr>
        <w:t>27</w:t>
      </w:r>
      <w:r>
        <w:rPr>
          <w:noProof/>
        </w:rPr>
        <w:fldChar w:fldCharType="end"/>
      </w:r>
      <w:bookmarkEnd w:id="140"/>
      <w:bookmarkEnd w:id="143"/>
      <w:r w:rsidRPr="00B0485F">
        <w:tab/>
        <w:t>Outcomes of Lier (2017)</w:t>
      </w:r>
      <w:bookmarkEnd w:id="141"/>
      <w:r w:rsidR="004D1039">
        <w:t xml:space="preserve"> – at 5 years</w:t>
      </w:r>
      <w:bookmarkEnd w:id="142"/>
    </w:p>
    <w:tbl>
      <w:tblPr>
        <w:tblStyle w:val="TableGrid"/>
        <w:tblW w:w="0" w:type="auto"/>
        <w:tblLook w:val="04A0" w:firstRow="1" w:lastRow="0" w:firstColumn="1" w:lastColumn="0" w:noHBand="0" w:noVBand="1"/>
        <w:tblCaption w:val="Outcomes of Lier (2017) at 5 years"/>
        <w:tblDescription w:val="This table shows the outcomes of the Lier (2017) study at 5 years including effectiveness, cost, ICER, sensitivity analysis and conclusion. "/>
      </w:tblPr>
      <w:tblGrid>
        <w:gridCol w:w="851"/>
        <w:gridCol w:w="1901"/>
        <w:gridCol w:w="1568"/>
        <w:gridCol w:w="2160"/>
        <w:gridCol w:w="1890"/>
        <w:gridCol w:w="1268"/>
      </w:tblGrid>
      <w:tr w:rsidR="00165357" w:rsidRPr="007663DE" w14:paraId="0CFA997A" w14:textId="77777777" w:rsidTr="002121D9">
        <w:trPr>
          <w:cnfStyle w:val="100000000000" w:firstRow="1" w:lastRow="0" w:firstColumn="0" w:lastColumn="0" w:oddVBand="0" w:evenVBand="0" w:oddHBand="0" w:evenHBand="0" w:firstRowFirstColumn="0" w:firstRowLastColumn="0" w:lastRowFirstColumn="0" w:lastRowLastColumn="0"/>
        </w:trPr>
        <w:tc>
          <w:tcPr>
            <w:tcW w:w="851" w:type="dxa"/>
          </w:tcPr>
          <w:p w14:paraId="76888D3E" w14:textId="77777777" w:rsidR="00165357" w:rsidRPr="007663DE" w:rsidRDefault="00165357">
            <w:pPr>
              <w:pStyle w:val="011TableHeading8pt"/>
              <w:ind w:left="-57" w:right="-57"/>
              <w:rPr>
                <w:sz w:val="18"/>
                <w:szCs w:val="24"/>
              </w:rPr>
            </w:pPr>
            <w:r w:rsidRPr="007663DE">
              <w:rPr>
                <w:sz w:val="18"/>
                <w:szCs w:val="24"/>
              </w:rPr>
              <w:t>Study ID</w:t>
            </w:r>
          </w:p>
        </w:tc>
        <w:tc>
          <w:tcPr>
            <w:tcW w:w="1901" w:type="dxa"/>
          </w:tcPr>
          <w:p w14:paraId="6F9F7F74" w14:textId="29216147" w:rsidR="00165357" w:rsidRPr="007663DE" w:rsidRDefault="006B055E">
            <w:pPr>
              <w:pStyle w:val="011TableHeading8pt"/>
              <w:ind w:left="-57" w:right="-57"/>
              <w:rPr>
                <w:sz w:val="18"/>
                <w:szCs w:val="24"/>
              </w:rPr>
            </w:pPr>
            <w:r>
              <w:rPr>
                <w:sz w:val="18"/>
                <w:szCs w:val="24"/>
              </w:rPr>
              <w:t>E</w:t>
            </w:r>
            <w:r w:rsidR="00165357" w:rsidRPr="007663DE">
              <w:rPr>
                <w:sz w:val="18"/>
                <w:szCs w:val="24"/>
              </w:rPr>
              <w:t>ffectiveness (95% CI)</w:t>
            </w:r>
          </w:p>
        </w:tc>
        <w:tc>
          <w:tcPr>
            <w:tcW w:w="1568" w:type="dxa"/>
          </w:tcPr>
          <w:p w14:paraId="54E96FC3" w14:textId="2051EA65" w:rsidR="00165357" w:rsidRPr="007663DE" w:rsidRDefault="006B055E">
            <w:pPr>
              <w:pStyle w:val="011TableHeading8pt"/>
              <w:ind w:left="-57" w:right="-57"/>
              <w:rPr>
                <w:sz w:val="18"/>
                <w:szCs w:val="24"/>
              </w:rPr>
            </w:pPr>
            <w:r>
              <w:rPr>
                <w:sz w:val="18"/>
                <w:szCs w:val="24"/>
              </w:rPr>
              <w:t>C</w:t>
            </w:r>
            <w:r w:rsidR="00165357" w:rsidRPr="007663DE">
              <w:rPr>
                <w:sz w:val="18"/>
                <w:szCs w:val="24"/>
              </w:rPr>
              <w:t xml:space="preserve">ost </w:t>
            </w:r>
            <w:r w:rsidR="00165357" w:rsidRPr="007663DE">
              <w:rPr>
                <w:sz w:val="18"/>
                <w:szCs w:val="24"/>
              </w:rPr>
              <w:br/>
              <w:t>(95% CI)</w:t>
            </w:r>
            <w:r w:rsidR="00165357">
              <w:rPr>
                <w:sz w:val="18"/>
                <w:szCs w:val="24"/>
              </w:rPr>
              <w:t>, CAD</w:t>
            </w:r>
          </w:p>
        </w:tc>
        <w:tc>
          <w:tcPr>
            <w:tcW w:w="2160" w:type="dxa"/>
          </w:tcPr>
          <w:p w14:paraId="1A7177F7" w14:textId="0603DB6D" w:rsidR="00165357" w:rsidRPr="007663DE" w:rsidRDefault="00165357">
            <w:pPr>
              <w:pStyle w:val="011TableHeading8pt"/>
              <w:ind w:left="-57" w:right="-57"/>
              <w:rPr>
                <w:sz w:val="18"/>
                <w:szCs w:val="24"/>
              </w:rPr>
            </w:pPr>
            <w:r w:rsidRPr="007663DE">
              <w:rPr>
                <w:sz w:val="18"/>
                <w:szCs w:val="24"/>
              </w:rPr>
              <w:t>ICER</w:t>
            </w:r>
          </w:p>
        </w:tc>
        <w:tc>
          <w:tcPr>
            <w:tcW w:w="1890" w:type="dxa"/>
          </w:tcPr>
          <w:p w14:paraId="0E13F655" w14:textId="77777777" w:rsidR="00165357" w:rsidRPr="007663DE" w:rsidRDefault="00165357">
            <w:pPr>
              <w:pStyle w:val="011TableHeading8pt"/>
              <w:ind w:left="-57" w:right="-57"/>
              <w:rPr>
                <w:sz w:val="18"/>
                <w:szCs w:val="24"/>
              </w:rPr>
            </w:pPr>
            <w:r w:rsidRPr="007663DE">
              <w:rPr>
                <w:sz w:val="18"/>
                <w:szCs w:val="24"/>
              </w:rPr>
              <w:t>Sensitivity analysis</w:t>
            </w:r>
          </w:p>
        </w:tc>
        <w:tc>
          <w:tcPr>
            <w:tcW w:w="1268" w:type="dxa"/>
          </w:tcPr>
          <w:p w14:paraId="2EDDC5D0" w14:textId="77777777" w:rsidR="00165357" w:rsidRPr="007663DE" w:rsidRDefault="00165357">
            <w:pPr>
              <w:pStyle w:val="011TableHeading8pt"/>
              <w:ind w:left="-57" w:right="-57"/>
              <w:rPr>
                <w:sz w:val="18"/>
                <w:szCs w:val="24"/>
              </w:rPr>
            </w:pPr>
            <w:r w:rsidRPr="007663DE">
              <w:rPr>
                <w:sz w:val="18"/>
                <w:szCs w:val="24"/>
              </w:rPr>
              <w:t>Conclusion</w:t>
            </w:r>
          </w:p>
        </w:tc>
      </w:tr>
      <w:tr w:rsidR="00165357" w:rsidRPr="007663DE" w14:paraId="2FD94B19" w14:textId="77777777" w:rsidTr="002121D9">
        <w:tc>
          <w:tcPr>
            <w:tcW w:w="851" w:type="dxa"/>
          </w:tcPr>
          <w:p w14:paraId="04DE99CB" w14:textId="77777777" w:rsidR="00165357" w:rsidRPr="007663DE" w:rsidRDefault="00165357">
            <w:pPr>
              <w:pStyle w:val="051Tabletext228pt"/>
              <w:ind w:left="-57" w:right="-57"/>
              <w:rPr>
                <w:sz w:val="18"/>
                <w:szCs w:val="24"/>
              </w:rPr>
            </w:pPr>
            <w:r w:rsidRPr="007663DE">
              <w:rPr>
                <w:sz w:val="18"/>
                <w:szCs w:val="24"/>
              </w:rPr>
              <w:t>Lier 2017</w:t>
            </w:r>
            <w:r w:rsidRPr="007663DE">
              <w:rPr>
                <w:sz w:val="18"/>
                <w:szCs w:val="24"/>
              </w:rPr>
              <w:br/>
              <w:t>Canada</w:t>
            </w:r>
          </w:p>
        </w:tc>
        <w:tc>
          <w:tcPr>
            <w:tcW w:w="1901" w:type="dxa"/>
          </w:tcPr>
          <w:p w14:paraId="2B3CF4C2" w14:textId="6E7463CE" w:rsidR="00357D1A" w:rsidRDefault="00165357">
            <w:pPr>
              <w:pStyle w:val="051Tabletext228pt"/>
              <w:ind w:left="-57" w:right="-57"/>
              <w:rPr>
                <w:sz w:val="18"/>
                <w:szCs w:val="24"/>
              </w:rPr>
            </w:pPr>
            <w:r w:rsidRPr="00357D1A">
              <w:rPr>
                <w:sz w:val="18"/>
                <w:szCs w:val="24"/>
                <w:u w:val="single"/>
              </w:rPr>
              <w:t>QALY gain</w:t>
            </w:r>
            <w:r w:rsidDel="00603E73">
              <w:rPr>
                <w:sz w:val="18"/>
                <w:szCs w:val="24"/>
                <w:u w:val="single"/>
              </w:rPr>
              <w:br/>
            </w:r>
            <w:r w:rsidR="00C63F91">
              <w:rPr>
                <w:sz w:val="18"/>
                <w:szCs w:val="24"/>
              </w:rPr>
              <w:t>TOT</w:t>
            </w:r>
            <w:r w:rsidR="00357D1A">
              <w:rPr>
                <w:sz w:val="18"/>
                <w:szCs w:val="24"/>
              </w:rPr>
              <w:t>: 0.80</w:t>
            </w:r>
            <w:r w:rsidR="00357D1A">
              <w:rPr>
                <w:sz w:val="18"/>
                <w:szCs w:val="24"/>
              </w:rPr>
              <w:br/>
              <w:t>TVT: 0.77</w:t>
            </w:r>
          </w:p>
          <w:p w14:paraId="6ABEA443" w14:textId="3D3230B5" w:rsidR="00165357" w:rsidRPr="007663DE" w:rsidRDefault="00357D1A">
            <w:pPr>
              <w:pStyle w:val="051Tabletext228pt"/>
              <w:ind w:left="-57" w:right="-57"/>
              <w:rPr>
                <w:sz w:val="18"/>
                <w:szCs w:val="24"/>
              </w:rPr>
            </w:pPr>
            <w:r w:rsidRPr="00302E48">
              <w:rPr>
                <w:sz w:val="18"/>
                <w:szCs w:val="24"/>
              </w:rPr>
              <w:t>Incremental</w:t>
            </w:r>
            <w:r w:rsidR="00CC7D3C" w:rsidRPr="00302E48">
              <w:rPr>
                <w:sz w:val="18"/>
                <w:szCs w:val="24"/>
              </w:rPr>
              <w:t xml:space="preserve"> (adjusted)</w:t>
            </w:r>
            <w:r w:rsidRPr="00357D1A">
              <w:rPr>
                <w:sz w:val="18"/>
                <w:szCs w:val="24"/>
              </w:rPr>
              <w:t>:</w:t>
            </w:r>
            <w:r>
              <w:rPr>
                <w:sz w:val="18"/>
                <w:szCs w:val="24"/>
              </w:rPr>
              <w:t xml:space="preserve"> </w:t>
            </w:r>
            <w:r w:rsidR="00165357" w:rsidRPr="007663DE">
              <w:rPr>
                <w:sz w:val="18"/>
                <w:szCs w:val="24"/>
              </w:rPr>
              <w:t>0.04 (-0.06</w:t>
            </w:r>
            <w:r w:rsidR="003F64F4">
              <w:rPr>
                <w:sz w:val="18"/>
                <w:szCs w:val="24"/>
              </w:rPr>
              <w:t xml:space="preserve">, </w:t>
            </w:r>
            <w:r w:rsidR="00165357" w:rsidRPr="007663DE">
              <w:rPr>
                <w:sz w:val="18"/>
                <w:szCs w:val="24"/>
              </w:rPr>
              <w:t>0.14)</w:t>
            </w:r>
          </w:p>
          <w:p w14:paraId="33EDD31E" w14:textId="389D0DB3" w:rsidR="00E3638E" w:rsidRDefault="00D56511">
            <w:pPr>
              <w:pStyle w:val="051Tabletext228pt"/>
              <w:ind w:left="-57" w:right="-57"/>
              <w:rPr>
                <w:sz w:val="18"/>
                <w:szCs w:val="24"/>
              </w:rPr>
            </w:pPr>
            <w:r w:rsidRPr="00032FD7">
              <w:rPr>
                <w:sz w:val="18"/>
                <w:szCs w:val="24"/>
                <w:u w:val="single"/>
              </w:rPr>
              <w:t>P</w:t>
            </w:r>
            <w:r w:rsidR="00165357" w:rsidRPr="00032FD7">
              <w:rPr>
                <w:sz w:val="18"/>
                <w:szCs w:val="24"/>
                <w:u w:val="single"/>
              </w:rPr>
              <w:t>roportion of women with no SAE</w:t>
            </w:r>
            <w:r w:rsidRPr="007663DE" w:rsidDel="00D56511">
              <w:rPr>
                <w:sz w:val="18"/>
                <w:szCs w:val="24"/>
              </w:rPr>
              <w:t xml:space="preserve"> </w:t>
            </w:r>
            <w:r w:rsidR="00165357" w:rsidRPr="007663DE" w:rsidDel="00D56511">
              <w:rPr>
                <w:sz w:val="18"/>
                <w:szCs w:val="24"/>
              </w:rPr>
              <w:br/>
            </w:r>
            <w:r w:rsidR="00032FD7">
              <w:rPr>
                <w:sz w:val="18"/>
                <w:szCs w:val="24"/>
              </w:rPr>
              <w:t xml:space="preserve">TOT: </w:t>
            </w:r>
            <w:r w:rsidR="00EC02DE">
              <w:rPr>
                <w:sz w:val="18"/>
                <w:szCs w:val="24"/>
              </w:rPr>
              <w:t>0.79</w:t>
            </w:r>
            <w:r w:rsidR="00EC02DE">
              <w:rPr>
                <w:sz w:val="18"/>
                <w:szCs w:val="24"/>
              </w:rPr>
              <w:br/>
              <w:t xml:space="preserve">TVT: </w:t>
            </w:r>
            <w:r w:rsidR="00E3638E">
              <w:rPr>
                <w:sz w:val="18"/>
                <w:szCs w:val="24"/>
              </w:rPr>
              <w:t>0.73</w:t>
            </w:r>
          </w:p>
          <w:p w14:paraId="2EB07BED" w14:textId="4297EC52" w:rsidR="00165357" w:rsidRPr="007663DE" w:rsidRDefault="00E3638E">
            <w:pPr>
              <w:pStyle w:val="051Tabletext228pt"/>
              <w:ind w:left="-57" w:right="-57"/>
              <w:rPr>
                <w:sz w:val="18"/>
                <w:szCs w:val="24"/>
              </w:rPr>
            </w:pPr>
            <w:r>
              <w:rPr>
                <w:sz w:val="18"/>
                <w:szCs w:val="24"/>
              </w:rPr>
              <w:t xml:space="preserve">Incremental (adjusted): </w:t>
            </w:r>
            <w:r w:rsidR="00165357" w:rsidRPr="007663DE">
              <w:rPr>
                <w:sz w:val="18"/>
                <w:szCs w:val="24"/>
              </w:rPr>
              <w:t>0.03 (-0.10</w:t>
            </w:r>
            <w:r w:rsidR="003F64F4">
              <w:rPr>
                <w:sz w:val="18"/>
                <w:szCs w:val="24"/>
              </w:rPr>
              <w:t xml:space="preserve">, </w:t>
            </w:r>
            <w:r w:rsidR="00165357" w:rsidRPr="007663DE">
              <w:rPr>
                <w:sz w:val="18"/>
                <w:szCs w:val="24"/>
              </w:rPr>
              <w:t>0.16)</w:t>
            </w:r>
          </w:p>
        </w:tc>
        <w:tc>
          <w:tcPr>
            <w:tcW w:w="1568" w:type="dxa"/>
          </w:tcPr>
          <w:p w14:paraId="16BD6372" w14:textId="75C57EC8" w:rsidR="005B0E75" w:rsidRDefault="00CC7D3C">
            <w:pPr>
              <w:pStyle w:val="051Tabletext228pt"/>
              <w:ind w:left="-57" w:right="-57"/>
              <w:rPr>
                <w:sz w:val="18"/>
                <w:szCs w:val="24"/>
              </w:rPr>
            </w:pPr>
            <w:r>
              <w:rPr>
                <w:sz w:val="18"/>
                <w:szCs w:val="24"/>
              </w:rPr>
              <w:t>TOT</w:t>
            </w:r>
            <w:r w:rsidR="005B0E75">
              <w:rPr>
                <w:sz w:val="18"/>
                <w:szCs w:val="24"/>
              </w:rPr>
              <w:t>: $13,007</w:t>
            </w:r>
            <w:r w:rsidR="005B0E75">
              <w:rPr>
                <w:sz w:val="18"/>
                <w:szCs w:val="24"/>
              </w:rPr>
              <w:br/>
              <w:t>TVT: $16,081</w:t>
            </w:r>
          </w:p>
          <w:p w14:paraId="438F07EB" w14:textId="349DBAF7" w:rsidR="00165357" w:rsidRPr="007663DE" w:rsidRDefault="005B0E75">
            <w:pPr>
              <w:pStyle w:val="051Tabletext228pt"/>
              <w:ind w:left="-57" w:right="-57"/>
              <w:rPr>
                <w:sz w:val="18"/>
                <w:szCs w:val="24"/>
              </w:rPr>
            </w:pPr>
            <w:r>
              <w:rPr>
                <w:sz w:val="18"/>
                <w:szCs w:val="24"/>
              </w:rPr>
              <w:t>Incremental (adjusted):</w:t>
            </w:r>
            <w:r w:rsidRPr="007663DE" w:rsidDel="00CC7D3C">
              <w:rPr>
                <w:sz w:val="18"/>
                <w:szCs w:val="24"/>
              </w:rPr>
              <w:t xml:space="preserve"> </w:t>
            </w:r>
            <w:r w:rsidR="00165357" w:rsidRPr="007663DE">
              <w:rPr>
                <w:sz w:val="18"/>
                <w:szCs w:val="24"/>
              </w:rPr>
              <w:t>-$2</w:t>
            </w:r>
            <w:r w:rsidR="00DE733B">
              <w:rPr>
                <w:sz w:val="18"/>
                <w:szCs w:val="24"/>
              </w:rPr>
              <w:t>,</w:t>
            </w:r>
            <w:r w:rsidR="00165357" w:rsidRPr="007663DE">
              <w:rPr>
                <w:sz w:val="18"/>
                <w:szCs w:val="24"/>
              </w:rPr>
              <w:t>368 (-$7</w:t>
            </w:r>
            <w:r w:rsidR="00DE733B">
              <w:rPr>
                <w:sz w:val="18"/>
                <w:szCs w:val="24"/>
              </w:rPr>
              <w:t>,</w:t>
            </w:r>
            <w:r w:rsidR="00165357" w:rsidRPr="007663DE">
              <w:rPr>
                <w:sz w:val="18"/>
                <w:szCs w:val="24"/>
              </w:rPr>
              <w:t>166</w:t>
            </w:r>
            <w:r w:rsidR="003F64F4">
              <w:rPr>
                <w:sz w:val="18"/>
                <w:szCs w:val="24"/>
              </w:rPr>
              <w:t xml:space="preserve">, </w:t>
            </w:r>
            <w:r w:rsidR="00165357" w:rsidRPr="007663DE">
              <w:rPr>
                <w:sz w:val="18"/>
                <w:szCs w:val="24"/>
              </w:rPr>
              <w:t>$2</w:t>
            </w:r>
            <w:r w:rsidR="00DE733B">
              <w:rPr>
                <w:sz w:val="18"/>
                <w:szCs w:val="24"/>
              </w:rPr>
              <w:t>,</w:t>
            </w:r>
            <w:r w:rsidR="00165357" w:rsidRPr="007663DE">
              <w:rPr>
                <w:sz w:val="18"/>
                <w:szCs w:val="24"/>
              </w:rPr>
              <w:t>548)</w:t>
            </w:r>
          </w:p>
        </w:tc>
        <w:tc>
          <w:tcPr>
            <w:tcW w:w="2160" w:type="dxa"/>
          </w:tcPr>
          <w:p w14:paraId="612F8D86" w14:textId="221A5665" w:rsidR="00165357" w:rsidRPr="007663DE" w:rsidRDefault="00182C28">
            <w:pPr>
              <w:pStyle w:val="051Tabletext228pt"/>
              <w:ind w:left="-57" w:right="-57"/>
              <w:rPr>
                <w:sz w:val="18"/>
                <w:szCs w:val="24"/>
              </w:rPr>
            </w:pPr>
            <w:r>
              <w:rPr>
                <w:sz w:val="18"/>
                <w:szCs w:val="24"/>
              </w:rPr>
              <w:t>C</w:t>
            </w:r>
            <w:r w:rsidR="00165357" w:rsidRPr="007663DE">
              <w:rPr>
                <w:sz w:val="18"/>
                <w:szCs w:val="24"/>
              </w:rPr>
              <w:t xml:space="preserve">ost/QALY </w:t>
            </w:r>
            <w:r>
              <w:rPr>
                <w:sz w:val="18"/>
                <w:szCs w:val="24"/>
              </w:rPr>
              <w:t xml:space="preserve">not </w:t>
            </w:r>
            <w:r w:rsidR="00165357" w:rsidRPr="007663DE">
              <w:rPr>
                <w:sz w:val="18"/>
                <w:szCs w:val="24"/>
              </w:rPr>
              <w:t>presented</w:t>
            </w:r>
          </w:p>
          <w:p w14:paraId="78552EA2" w14:textId="30DB9077" w:rsidR="00165357" w:rsidRPr="007663DE" w:rsidRDefault="00165357">
            <w:pPr>
              <w:pStyle w:val="051Tabletext228pt"/>
              <w:ind w:left="-57" w:right="-57"/>
              <w:rPr>
                <w:sz w:val="18"/>
                <w:szCs w:val="24"/>
              </w:rPr>
            </w:pPr>
            <w:r w:rsidRPr="007663DE">
              <w:rPr>
                <w:sz w:val="18"/>
                <w:szCs w:val="24"/>
              </w:rPr>
              <w:t>TOT dominant in &gt;71% of replications for CUA (QALYs) and &gt;60% for CEA (prop</w:t>
            </w:r>
            <w:r w:rsidR="00195435">
              <w:rPr>
                <w:sz w:val="18"/>
                <w:szCs w:val="24"/>
              </w:rPr>
              <w:t>ortion with</w:t>
            </w:r>
            <w:r w:rsidRPr="007663DE">
              <w:rPr>
                <w:sz w:val="18"/>
                <w:szCs w:val="24"/>
              </w:rPr>
              <w:t xml:space="preserve"> no SAEs)</w:t>
            </w:r>
          </w:p>
        </w:tc>
        <w:tc>
          <w:tcPr>
            <w:tcW w:w="1890" w:type="dxa"/>
          </w:tcPr>
          <w:p w14:paraId="76EAFEB3" w14:textId="4FF2655A" w:rsidR="00165357" w:rsidRDefault="00165357">
            <w:pPr>
              <w:pStyle w:val="051Tabletext228pt"/>
              <w:ind w:left="-57" w:right="-57"/>
              <w:rPr>
                <w:sz w:val="18"/>
                <w:szCs w:val="24"/>
              </w:rPr>
            </w:pPr>
            <w:r w:rsidRPr="00CC417D">
              <w:rPr>
                <w:sz w:val="18"/>
                <w:szCs w:val="24"/>
                <w:u w:val="single"/>
              </w:rPr>
              <w:t xml:space="preserve">Removal of TVT </w:t>
            </w:r>
            <w:proofErr w:type="gramStart"/>
            <w:r w:rsidRPr="00CC417D">
              <w:rPr>
                <w:sz w:val="18"/>
                <w:szCs w:val="24"/>
                <w:u w:val="single"/>
              </w:rPr>
              <w:t>high cost</w:t>
            </w:r>
            <w:proofErr w:type="gramEnd"/>
            <w:r w:rsidRPr="00CC417D">
              <w:rPr>
                <w:sz w:val="18"/>
                <w:szCs w:val="24"/>
                <w:u w:val="single"/>
              </w:rPr>
              <w:t xml:space="preserve"> outlier</w:t>
            </w:r>
            <w:r>
              <w:rPr>
                <w:sz w:val="18"/>
                <w:szCs w:val="24"/>
              </w:rPr>
              <w:t>:</w:t>
            </w:r>
            <w:r w:rsidRPr="00CC417D">
              <w:rPr>
                <w:sz w:val="18"/>
                <w:szCs w:val="24"/>
              </w:rPr>
              <w:t xml:space="preserve"> TOT remains dominant</w:t>
            </w:r>
          </w:p>
          <w:p w14:paraId="303A10FD" w14:textId="3BDAC5AE" w:rsidR="00165357" w:rsidRPr="007663DE" w:rsidRDefault="00165357">
            <w:pPr>
              <w:pStyle w:val="051Tabletext228pt"/>
              <w:ind w:left="-57" w:right="-57"/>
              <w:rPr>
                <w:sz w:val="18"/>
                <w:szCs w:val="24"/>
              </w:rPr>
            </w:pPr>
            <w:r w:rsidRPr="00CC417D">
              <w:rPr>
                <w:sz w:val="18"/>
                <w:szCs w:val="24"/>
                <w:u w:val="single"/>
              </w:rPr>
              <w:t>Analysis only of patients with complete data</w:t>
            </w:r>
            <w:r>
              <w:rPr>
                <w:sz w:val="18"/>
                <w:szCs w:val="24"/>
              </w:rPr>
              <w:t xml:space="preserve">: </w:t>
            </w:r>
            <w:r w:rsidRPr="00CC417D">
              <w:rPr>
                <w:sz w:val="18"/>
                <w:szCs w:val="24"/>
              </w:rPr>
              <w:t>TOT dominant, though less favourable</w:t>
            </w:r>
          </w:p>
        </w:tc>
        <w:tc>
          <w:tcPr>
            <w:tcW w:w="1268" w:type="dxa"/>
          </w:tcPr>
          <w:p w14:paraId="3EAA8C68" w14:textId="7F974EDC" w:rsidR="00165357" w:rsidRPr="007663DE" w:rsidRDefault="00165357">
            <w:pPr>
              <w:pStyle w:val="051Tabletext228pt"/>
              <w:ind w:left="-57" w:right="-57"/>
              <w:rPr>
                <w:sz w:val="18"/>
                <w:szCs w:val="24"/>
              </w:rPr>
            </w:pPr>
            <w:r w:rsidRPr="007663DE">
              <w:rPr>
                <w:sz w:val="18"/>
                <w:szCs w:val="24"/>
              </w:rPr>
              <w:t>TOT</w:t>
            </w:r>
            <w:r>
              <w:rPr>
                <w:sz w:val="18"/>
                <w:szCs w:val="24"/>
              </w:rPr>
              <w:t xml:space="preserve"> (</w:t>
            </w:r>
            <w:r w:rsidR="00B94BCF">
              <w:rPr>
                <w:sz w:val="18"/>
                <w:szCs w:val="24"/>
              </w:rPr>
              <w:t>TO-MUS</w:t>
            </w:r>
            <w:r>
              <w:rPr>
                <w:sz w:val="18"/>
                <w:szCs w:val="24"/>
              </w:rPr>
              <w:t>)</w:t>
            </w:r>
            <w:r w:rsidRPr="007663DE">
              <w:rPr>
                <w:sz w:val="18"/>
                <w:szCs w:val="24"/>
              </w:rPr>
              <w:t xml:space="preserve"> is </w:t>
            </w:r>
            <w:r>
              <w:rPr>
                <w:sz w:val="18"/>
                <w:szCs w:val="24"/>
              </w:rPr>
              <w:t xml:space="preserve">more </w:t>
            </w:r>
            <w:r w:rsidRPr="007663DE">
              <w:rPr>
                <w:sz w:val="18"/>
                <w:szCs w:val="24"/>
              </w:rPr>
              <w:t>cost effective</w:t>
            </w:r>
            <w:r>
              <w:rPr>
                <w:sz w:val="18"/>
                <w:szCs w:val="24"/>
              </w:rPr>
              <w:t xml:space="preserve"> than </w:t>
            </w:r>
            <w:r w:rsidRPr="007663DE">
              <w:rPr>
                <w:sz w:val="18"/>
                <w:szCs w:val="24"/>
              </w:rPr>
              <w:t>TVT</w:t>
            </w:r>
            <w:r>
              <w:rPr>
                <w:sz w:val="18"/>
                <w:szCs w:val="24"/>
              </w:rPr>
              <w:t xml:space="preserve"> (</w:t>
            </w:r>
            <w:r w:rsidR="00B94BCF">
              <w:rPr>
                <w:sz w:val="18"/>
                <w:szCs w:val="24"/>
              </w:rPr>
              <w:t>RP-MUS</w:t>
            </w:r>
            <w:r>
              <w:rPr>
                <w:sz w:val="18"/>
                <w:szCs w:val="24"/>
              </w:rPr>
              <w:t xml:space="preserve">) over 5 </w:t>
            </w:r>
            <w:proofErr w:type="spellStart"/>
            <w:r>
              <w:rPr>
                <w:sz w:val="18"/>
                <w:szCs w:val="24"/>
              </w:rPr>
              <w:t>yr</w:t>
            </w:r>
            <w:proofErr w:type="spellEnd"/>
          </w:p>
        </w:tc>
      </w:tr>
    </w:tbl>
    <w:p w14:paraId="3E22C557" w14:textId="6EC546C1" w:rsidR="00165357" w:rsidRPr="00B0485F" w:rsidRDefault="00841F77" w:rsidP="00165357">
      <w:pPr>
        <w:pStyle w:val="111Tablefootnoteslast-nostick8pt"/>
        <w:rPr>
          <w:lang w:val="en-AU"/>
        </w:rPr>
      </w:pPr>
      <w:r>
        <w:rPr>
          <w:lang w:val="en-AU"/>
        </w:rPr>
        <w:t xml:space="preserve">Abbreviations: </w:t>
      </w:r>
      <w:r w:rsidR="00165357">
        <w:rPr>
          <w:lang w:val="en-AU"/>
        </w:rPr>
        <w:t>CAD</w:t>
      </w:r>
      <w:r>
        <w:rPr>
          <w:lang w:val="en-AU"/>
        </w:rPr>
        <w:t>,</w:t>
      </w:r>
      <w:r w:rsidR="00165357">
        <w:rPr>
          <w:lang w:val="en-AU"/>
        </w:rPr>
        <w:t xml:space="preserve"> Canadian dollars; </w:t>
      </w:r>
      <w:r w:rsidR="00A161B3">
        <w:rPr>
          <w:lang w:val="en-AU"/>
        </w:rPr>
        <w:t>CEA, cost-effectiveness analysis;</w:t>
      </w:r>
      <w:r w:rsidR="000349BC">
        <w:rPr>
          <w:lang w:val="en-AU"/>
        </w:rPr>
        <w:t xml:space="preserve"> </w:t>
      </w:r>
      <w:r w:rsidR="00165357" w:rsidRPr="00B0485F">
        <w:rPr>
          <w:lang w:val="en-AU"/>
        </w:rPr>
        <w:t>CI</w:t>
      </w:r>
      <w:r>
        <w:rPr>
          <w:lang w:val="en-AU"/>
        </w:rPr>
        <w:t>,</w:t>
      </w:r>
      <w:r w:rsidR="00165357" w:rsidRPr="00B0485F">
        <w:rPr>
          <w:lang w:val="en-AU"/>
        </w:rPr>
        <w:t xml:space="preserve"> confidence interval; </w:t>
      </w:r>
      <w:r w:rsidR="00DF06D2">
        <w:rPr>
          <w:lang w:val="en-AU"/>
        </w:rPr>
        <w:t xml:space="preserve">CUA, cost-utility analysis; </w:t>
      </w:r>
      <w:r w:rsidR="00165357" w:rsidRPr="00B0485F">
        <w:rPr>
          <w:lang w:val="en-AU"/>
        </w:rPr>
        <w:t>ICER</w:t>
      </w:r>
      <w:r>
        <w:rPr>
          <w:lang w:val="en-AU"/>
        </w:rPr>
        <w:t>,</w:t>
      </w:r>
      <w:r w:rsidR="00165357" w:rsidRPr="00B0485F">
        <w:rPr>
          <w:lang w:val="en-AU"/>
        </w:rPr>
        <w:t xml:space="preserve"> incremental cost-effectiveness ratio; </w:t>
      </w:r>
      <w:r w:rsidR="003C0608">
        <w:rPr>
          <w:lang w:val="en-AU"/>
        </w:rPr>
        <w:t xml:space="preserve">QALY, quality-adjusted life year; </w:t>
      </w:r>
      <w:r w:rsidR="00AC386B">
        <w:rPr>
          <w:lang w:val="en-AU"/>
        </w:rPr>
        <w:t xml:space="preserve">RP-MUS, retropubic mid-urethral sling; </w:t>
      </w:r>
      <w:r w:rsidR="003F64F4">
        <w:rPr>
          <w:lang w:val="en-AU"/>
        </w:rPr>
        <w:t>SAE, serious adverse event;</w:t>
      </w:r>
      <w:r w:rsidR="00AC386B">
        <w:rPr>
          <w:lang w:val="en-AU"/>
        </w:rPr>
        <w:t xml:space="preserve"> </w:t>
      </w:r>
      <w:r w:rsidR="00AC386B" w:rsidRPr="00B0485F">
        <w:rPr>
          <w:lang w:val="en-AU"/>
        </w:rPr>
        <w:t>T</w:t>
      </w:r>
      <w:r w:rsidR="00AC386B">
        <w:rPr>
          <w:lang w:val="en-AU"/>
        </w:rPr>
        <w:t>O</w:t>
      </w:r>
      <w:r w:rsidR="00AC386B" w:rsidRPr="00B0485F">
        <w:rPr>
          <w:lang w:val="en-AU"/>
        </w:rPr>
        <w:t>-MUS</w:t>
      </w:r>
      <w:r w:rsidR="00AC386B">
        <w:rPr>
          <w:lang w:val="en-AU"/>
        </w:rPr>
        <w:t>,</w:t>
      </w:r>
      <w:r w:rsidR="00AC386B" w:rsidRPr="00B0485F">
        <w:rPr>
          <w:lang w:val="en-AU"/>
        </w:rPr>
        <w:t xml:space="preserve"> </w:t>
      </w:r>
      <w:proofErr w:type="spellStart"/>
      <w:r w:rsidR="00AC386B" w:rsidRPr="00B0485F">
        <w:rPr>
          <w:lang w:val="en-AU"/>
        </w:rPr>
        <w:t>transobturator</w:t>
      </w:r>
      <w:proofErr w:type="spellEnd"/>
      <w:r w:rsidR="00AC386B" w:rsidRPr="00B0485F">
        <w:rPr>
          <w:lang w:val="en-AU"/>
        </w:rPr>
        <w:t xml:space="preserve"> </w:t>
      </w:r>
      <w:r w:rsidR="00AC386B">
        <w:rPr>
          <w:lang w:val="en-AU"/>
        </w:rPr>
        <w:t>mid-urethral sling;</w:t>
      </w:r>
      <w:r w:rsidR="003F64F4">
        <w:rPr>
          <w:lang w:val="en-AU"/>
        </w:rPr>
        <w:t xml:space="preserve"> </w:t>
      </w:r>
      <w:r w:rsidR="00165357" w:rsidRPr="00B0485F">
        <w:rPr>
          <w:lang w:val="en-AU"/>
        </w:rPr>
        <w:t>TOT</w:t>
      </w:r>
      <w:r w:rsidR="00DF06D2">
        <w:rPr>
          <w:lang w:val="en-AU"/>
        </w:rPr>
        <w:t>,</w:t>
      </w:r>
      <w:r w:rsidR="00165357" w:rsidRPr="00B0485F">
        <w:rPr>
          <w:lang w:val="en-AU"/>
        </w:rPr>
        <w:t xml:space="preserve"> </w:t>
      </w:r>
      <w:proofErr w:type="spellStart"/>
      <w:r w:rsidR="00165357" w:rsidRPr="00B0485F">
        <w:rPr>
          <w:lang w:val="en-AU"/>
        </w:rPr>
        <w:t>transobturator</w:t>
      </w:r>
      <w:proofErr w:type="spellEnd"/>
      <w:r w:rsidR="00165357" w:rsidRPr="00B0485F">
        <w:rPr>
          <w:lang w:val="en-AU"/>
        </w:rPr>
        <w:t xml:space="preserve"> tape; TVT</w:t>
      </w:r>
      <w:r>
        <w:rPr>
          <w:lang w:val="en-AU"/>
        </w:rPr>
        <w:t>,</w:t>
      </w:r>
      <w:r w:rsidR="00165357" w:rsidRPr="00B0485F">
        <w:rPr>
          <w:lang w:val="en-AU"/>
        </w:rPr>
        <w:t xml:space="preserve"> tension-free vaginal tape.</w:t>
      </w:r>
    </w:p>
    <w:p w14:paraId="56F96A7A" w14:textId="7CF8EBE7" w:rsidR="00165357" w:rsidRDefault="00165357" w:rsidP="00165357">
      <w:pPr>
        <w:pStyle w:val="BodyText"/>
      </w:pPr>
      <w:r>
        <w:t xml:space="preserve">The primary cost-utility analysis indicated that </w:t>
      </w:r>
      <w:r w:rsidR="00841F77">
        <w:t>TO-MUS</w:t>
      </w:r>
      <w:r>
        <w:t xml:space="preserve"> was less costly and had slightly higher efficacy based on QALY gain (from 15D utility scores). The cost-effectiveness analysis, based on proportion of women with no SAEs, also showed </w:t>
      </w:r>
      <w:r w:rsidR="00B72FE1">
        <w:t>TO-MUS</w:t>
      </w:r>
      <w:r>
        <w:t xml:space="preserve"> was slightly more effective (with the same cost difference as for the </w:t>
      </w:r>
      <w:r w:rsidR="00F84CA2">
        <w:t xml:space="preserve">cost-utility </w:t>
      </w:r>
      <w:r>
        <w:t xml:space="preserve">analysis). </w:t>
      </w:r>
      <w:r w:rsidR="00B72FE1">
        <w:t>TO-MUS</w:t>
      </w:r>
      <w:r>
        <w:t xml:space="preserve"> remained dominant in the sensitivity analyses.</w:t>
      </w:r>
    </w:p>
    <w:p w14:paraId="3976BC49" w14:textId="6D83A3DE" w:rsidR="00165357" w:rsidRDefault="00165357" w:rsidP="00165357">
      <w:pPr>
        <w:pStyle w:val="BodyText"/>
      </w:pPr>
      <w:r>
        <w:t xml:space="preserve">The authors noted that the procedure and device costs for the two slings were essentially identical. The difference in healthcare costs was post-operative – costs for </w:t>
      </w:r>
      <w:r w:rsidR="005772B1">
        <w:t>R</w:t>
      </w:r>
      <w:r w:rsidR="00B72FE1">
        <w:t>P</w:t>
      </w:r>
      <w:r w:rsidR="005772B1">
        <w:t>-MUS</w:t>
      </w:r>
      <w:r>
        <w:t xml:space="preserve"> were higher over 5 years of follow-up for in-patient and out-patient services </w:t>
      </w:r>
      <w:proofErr w:type="gramStart"/>
      <w:r>
        <w:t>and also</w:t>
      </w:r>
      <w:proofErr w:type="gramEnd"/>
      <w:r>
        <w:t xml:space="preserve"> physician consultations. The authors did not comment on what events was driving these higher rates of health service use. It was </w:t>
      </w:r>
      <w:r w:rsidR="00441909">
        <w:t xml:space="preserve">not </w:t>
      </w:r>
      <w:r>
        <w:t xml:space="preserve">clear to what extent costs for treating complications were reflected in these figures. </w:t>
      </w:r>
      <w:r w:rsidR="000A623F">
        <w:t xml:space="preserve">Neither the incremental cost </w:t>
      </w:r>
      <w:r w:rsidR="00517ECF">
        <w:t>nor effect estimates were statistically significant.</w:t>
      </w:r>
    </w:p>
    <w:p w14:paraId="73CA698D" w14:textId="56575DE1" w:rsidR="002531DC" w:rsidRPr="00B0485F" w:rsidRDefault="000B56F4" w:rsidP="00F91AF8">
      <w:pPr>
        <w:pStyle w:val="Heading1"/>
      </w:pPr>
      <w:bookmarkStart w:id="144" w:name="_Toc165627843"/>
      <w:r w:rsidRPr="00B0485F">
        <w:lastRenderedPageBreak/>
        <w:t>Cost analysis</w:t>
      </w:r>
      <w:bookmarkEnd w:id="144"/>
    </w:p>
    <w:p w14:paraId="038750A7" w14:textId="747EED02" w:rsidR="00D84B20" w:rsidRPr="00B0485F" w:rsidRDefault="00D84B20" w:rsidP="00A90E90">
      <w:pPr>
        <w:pStyle w:val="BodyText"/>
      </w:pPr>
      <w:r w:rsidRPr="00B0485F">
        <w:t xml:space="preserve">The scope of this review included an analysis of the total cost of </w:t>
      </w:r>
      <w:r w:rsidR="00AA1754">
        <w:t>MUS</w:t>
      </w:r>
      <w:r w:rsidRPr="00B0485F">
        <w:t xml:space="preserve"> implantation for SUI in the Australian health care setting, including the cost of the device, implantation procedure and associated resource use.</w:t>
      </w:r>
      <w:r w:rsidR="00E05B47">
        <w:t xml:space="preserve"> </w:t>
      </w:r>
      <w:r w:rsidR="00E05B47" w:rsidRPr="007709C4">
        <w:rPr>
          <w:i/>
        </w:rPr>
        <w:t>Note the cost</w:t>
      </w:r>
      <w:r w:rsidR="00AD288D" w:rsidRPr="007709C4">
        <w:rPr>
          <w:i/>
        </w:rPr>
        <w:t xml:space="preserve"> information presented is only that </w:t>
      </w:r>
      <w:r w:rsidR="00E05B47" w:rsidRPr="007709C4">
        <w:rPr>
          <w:i/>
        </w:rPr>
        <w:t>associated with</w:t>
      </w:r>
      <w:r w:rsidR="00047C40" w:rsidRPr="007709C4">
        <w:rPr>
          <w:i/>
        </w:rPr>
        <w:t xml:space="preserve"> </w:t>
      </w:r>
      <w:r w:rsidR="00416F97">
        <w:rPr>
          <w:i/>
        </w:rPr>
        <w:t>MUS</w:t>
      </w:r>
      <w:r w:rsidR="00AD288D" w:rsidRPr="007709C4">
        <w:rPr>
          <w:i/>
        </w:rPr>
        <w:t xml:space="preserve"> use and is not comparative.</w:t>
      </w:r>
    </w:p>
    <w:p w14:paraId="51FFA4DA" w14:textId="55A85529" w:rsidR="00CB501F" w:rsidRPr="00B0485F" w:rsidRDefault="00951A02" w:rsidP="00A1742A">
      <w:pPr>
        <w:pStyle w:val="Heading2"/>
      </w:pPr>
      <w:bookmarkStart w:id="145" w:name="_Toc165627844"/>
      <w:r>
        <w:t>Procedure</w:t>
      </w:r>
      <w:r w:rsidRPr="00B0485F">
        <w:t xml:space="preserve"> </w:t>
      </w:r>
      <w:r w:rsidR="00A1742A" w:rsidRPr="00B0485F">
        <w:t>cost</w:t>
      </w:r>
      <w:r w:rsidR="001D58FC">
        <w:t xml:space="preserve"> of mid-</w:t>
      </w:r>
      <w:r w:rsidR="00E6229A">
        <w:t>urethral</w:t>
      </w:r>
      <w:r w:rsidR="001D58FC">
        <w:t xml:space="preserve"> sling implantation</w:t>
      </w:r>
      <w:bookmarkEnd w:id="145"/>
    </w:p>
    <w:p w14:paraId="5B5928CA" w14:textId="6F5E859D" w:rsidR="00CE5222" w:rsidRPr="00B0485F" w:rsidRDefault="008F24D3" w:rsidP="00CE5222">
      <w:pPr>
        <w:pStyle w:val="BodyText"/>
      </w:pPr>
      <w:r>
        <w:t xml:space="preserve">Healthcare resource </w:t>
      </w:r>
      <w:r w:rsidR="00FE7A9F">
        <w:t xml:space="preserve">costs for implantation of MUS are estimated in </w:t>
      </w:r>
      <w:r w:rsidR="00FE7A9F" w:rsidRPr="007D432E">
        <w:rPr>
          <w:b/>
          <w:bCs/>
        </w:rPr>
        <w:fldChar w:fldCharType="begin"/>
      </w:r>
      <w:r w:rsidR="00FE7A9F" w:rsidRPr="007D432E">
        <w:rPr>
          <w:b/>
          <w:bCs/>
        </w:rPr>
        <w:instrText xml:space="preserve"> REF _Ref132279750 \h </w:instrText>
      </w:r>
      <w:r w:rsidR="007D432E">
        <w:rPr>
          <w:b/>
          <w:bCs/>
        </w:rPr>
        <w:instrText xml:space="preserve"> \* MERGEFORMAT </w:instrText>
      </w:r>
      <w:r w:rsidR="00FE7A9F" w:rsidRPr="007D432E">
        <w:rPr>
          <w:b/>
          <w:bCs/>
        </w:rPr>
      </w:r>
      <w:r w:rsidR="00FE7A9F" w:rsidRPr="007D432E">
        <w:rPr>
          <w:b/>
          <w:bCs/>
        </w:rPr>
        <w:fldChar w:fldCharType="separate"/>
      </w:r>
      <w:r w:rsidR="007105D3" w:rsidRPr="007105D3">
        <w:rPr>
          <w:b/>
          <w:bCs/>
        </w:rPr>
        <w:t xml:space="preserve">Table </w:t>
      </w:r>
      <w:r w:rsidR="007105D3" w:rsidRPr="007105D3">
        <w:rPr>
          <w:b/>
          <w:bCs/>
          <w:noProof/>
        </w:rPr>
        <w:t>28</w:t>
      </w:r>
      <w:r w:rsidR="00FE7A9F" w:rsidRPr="007D432E">
        <w:rPr>
          <w:b/>
          <w:bCs/>
        </w:rPr>
        <w:fldChar w:fldCharType="end"/>
      </w:r>
      <w:r w:rsidR="00FE7A9F">
        <w:t>.</w:t>
      </w:r>
      <w:r w:rsidR="00CE5222" w:rsidRPr="00CE5222">
        <w:t xml:space="preserve"> </w:t>
      </w:r>
      <w:r w:rsidR="00CE5222">
        <w:t>C</w:t>
      </w:r>
      <w:r w:rsidR="00CE5222" w:rsidRPr="00B0485F">
        <w:t>osts can be considered as split between the following:</w:t>
      </w:r>
    </w:p>
    <w:p w14:paraId="067EBFE1" w14:textId="66673ECB" w:rsidR="00CE5222" w:rsidRPr="00B0485F" w:rsidRDefault="00CE5222" w:rsidP="00024EAE">
      <w:pPr>
        <w:pStyle w:val="BodyText"/>
        <w:numPr>
          <w:ilvl w:val="0"/>
          <w:numId w:val="30"/>
        </w:numPr>
        <w:spacing w:after="0"/>
      </w:pPr>
      <w:r>
        <w:t>c</w:t>
      </w:r>
      <w:r w:rsidRPr="00B0485F">
        <w:t xml:space="preserve">osts to the Commonwealth (PL benefit, any other </w:t>
      </w:r>
      <w:proofErr w:type="gramStart"/>
      <w:r w:rsidRPr="00B0485F">
        <w:t>MBS</w:t>
      </w:r>
      <w:proofErr w:type="gramEnd"/>
      <w:r w:rsidRPr="00B0485F">
        <w:t xml:space="preserve"> or </w:t>
      </w:r>
      <w:r w:rsidR="00740EDC">
        <w:t>Pharmaceutical Benefits Scheme (</w:t>
      </w:r>
      <w:r w:rsidRPr="00B0485F">
        <w:t>PBS</w:t>
      </w:r>
      <w:r w:rsidR="00740EDC">
        <w:t>)</w:t>
      </w:r>
      <w:r w:rsidRPr="00B0485F">
        <w:t xml:space="preserve"> benefit)</w:t>
      </w:r>
    </w:p>
    <w:p w14:paraId="4793BCD5" w14:textId="21E0E97C" w:rsidR="00CE5222" w:rsidRPr="00B0485F" w:rsidRDefault="00CE5222" w:rsidP="00024EAE">
      <w:pPr>
        <w:pStyle w:val="BodyText"/>
        <w:numPr>
          <w:ilvl w:val="0"/>
          <w:numId w:val="30"/>
        </w:numPr>
        <w:spacing w:after="0"/>
      </w:pPr>
      <w:r>
        <w:t>c</w:t>
      </w:r>
      <w:r w:rsidRPr="00B0485F">
        <w:t>osts to the States and Territories (</w:t>
      </w:r>
      <w:r w:rsidR="00AE51E5">
        <w:t xml:space="preserve">public </w:t>
      </w:r>
      <w:r w:rsidRPr="00B0485F">
        <w:t xml:space="preserve">hospital in-patient </w:t>
      </w:r>
      <w:r w:rsidR="0062074C">
        <w:t>services</w:t>
      </w:r>
      <w:r w:rsidR="00A95F14">
        <w:t>;</w:t>
      </w:r>
      <w:r w:rsidRPr="00B0485F">
        <w:t xml:space="preserve"> </w:t>
      </w:r>
      <w:r w:rsidR="009A0268">
        <w:t xml:space="preserve">unfunded </w:t>
      </w:r>
      <w:r w:rsidR="000A16FC">
        <w:t xml:space="preserve">out-patient </w:t>
      </w:r>
      <w:r w:rsidR="009A0268">
        <w:t>services</w:t>
      </w:r>
      <w:r w:rsidRPr="00B0485F">
        <w:t>)</w:t>
      </w:r>
    </w:p>
    <w:p w14:paraId="75B3FDCB" w14:textId="44575BBD" w:rsidR="008F24D3" w:rsidRDefault="00CE5222" w:rsidP="00610537">
      <w:pPr>
        <w:pStyle w:val="BodyText"/>
        <w:numPr>
          <w:ilvl w:val="0"/>
          <w:numId w:val="30"/>
        </w:numPr>
        <w:spacing w:after="200"/>
      </w:pPr>
      <w:r>
        <w:t>p</w:t>
      </w:r>
      <w:r w:rsidRPr="00B0485F">
        <w:t>rivate costs (</w:t>
      </w:r>
      <w:r w:rsidR="00AE51E5">
        <w:t xml:space="preserve">private </w:t>
      </w:r>
      <w:r w:rsidR="0042570B">
        <w:t>hospital in-patient services;</w:t>
      </w:r>
      <w:r w:rsidR="00ED4FED" w:rsidRPr="00B0485F">
        <w:t xml:space="preserve"> unfunded </w:t>
      </w:r>
      <w:r w:rsidR="00CC21FB">
        <w:t xml:space="preserve">out-patient </w:t>
      </w:r>
      <w:r w:rsidR="00ED4FED" w:rsidRPr="00B0485F">
        <w:t>services</w:t>
      </w:r>
      <w:r w:rsidR="00ED4FED">
        <w:t>;</w:t>
      </w:r>
      <w:r w:rsidR="0042570B">
        <w:t xml:space="preserve"> </w:t>
      </w:r>
      <w:r w:rsidRPr="00B0485F">
        <w:t>gap charges).</w:t>
      </w:r>
    </w:p>
    <w:p w14:paraId="33A234D1" w14:textId="27B04BDF" w:rsidR="00D82FAA" w:rsidRDefault="001A675C" w:rsidP="006B43FA">
      <w:r>
        <w:t xml:space="preserve">All </w:t>
      </w:r>
      <w:r w:rsidR="005D71A4">
        <w:t>MUS</w:t>
      </w:r>
      <w:r>
        <w:t xml:space="preserve"> currently listed on the PL </w:t>
      </w:r>
      <w:r w:rsidR="00DD2D2C">
        <w:t xml:space="preserve">are </w:t>
      </w:r>
      <w:r>
        <w:t xml:space="preserve">in </w:t>
      </w:r>
      <w:r w:rsidR="00206B1D">
        <w:t>sub-</w:t>
      </w:r>
      <w:r>
        <w:t xml:space="preserve">group </w:t>
      </w:r>
      <w:r w:rsidR="000435EC">
        <w:t xml:space="preserve">05.01.03.02 </w:t>
      </w:r>
      <w:r w:rsidR="00833BC2">
        <w:t>at a benefit of $822</w:t>
      </w:r>
      <w:r w:rsidR="001C6368">
        <w:t xml:space="preserve"> (</w:t>
      </w:r>
      <w:r w:rsidR="00C07664">
        <w:t xml:space="preserve">see </w:t>
      </w:r>
      <w:r w:rsidR="00EE760E" w:rsidRPr="00C07664">
        <w:rPr>
          <w:b/>
          <w:bCs/>
        </w:rPr>
        <w:fldChar w:fldCharType="begin"/>
      </w:r>
      <w:r w:rsidR="00EE760E" w:rsidRPr="00C07664">
        <w:rPr>
          <w:b/>
          <w:bCs/>
        </w:rPr>
        <w:instrText xml:space="preserve"> REF _Ref125720480 \h </w:instrText>
      </w:r>
      <w:r w:rsidR="00C07664">
        <w:rPr>
          <w:b/>
          <w:bCs/>
        </w:rPr>
        <w:instrText xml:space="preserve"> \* MERGEFORMAT </w:instrText>
      </w:r>
      <w:r w:rsidR="00EE760E" w:rsidRPr="00C07664">
        <w:rPr>
          <w:b/>
          <w:bCs/>
        </w:rPr>
      </w:r>
      <w:r w:rsidR="00EE760E" w:rsidRPr="00C07664">
        <w:rPr>
          <w:b/>
          <w:bCs/>
        </w:rPr>
        <w:fldChar w:fldCharType="separate"/>
      </w:r>
      <w:r w:rsidR="007105D3" w:rsidRPr="007105D3">
        <w:rPr>
          <w:b/>
          <w:bCs/>
        </w:rPr>
        <w:t xml:space="preserve">Table </w:t>
      </w:r>
      <w:r w:rsidR="007105D3" w:rsidRPr="007105D3">
        <w:rPr>
          <w:b/>
          <w:bCs/>
          <w:noProof/>
        </w:rPr>
        <w:t>2</w:t>
      </w:r>
      <w:r w:rsidR="00EE760E" w:rsidRPr="00C07664">
        <w:rPr>
          <w:b/>
          <w:bCs/>
        </w:rPr>
        <w:fldChar w:fldCharType="end"/>
      </w:r>
      <w:r w:rsidR="001C6368">
        <w:t>)</w:t>
      </w:r>
      <w:r w:rsidR="00833BC2">
        <w:t xml:space="preserve">. Following benchmarking by the </w:t>
      </w:r>
      <w:r w:rsidR="000128A2">
        <w:t>Independent Hospital Pricing Authority (IHPA)</w:t>
      </w:r>
      <w:r w:rsidR="0022015D">
        <w:t xml:space="preserve">, </w:t>
      </w:r>
      <w:r w:rsidR="00A86660">
        <w:t>a component of recent PL reforms,</w:t>
      </w:r>
      <w:r w:rsidR="0022015D">
        <w:t xml:space="preserve"> this benefit has remained unchanged </w:t>
      </w:r>
      <w:r w:rsidR="006379CE">
        <w:t xml:space="preserve">indicating there is </w:t>
      </w:r>
      <w:r w:rsidR="00104AE9">
        <w:t xml:space="preserve">no, or minimal difference, between the supplied </w:t>
      </w:r>
      <w:r w:rsidR="00A623DA">
        <w:t>price in the public system and the</w:t>
      </w:r>
      <w:r w:rsidR="008A56B9">
        <w:t xml:space="preserve"> listed benefit on the PL</w:t>
      </w:r>
      <w:r w:rsidR="0054627C">
        <w:rPr>
          <w:rStyle w:val="FootnoteReference"/>
        </w:rPr>
        <w:footnoteReference w:id="6"/>
      </w:r>
      <w:r w:rsidR="008A56B9">
        <w:t>.</w:t>
      </w:r>
      <w:r w:rsidR="00A623DA">
        <w:t xml:space="preserve"> </w:t>
      </w:r>
      <w:r w:rsidR="003C292D">
        <w:t xml:space="preserve">Note that </w:t>
      </w:r>
      <w:r w:rsidR="00A95117">
        <w:t xml:space="preserve">the PL benefit </w:t>
      </w:r>
      <w:r w:rsidR="00AF4F8A">
        <w:t xml:space="preserve">may </w:t>
      </w:r>
      <w:r w:rsidR="0012050F">
        <w:t>be used to set the supplied price and benchmarking should be considered in that context.</w:t>
      </w:r>
    </w:p>
    <w:p w14:paraId="032EAE95" w14:textId="144B3700" w:rsidR="00FE7A9F" w:rsidRDefault="00FE7A9F" w:rsidP="00FE7A9F">
      <w:pPr>
        <w:pStyle w:val="BodyText"/>
      </w:pPr>
      <w:r>
        <w:t>The MBS includes an item for MUS surgery</w:t>
      </w:r>
      <w:r w:rsidR="00735034">
        <w:t>,</w:t>
      </w:r>
      <w:r>
        <w:t xml:space="preserve"> which covers diagnostic cystoscopy necessary for the procedure (MBS item </w:t>
      </w:r>
      <w:r w:rsidRPr="00532B2F">
        <w:t>35599</w:t>
      </w:r>
      <w:r>
        <w:t xml:space="preserve">; fee $801.20). The Item </w:t>
      </w:r>
      <w:r w:rsidRPr="00532B2F">
        <w:t>35599</w:t>
      </w:r>
      <w:r>
        <w:t xml:space="preserve"> descriptor includes “(Anaes</w:t>
      </w:r>
      <w:r w:rsidR="00DB77EF">
        <w:t>.) (</w:t>
      </w:r>
      <w:r>
        <w:t xml:space="preserve">Assist.)” and so qualifies for further items to be co-claimed for an anaesthetist and an assistant surgeon. </w:t>
      </w:r>
      <w:r w:rsidR="004E488F">
        <w:t>For simplicity, MBS fees are cited without adjusting for patient co-payments, thus actual costs for most in-patient services or resources would be 75% of the fee assuming all are in-patients.</w:t>
      </w:r>
    </w:p>
    <w:p w14:paraId="24D5EF37" w14:textId="62C0562B" w:rsidR="002C614E" w:rsidRDefault="00167128" w:rsidP="002C614E">
      <w:pPr>
        <w:pStyle w:val="BodyText"/>
      </w:pPr>
      <w:r>
        <w:t xml:space="preserve">The hospital costs are estimated based on </w:t>
      </w:r>
      <w:r w:rsidR="00EA1C38" w:rsidRPr="00EA1C38">
        <w:t>Australian Refined Diagnosis Related Groups</w:t>
      </w:r>
      <w:r w:rsidR="00EA1C38">
        <w:t xml:space="preserve"> (</w:t>
      </w:r>
      <w:r>
        <w:t>AR</w:t>
      </w:r>
      <w:r w:rsidR="00AA31C9">
        <w:t>-</w:t>
      </w:r>
      <w:r>
        <w:t>DRG</w:t>
      </w:r>
      <w:r w:rsidR="00212B72">
        <w:t>)</w:t>
      </w:r>
      <w:r>
        <w:t xml:space="preserve"> </w:t>
      </w:r>
      <w:r w:rsidR="009D7708">
        <w:t>L07B, which is no</w:t>
      </w:r>
      <w:r w:rsidR="00043877">
        <w:t>t</w:t>
      </w:r>
      <w:r w:rsidR="009D7708">
        <w:t xml:space="preserve"> specific to MUS surgery and likely overestimates hospital costs as the average length of stay for this DRG is </w:t>
      </w:r>
      <w:r w:rsidR="00BE51D1">
        <w:t xml:space="preserve">1.3 days whereas most patients undergoing MUS surgery will be </w:t>
      </w:r>
      <w:r w:rsidR="001E1DF8">
        <w:t>discharged within 24 hours</w:t>
      </w:r>
      <w:r w:rsidR="00BE51D1">
        <w:t>.</w:t>
      </w:r>
      <w:r w:rsidR="00C172E1">
        <w:rPr>
          <w:rStyle w:val="FootnoteReference"/>
        </w:rPr>
        <w:footnoteReference w:id="7"/>
      </w:r>
      <w:r w:rsidR="00793425">
        <w:t xml:space="preserve"> </w:t>
      </w:r>
      <w:r w:rsidR="00BE0613">
        <w:t>However, s</w:t>
      </w:r>
      <w:r w:rsidR="002C614E">
        <w:t>ince PL benefits are only payable to patients whose procedures are paid for by private health insurance, the cost</w:t>
      </w:r>
      <w:r w:rsidR="00BE0613">
        <w:t xml:space="preserve"> estimates</w:t>
      </w:r>
      <w:r w:rsidR="002C614E">
        <w:t xml:space="preserve"> are for private patients in private hospitals only. For the small number of private patients in the public hospital system, costs for in-patients would be a cost to the State and Territory hospital system. </w:t>
      </w:r>
      <w:r w:rsidR="00CB204D">
        <w:t>Therefore, the hospital costs do not accrue to the Commonwealth.</w:t>
      </w:r>
    </w:p>
    <w:p w14:paraId="4BDB85C2" w14:textId="184B2E06" w:rsidR="00793935" w:rsidRDefault="000538E8" w:rsidP="00A90E90">
      <w:pPr>
        <w:pStyle w:val="BodyText"/>
      </w:pPr>
      <w:r>
        <w:t xml:space="preserve">Urodynamics and urinalysis have not been included </w:t>
      </w:r>
      <w:r w:rsidR="00F54547">
        <w:t>a</w:t>
      </w:r>
      <w:r>
        <w:t xml:space="preserve">s they are part of diagnostic work-up that would be undertaken as part of standard care for SUI patients regardless of the treatment option chosen. </w:t>
      </w:r>
      <w:r w:rsidR="00F54547">
        <w:t>T</w:t>
      </w:r>
      <w:r w:rsidR="0014681D">
        <w:t>he costs of</w:t>
      </w:r>
      <w:r w:rsidR="006E7A39">
        <w:t xml:space="preserve"> </w:t>
      </w:r>
      <w:r w:rsidR="003F1637">
        <w:t>consumables</w:t>
      </w:r>
      <w:r w:rsidR="00EC153F">
        <w:t xml:space="preserve"> </w:t>
      </w:r>
      <w:r w:rsidR="003F1637">
        <w:t>are not included</w:t>
      </w:r>
      <w:r w:rsidR="0014681D">
        <w:t xml:space="preserve"> (for example, incontinence pads</w:t>
      </w:r>
      <w:r w:rsidR="00F54547">
        <w:t xml:space="preserve">, </w:t>
      </w:r>
      <w:proofErr w:type="gramStart"/>
      <w:r w:rsidR="00F54547">
        <w:t>catheter</w:t>
      </w:r>
      <w:proofErr w:type="gramEnd"/>
      <w:r w:rsidR="00D02007">
        <w:t xml:space="preserve"> and urine bag</w:t>
      </w:r>
      <w:r w:rsidR="00CF45A6">
        <w:t>,</w:t>
      </w:r>
      <w:r w:rsidR="00D02007">
        <w:t xml:space="preserve"> etc</w:t>
      </w:r>
      <w:r w:rsidR="00CF45A6">
        <w:t>.</w:t>
      </w:r>
      <w:r w:rsidR="0014681D">
        <w:t>)</w:t>
      </w:r>
      <w:r w:rsidR="00A55FE1">
        <w:t>.</w:t>
      </w:r>
    </w:p>
    <w:p w14:paraId="1D62EE6F" w14:textId="56D47DFD" w:rsidR="00EF6BF2" w:rsidRDefault="00EF6BF2" w:rsidP="00EF6BF2">
      <w:pPr>
        <w:pStyle w:val="Caption"/>
      </w:pPr>
      <w:bookmarkStart w:id="146" w:name="_Ref132279750"/>
      <w:bookmarkStart w:id="147" w:name="_Toc165627896"/>
      <w:r w:rsidRPr="00B0485F">
        <w:lastRenderedPageBreak/>
        <w:t xml:space="preserve">Table </w:t>
      </w:r>
      <w:fldSimple w:instr=" SEQ Table \* ARABIC ">
        <w:r w:rsidR="007105D3">
          <w:rPr>
            <w:noProof/>
          </w:rPr>
          <w:t>28</w:t>
        </w:r>
      </w:fldSimple>
      <w:bookmarkEnd w:id="146"/>
      <w:r w:rsidRPr="00B0485F">
        <w:tab/>
      </w:r>
      <w:r>
        <w:t xml:space="preserve">Proposed </w:t>
      </w:r>
      <w:r w:rsidR="00E14E08">
        <w:t>MUS</w:t>
      </w:r>
      <w:r>
        <w:t xml:space="preserve"> procedure costs to the Commonwealth (private setting only)</w:t>
      </w:r>
      <w:bookmarkEnd w:id="147"/>
    </w:p>
    <w:tbl>
      <w:tblPr>
        <w:tblStyle w:val="TableGrid"/>
        <w:tblW w:w="0" w:type="auto"/>
        <w:tblLook w:val="04A0" w:firstRow="1" w:lastRow="0" w:firstColumn="1" w:lastColumn="0" w:noHBand="0" w:noVBand="1"/>
        <w:tblCaption w:val="Proposed mid-urethral sling procedure costs to the Commonwealth (private setting only)"/>
        <w:tblDescription w:val="This table shows the proposed mid-urethral sling procedure costs to the Commonwealth for private settings. The items costed are listed, including the provider, price per unit, quantity and source of information for each item. The total cost of mid-urethral sling placement per patient is provided. "/>
      </w:tblPr>
      <w:tblGrid>
        <w:gridCol w:w="3780"/>
        <w:gridCol w:w="1350"/>
        <w:gridCol w:w="1350"/>
        <w:gridCol w:w="990"/>
        <w:gridCol w:w="2168"/>
      </w:tblGrid>
      <w:tr w:rsidR="00CA3F8D" w:rsidRPr="00760C27" w14:paraId="3258F329" w14:textId="77777777" w:rsidTr="00463810">
        <w:trPr>
          <w:cnfStyle w:val="100000000000" w:firstRow="1" w:lastRow="0" w:firstColumn="0" w:lastColumn="0" w:oddVBand="0" w:evenVBand="0" w:oddHBand="0" w:evenHBand="0" w:firstRowFirstColumn="0" w:firstRowLastColumn="0" w:lastRowFirstColumn="0" w:lastRowLastColumn="0"/>
        </w:trPr>
        <w:tc>
          <w:tcPr>
            <w:tcW w:w="3780" w:type="dxa"/>
            <w:hideMark/>
          </w:tcPr>
          <w:p w14:paraId="2F4D6B98" w14:textId="77777777" w:rsidR="00760C27" w:rsidRPr="005D71A4" w:rsidRDefault="00760C27" w:rsidP="00CA3F8D">
            <w:pPr>
              <w:pStyle w:val="01TableHeading"/>
              <w:keepNext/>
              <w:rPr>
                <w:sz w:val="18"/>
                <w:szCs w:val="18"/>
              </w:rPr>
            </w:pPr>
            <w:r w:rsidRPr="005D71A4">
              <w:rPr>
                <w:sz w:val="18"/>
                <w:szCs w:val="18"/>
              </w:rPr>
              <w:t>Item</w:t>
            </w:r>
          </w:p>
        </w:tc>
        <w:tc>
          <w:tcPr>
            <w:tcW w:w="1350" w:type="dxa"/>
            <w:hideMark/>
          </w:tcPr>
          <w:p w14:paraId="48256C34" w14:textId="77777777" w:rsidR="00760C27" w:rsidRPr="005D71A4" w:rsidRDefault="00760C27" w:rsidP="00CA3F8D">
            <w:pPr>
              <w:pStyle w:val="01TableHeading"/>
              <w:keepNext/>
              <w:rPr>
                <w:sz w:val="18"/>
                <w:szCs w:val="18"/>
              </w:rPr>
            </w:pPr>
            <w:r w:rsidRPr="005D71A4">
              <w:rPr>
                <w:sz w:val="18"/>
                <w:szCs w:val="18"/>
              </w:rPr>
              <w:t>Provider</w:t>
            </w:r>
          </w:p>
        </w:tc>
        <w:tc>
          <w:tcPr>
            <w:tcW w:w="1350" w:type="dxa"/>
            <w:hideMark/>
          </w:tcPr>
          <w:p w14:paraId="5EB4D364" w14:textId="77777777" w:rsidR="00760C27" w:rsidRPr="005D71A4" w:rsidRDefault="00760C27" w:rsidP="00CA3F8D">
            <w:pPr>
              <w:pStyle w:val="01TableHeading"/>
              <w:keepNext/>
              <w:rPr>
                <w:sz w:val="18"/>
                <w:szCs w:val="18"/>
              </w:rPr>
            </w:pPr>
            <w:r w:rsidRPr="005D71A4">
              <w:rPr>
                <w:sz w:val="18"/>
                <w:szCs w:val="18"/>
              </w:rPr>
              <w:t>Price per unit</w:t>
            </w:r>
          </w:p>
        </w:tc>
        <w:tc>
          <w:tcPr>
            <w:tcW w:w="990" w:type="dxa"/>
            <w:hideMark/>
          </w:tcPr>
          <w:p w14:paraId="5A1E8EA0" w14:textId="77777777" w:rsidR="00760C27" w:rsidRPr="005D71A4" w:rsidRDefault="00760C27" w:rsidP="00CA3F8D">
            <w:pPr>
              <w:pStyle w:val="01TableHeading"/>
              <w:keepNext/>
              <w:rPr>
                <w:sz w:val="18"/>
                <w:szCs w:val="18"/>
              </w:rPr>
            </w:pPr>
            <w:r w:rsidRPr="005D71A4">
              <w:rPr>
                <w:sz w:val="18"/>
                <w:szCs w:val="18"/>
              </w:rPr>
              <w:t>Quantity</w:t>
            </w:r>
          </w:p>
        </w:tc>
        <w:tc>
          <w:tcPr>
            <w:tcW w:w="2168" w:type="dxa"/>
            <w:hideMark/>
          </w:tcPr>
          <w:p w14:paraId="61526E29" w14:textId="5C39A2E6" w:rsidR="00760C27" w:rsidRPr="005D71A4" w:rsidRDefault="00760C27" w:rsidP="00CA3F8D">
            <w:pPr>
              <w:pStyle w:val="01TableHeading"/>
              <w:keepNext/>
              <w:rPr>
                <w:sz w:val="18"/>
                <w:szCs w:val="18"/>
              </w:rPr>
            </w:pPr>
            <w:r w:rsidRPr="005D71A4">
              <w:rPr>
                <w:sz w:val="18"/>
                <w:szCs w:val="18"/>
              </w:rPr>
              <w:t>Source</w:t>
            </w:r>
          </w:p>
        </w:tc>
      </w:tr>
      <w:tr w:rsidR="00122D61" w:rsidRPr="00760C27" w14:paraId="3A53EB5D" w14:textId="77777777" w:rsidTr="00463810">
        <w:tc>
          <w:tcPr>
            <w:tcW w:w="3780" w:type="dxa"/>
            <w:shd w:val="clear" w:color="auto" w:fill="auto"/>
            <w:hideMark/>
          </w:tcPr>
          <w:p w14:paraId="197544B0" w14:textId="77777777" w:rsidR="00760C27" w:rsidRPr="005D71A4" w:rsidRDefault="00760C27" w:rsidP="00CA3F8D">
            <w:pPr>
              <w:pStyle w:val="031Tablesubheading8pt"/>
              <w:rPr>
                <w:sz w:val="18"/>
                <w:szCs w:val="18"/>
              </w:rPr>
            </w:pPr>
            <w:r w:rsidRPr="005D71A4">
              <w:rPr>
                <w:sz w:val="18"/>
                <w:szCs w:val="18"/>
              </w:rPr>
              <w:t>Prosthesis Cost</w:t>
            </w:r>
          </w:p>
        </w:tc>
        <w:tc>
          <w:tcPr>
            <w:tcW w:w="1350" w:type="dxa"/>
            <w:shd w:val="clear" w:color="auto" w:fill="auto"/>
            <w:hideMark/>
          </w:tcPr>
          <w:p w14:paraId="42D8D0C8"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1350" w:type="dxa"/>
            <w:shd w:val="clear" w:color="auto" w:fill="auto"/>
            <w:hideMark/>
          </w:tcPr>
          <w:p w14:paraId="12CE4F04"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990" w:type="dxa"/>
            <w:shd w:val="clear" w:color="auto" w:fill="auto"/>
            <w:hideMark/>
          </w:tcPr>
          <w:p w14:paraId="0FBA1570"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2168" w:type="dxa"/>
            <w:shd w:val="clear" w:color="auto" w:fill="auto"/>
            <w:hideMark/>
          </w:tcPr>
          <w:p w14:paraId="70D51A03"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r>
      <w:tr w:rsidR="00122D61" w:rsidRPr="00760C27" w14:paraId="6000584D" w14:textId="77777777" w:rsidTr="00463810">
        <w:tc>
          <w:tcPr>
            <w:tcW w:w="3780" w:type="dxa"/>
            <w:hideMark/>
          </w:tcPr>
          <w:p w14:paraId="40791571" w14:textId="54736C59" w:rsidR="00760C27" w:rsidRPr="005D71A4" w:rsidRDefault="00E14E08" w:rsidP="00CA3F8D">
            <w:pPr>
              <w:pStyle w:val="051Tabletext228pt"/>
              <w:keepNext/>
              <w:rPr>
                <w:sz w:val="18"/>
                <w:szCs w:val="18"/>
              </w:rPr>
            </w:pPr>
            <w:r w:rsidRPr="005D71A4">
              <w:rPr>
                <w:sz w:val="18"/>
                <w:szCs w:val="18"/>
              </w:rPr>
              <w:t xml:space="preserve">RP-MUS </w:t>
            </w:r>
            <w:r w:rsidR="00760C27" w:rsidRPr="005D71A4">
              <w:rPr>
                <w:sz w:val="18"/>
                <w:szCs w:val="18"/>
              </w:rPr>
              <w:t xml:space="preserve">or </w:t>
            </w:r>
            <w:r w:rsidRPr="005D71A4">
              <w:rPr>
                <w:sz w:val="18"/>
                <w:szCs w:val="18"/>
              </w:rPr>
              <w:t>TO</w:t>
            </w:r>
            <w:r w:rsidR="007B1BA8" w:rsidRPr="005D71A4">
              <w:rPr>
                <w:sz w:val="18"/>
                <w:szCs w:val="18"/>
              </w:rPr>
              <w:t>-MUS</w:t>
            </w:r>
          </w:p>
        </w:tc>
        <w:tc>
          <w:tcPr>
            <w:tcW w:w="1350" w:type="dxa"/>
            <w:hideMark/>
          </w:tcPr>
          <w:p w14:paraId="003874E9" w14:textId="77777777" w:rsidR="00760C27" w:rsidRPr="005D71A4" w:rsidRDefault="00760C27" w:rsidP="00CA3F8D">
            <w:pPr>
              <w:pStyle w:val="051Tabletext228pt"/>
              <w:keepNext/>
              <w:rPr>
                <w:sz w:val="18"/>
                <w:szCs w:val="18"/>
              </w:rPr>
            </w:pPr>
            <w:r w:rsidRPr="005D71A4">
              <w:rPr>
                <w:sz w:val="18"/>
                <w:szCs w:val="18"/>
              </w:rPr>
              <w:t>Prostheses</w:t>
            </w:r>
          </w:p>
        </w:tc>
        <w:tc>
          <w:tcPr>
            <w:tcW w:w="1350" w:type="dxa"/>
            <w:hideMark/>
          </w:tcPr>
          <w:p w14:paraId="10E9AE7E" w14:textId="77777777" w:rsidR="00760C27" w:rsidRPr="005D71A4" w:rsidRDefault="00760C27" w:rsidP="00CA3F8D">
            <w:pPr>
              <w:pStyle w:val="051Tabletext228pt"/>
              <w:keepNext/>
              <w:rPr>
                <w:sz w:val="18"/>
                <w:szCs w:val="18"/>
              </w:rPr>
            </w:pPr>
            <w:r w:rsidRPr="005D71A4">
              <w:rPr>
                <w:sz w:val="18"/>
                <w:szCs w:val="18"/>
              </w:rPr>
              <w:t>$822.00</w:t>
            </w:r>
          </w:p>
        </w:tc>
        <w:tc>
          <w:tcPr>
            <w:tcW w:w="990" w:type="dxa"/>
            <w:hideMark/>
          </w:tcPr>
          <w:p w14:paraId="6FD7D2D1"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45BF893A" w14:textId="0C8A452C" w:rsidR="00760C27" w:rsidRPr="005D71A4" w:rsidRDefault="00760C27" w:rsidP="00CA3F8D">
            <w:pPr>
              <w:pStyle w:val="051Tabletext228pt"/>
              <w:keepNext/>
              <w:rPr>
                <w:sz w:val="18"/>
                <w:szCs w:val="18"/>
              </w:rPr>
            </w:pPr>
            <w:r w:rsidRPr="005D71A4">
              <w:rPr>
                <w:sz w:val="18"/>
                <w:szCs w:val="18"/>
              </w:rPr>
              <w:t>PL Benefit (Group 05.01.03.02, March 2023)</w:t>
            </w:r>
          </w:p>
        </w:tc>
      </w:tr>
      <w:tr w:rsidR="00122D61" w:rsidRPr="00760C27" w14:paraId="55E9374C" w14:textId="77777777" w:rsidTr="00463810">
        <w:tc>
          <w:tcPr>
            <w:tcW w:w="3780" w:type="dxa"/>
            <w:hideMark/>
          </w:tcPr>
          <w:p w14:paraId="084860D6" w14:textId="77777777" w:rsidR="00760C27" w:rsidRPr="005D71A4" w:rsidRDefault="00760C27" w:rsidP="00CA3F8D">
            <w:pPr>
              <w:pStyle w:val="031Tablesubheading8pt"/>
              <w:rPr>
                <w:sz w:val="18"/>
                <w:szCs w:val="18"/>
              </w:rPr>
            </w:pPr>
            <w:r w:rsidRPr="005D71A4">
              <w:rPr>
                <w:sz w:val="18"/>
                <w:szCs w:val="18"/>
              </w:rPr>
              <w:t>Medical Services - pre-procedural screening</w:t>
            </w:r>
          </w:p>
        </w:tc>
        <w:tc>
          <w:tcPr>
            <w:tcW w:w="1350" w:type="dxa"/>
            <w:hideMark/>
          </w:tcPr>
          <w:p w14:paraId="5BB7A391"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1350" w:type="dxa"/>
            <w:hideMark/>
          </w:tcPr>
          <w:p w14:paraId="2F0AE9DD"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990" w:type="dxa"/>
            <w:hideMark/>
          </w:tcPr>
          <w:p w14:paraId="50BA843F"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2168" w:type="dxa"/>
            <w:hideMark/>
          </w:tcPr>
          <w:p w14:paraId="1E70513C"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r>
      <w:tr w:rsidR="00122D61" w:rsidRPr="00760C27" w14:paraId="12ECE0E0" w14:textId="77777777" w:rsidTr="00463810">
        <w:tc>
          <w:tcPr>
            <w:tcW w:w="3780" w:type="dxa"/>
            <w:hideMark/>
          </w:tcPr>
          <w:p w14:paraId="6EFB49E7" w14:textId="77777777" w:rsidR="00760C27" w:rsidRPr="005D71A4" w:rsidRDefault="00760C27" w:rsidP="00CA3F8D">
            <w:pPr>
              <w:pStyle w:val="051Tabletext228pt"/>
              <w:keepNext/>
              <w:rPr>
                <w:sz w:val="18"/>
                <w:szCs w:val="18"/>
              </w:rPr>
            </w:pPr>
            <w:r w:rsidRPr="005D71A4">
              <w:rPr>
                <w:sz w:val="18"/>
                <w:szCs w:val="18"/>
              </w:rPr>
              <w:t>Surgeon attendance - initial consult</w:t>
            </w:r>
          </w:p>
        </w:tc>
        <w:tc>
          <w:tcPr>
            <w:tcW w:w="1350" w:type="dxa"/>
            <w:hideMark/>
          </w:tcPr>
          <w:p w14:paraId="394F2751" w14:textId="77777777" w:rsidR="00760C27" w:rsidRPr="005D71A4" w:rsidRDefault="00760C27" w:rsidP="00CA3F8D">
            <w:pPr>
              <w:pStyle w:val="051Tabletext228pt"/>
              <w:keepNext/>
              <w:rPr>
                <w:sz w:val="18"/>
                <w:szCs w:val="18"/>
              </w:rPr>
            </w:pPr>
            <w:r w:rsidRPr="005D71A4">
              <w:rPr>
                <w:sz w:val="18"/>
                <w:szCs w:val="18"/>
              </w:rPr>
              <w:t xml:space="preserve">Specialist </w:t>
            </w:r>
          </w:p>
        </w:tc>
        <w:tc>
          <w:tcPr>
            <w:tcW w:w="1350" w:type="dxa"/>
            <w:hideMark/>
          </w:tcPr>
          <w:p w14:paraId="2CA426C5" w14:textId="77777777" w:rsidR="00760C27" w:rsidRPr="005D71A4" w:rsidRDefault="00760C27" w:rsidP="00CA3F8D">
            <w:pPr>
              <w:pStyle w:val="051Tabletext228pt"/>
              <w:keepNext/>
              <w:rPr>
                <w:sz w:val="18"/>
                <w:szCs w:val="18"/>
              </w:rPr>
            </w:pPr>
            <w:r w:rsidRPr="005D71A4">
              <w:rPr>
                <w:sz w:val="18"/>
                <w:szCs w:val="18"/>
              </w:rPr>
              <w:t>$91.80</w:t>
            </w:r>
          </w:p>
        </w:tc>
        <w:tc>
          <w:tcPr>
            <w:tcW w:w="990" w:type="dxa"/>
            <w:noWrap/>
            <w:hideMark/>
          </w:tcPr>
          <w:p w14:paraId="30700CF6"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55AE1873" w14:textId="77777777" w:rsidR="00760C27" w:rsidRPr="005D71A4" w:rsidRDefault="00760C27" w:rsidP="00CA3F8D">
            <w:pPr>
              <w:pStyle w:val="051Tabletext228pt"/>
              <w:keepNext/>
              <w:rPr>
                <w:sz w:val="18"/>
                <w:szCs w:val="18"/>
              </w:rPr>
            </w:pPr>
            <w:r w:rsidRPr="005D71A4">
              <w:rPr>
                <w:sz w:val="18"/>
                <w:szCs w:val="18"/>
              </w:rPr>
              <w:t>MBS # 104</w:t>
            </w:r>
          </w:p>
        </w:tc>
      </w:tr>
      <w:tr w:rsidR="00122D61" w:rsidRPr="00760C27" w14:paraId="36EE645F" w14:textId="77777777" w:rsidTr="00463810">
        <w:tc>
          <w:tcPr>
            <w:tcW w:w="3780" w:type="dxa"/>
            <w:hideMark/>
          </w:tcPr>
          <w:p w14:paraId="247BB6D6" w14:textId="77777777" w:rsidR="00760C27" w:rsidRPr="005D71A4" w:rsidRDefault="00760C27" w:rsidP="00CA3F8D">
            <w:pPr>
              <w:pStyle w:val="051Tabletext228pt"/>
              <w:keepNext/>
              <w:rPr>
                <w:sz w:val="18"/>
                <w:szCs w:val="18"/>
              </w:rPr>
            </w:pPr>
            <w:r w:rsidRPr="005D71A4">
              <w:rPr>
                <w:sz w:val="18"/>
                <w:szCs w:val="18"/>
              </w:rPr>
              <w:t>Urodynamic studies</w:t>
            </w:r>
          </w:p>
        </w:tc>
        <w:tc>
          <w:tcPr>
            <w:tcW w:w="1350" w:type="dxa"/>
            <w:hideMark/>
          </w:tcPr>
          <w:p w14:paraId="3921F1D4" w14:textId="77777777" w:rsidR="00760C27" w:rsidRPr="005D71A4" w:rsidRDefault="00760C27" w:rsidP="00CA3F8D">
            <w:pPr>
              <w:pStyle w:val="051Tabletext228pt"/>
              <w:keepNext/>
              <w:rPr>
                <w:sz w:val="18"/>
                <w:szCs w:val="18"/>
              </w:rPr>
            </w:pPr>
            <w:r w:rsidRPr="005D71A4">
              <w:rPr>
                <w:sz w:val="18"/>
                <w:szCs w:val="18"/>
              </w:rPr>
              <w:t xml:space="preserve">Specialist </w:t>
            </w:r>
          </w:p>
        </w:tc>
        <w:tc>
          <w:tcPr>
            <w:tcW w:w="1350" w:type="dxa"/>
            <w:hideMark/>
          </w:tcPr>
          <w:p w14:paraId="664733CC" w14:textId="77777777" w:rsidR="00760C27" w:rsidRPr="005D71A4" w:rsidRDefault="00760C27" w:rsidP="00CA3F8D">
            <w:pPr>
              <w:pStyle w:val="051Tabletext228pt"/>
              <w:keepNext/>
              <w:rPr>
                <w:sz w:val="18"/>
                <w:szCs w:val="18"/>
              </w:rPr>
            </w:pPr>
            <w:r w:rsidRPr="005D71A4">
              <w:rPr>
                <w:sz w:val="18"/>
                <w:szCs w:val="18"/>
              </w:rPr>
              <w:t>$452.90</w:t>
            </w:r>
          </w:p>
        </w:tc>
        <w:tc>
          <w:tcPr>
            <w:tcW w:w="990" w:type="dxa"/>
            <w:noWrap/>
            <w:hideMark/>
          </w:tcPr>
          <w:p w14:paraId="549AF485"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57A3833B" w14:textId="2CFA246D" w:rsidR="00760C27" w:rsidRPr="005D71A4" w:rsidRDefault="00760C27" w:rsidP="00CA3F8D">
            <w:pPr>
              <w:pStyle w:val="051Tabletext228pt"/>
              <w:keepNext/>
              <w:rPr>
                <w:sz w:val="18"/>
                <w:szCs w:val="18"/>
              </w:rPr>
            </w:pPr>
            <w:r w:rsidRPr="005D71A4">
              <w:rPr>
                <w:sz w:val="18"/>
                <w:szCs w:val="18"/>
              </w:rPr>
              <w:t>MBS #</w:t>
            </w:r>
            <w:r w:rsidR="00463810">
              <w:rPr>
                <w:sz w:val="18"/>
                <w:szCs w:val="18"/>
              </w:rPr>
              <w:t xml:space="preserve"> </w:t>
            </w:r>
            <w:r w:rsidRPr="005D71A4">
              <w:rPr>
                <w:sz w:val="18"/>
                <w:szCs w:val="18"/>
              </w:rPr>
              <w:t>11919</w:t>
            </w:r>
          </w:p>
        </w:tc>
      </w:tr>
      <w:tr w:rsidR="00122D61" w:rsidRPr="00760C27" w14:paraId="43947101" w14:textId="77777777" w:rsidTr="00463810">
        <w:tc>
          <w:tcPr>
            <w:tcW w:w="3780" w:type="dxa"/>
            <w:hideMark/>
          </w:tcPr>
          <w:p w14:paraId="728D669A" w14:textId="77777777" w:rsidR="00760C27" w:rsidRPr="005D71A4" w:rsidRDefault="00760C27" w:rsidP="00CA3F8D">
            <w:pPr>
              <w:pStyle w:val="031Tablesubheading8pt"/>
              <w:rPr>
                <w:sz w:val="18"/>
                <w:szCs w:val="18"/>
              </w:rPr>
            </w:pPr>
            <w:r w:rsidRPr="005D71A4">
              <w:rPr>
                <w:sz w:val="18"/>
                <w:szCs w:val="18"/>
              </w:rPr>
              <w:t>Medical Services - device placement</w:t>
            </w:r>
          </w:p>
        </w:tc>
        <w:tc>
          <w:tcPr>
            <w:tcW w:w="1350" w:type="dxa"/>
            <w:hideMark/>
          </w:tcPr>
          <w:p w14:paraId="35A616D6"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1350" w:type="dxa"/>
            <w:hideMark/>
          </w:tcPr>
          <w:p w14:paraId="3FC6D101"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990" w:type="dxa"/>
            <w:hideMark/>
          </w:tcPr>
          <w:p w14:paraId="494CF538"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2168" w:type="dxa"/>
            <w:hideMark/>
          </w:tcPr>
          <w:p w14:paraId="286847BA"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r>
      <w:tr w:rsidR="00122D61" w:rsidRPr="00760C27" w14:paraId="6177DE91" w14:textId="77777777" w:rsidTr="00463810">
        <w:tc>
          <w:tcPr>
            <w:tcW w:w="3780" w:type="dxa"/>
            <w:hideMark/>
          </w:tcPr>
          <w:p w14:paraId="30C00350" w14:textId="7072F517" w:rsidR="00760C27" w:rsidRPr="005D71A4" w:rsidRDefault="00766BC9" w:rsidP="00CA3F8D">
            <w:pPr>
              <w:pStyle w:val="051Tabletext228pt"/>
              <w:keepNext/>
              <w:rPr>
                <w:sz w:val="18"/>
                <w:szCs w:val="18"/>
              </w:rPr>
            </w:pPr>
            <w:r w:rsidRPr="005D71A4">
              <w:rPr>
                <w:sz w:val="18"/>
                <w:szCs w:val="18"/>
              </w:rPr>
              <w:t>MUS</w:t>
            </w:r>
            <w:r w:rsidR="00760C27" w:rsidRPr="005D71A4">
              <w:rPr>
                <w:sz w:val="18"/>
                <w:szCs w:val="18"/>
              </w:rPr>
              <w:t xml:space="preserve"> surgery and diagnostic cystoscopy</w:t>
            </w:r>
          </w:p>
        </w:tc>
        <w:tc>
          <w:tcPr>
            <w:tcW w:w="1350" w:type="dxa"/>
            <w:noWrap/>
            <w:hideMark/>
          </w:tcPr>
          <w:p w14:paraId="514BE6A2" w14:textId="77777777" w:rsidR="00760C27" w:rsidRPr="005D71A4" w:rsidRDefault="00760C27" w:rsidP="00CA3F8D">
            <w:pPr>
              <w:pStyle w:val="051Tabletext228pt"/>
              <w:keepNext/>
              <w:rPr>
                <w:sz w:val="18"/>
                <w:szCs w:val="18"/>
              </w:rPr>
            </w:pPr>
            <w:r w:rsidRPr="005D71A4">
              <w:rPr>
                <w:sz w:val="18"/>
                <w:szCs w:val="18"/>
              </w:rPr>
              <w:t xml:space="preserve">Specialist </w:t>
            </w:r>
          </w:p>
        </w:tc>
        <w:tc>
          <w:tcPr>
            <w:tcW w:w="1350" w:type="dxa"/>
            <w:hideMark/>
          </w:tcPr>
          <w:p w14:paraId="67DBB522" w14:textId="77777777" w:rsidR="00760C27" w:rsidRPr="005D71A4" w:rsidRDefault="00760C27" w:rsidP="00CA3F8D">
            <w:pPr>
              <w:pStyle w:val="051Tabletext228pt"/>
              <w:keepNext/>
              <w:rPr>
                <w:sz w:val="18"/>
                <w:szCs w:val="18"/>
              </w:rPr>
            </w:pPr>
            <w:r w:rsidRPr="005D71A4">
              <w:rPr>
                <w:sz w:val="18"/>
                <w:szCs w:val="18"/>
              </w:rPr>
              <w:t>$801.20</w:t>
            </w:r>
          </w:p>
        </w:tc>
        <w:tc>
          <w:tcPr>
            <w:tcW w:w="990" w:type="dxa"/>
            <w:hideMark/>
          </w:tcPr>
          <w:p w14:paraId="72C0C2D9"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67FFF571" w14:textId="77777777" w:rsidR="00760C27" w:rsidRPr="005D71A4" w:rsidRDefault="00760C27" w:rsidP="00CA3F8D">
            <w:pPr>
              <w:pStyle w:val="051Tabletext228pt"/>
              <w:keepNext/>
              <w:rPr>
                <w:sz w:val="18"/>
                <w:szCs w:val="18"/>
              </w:rPr>
            </w:pPr>
            <w:r w:rsidRPr="005D71A4">
              <w:rPr>
                <w:sz w:val="18"/>
                <w:szCs w:val="18"/>
              </w:rPr>
              <w:t>MBS # 35599</w:t>
            </w:r>
          </w:p>
        </w:tc>
      </w:tr>
      <w:tr w:rsidR="00122D61" w:rsidRPr="00760C27" w14:paraId="4A650A03" w14:textId="77777777" w:rsidTr="00463810">
        <w:tc>
          <w:tcPr>
            <w:tcW w:w="3780" w:type="dxa"/>
            <w:hideMark/>
          </w:tcPr>
          <w:p w14:paraId="4EA25DCE" w14:textId="77777777" w:rsidR="00760C27" w:rsidRPr="005D71A4" w:rsidRDefault="00760C27" w:rsidP="00CA3F8D">
            <w:pPr>
              <w:pStyle w:val="051Tabletext228pt"/>
              <w:keepNext/>
              <w:rPr>
                <w:sz w:val="18"/>
                <w:szCs w:val="18"/>
              </w:rPr>
            </w:pPr>
            <w:r w:rsidRPr="005D71A4">
              <w:rPr>
                <w:sz w:val="18"/>
                <w:szCs w:val="18"/>
              </w:rPr>
              <w:t>Assistant fee</w:t>
            </w:r>
          </w:p>
        </w:tc>
        <w:tc>
          <w:tcPr>
            <w:tcW w:w="1350" w:type="dxa"/>
            <w:hideMark/>
          </w:tcPr>
          <w:p w14:paraId="45F58EB6" w14:textId="77777777" w:rsidR="00760C27" w:rsidRPr="005D71A4" w:rsidRDefault="00760C27" w:rsidP="00CA3F8D">
            <w:pPr>
              <w:pStyle w:val="051Tabletext228pt"/>
              <w:keepNext/>
              <w:rPr>
                <w:sz w:val="18"/>
                <w:szCs w:val="18"/>
              </w:rPr>
            </w:pPr>
            <w:r w:rsidRPr="005D71A4">
              <w:rPr>
                <w:sz w:val="18"/>
                <w:szCs w:val="18"/>
              </w:rPr>
              <w:t>Surgical assistance</w:t>
            </w:r>
          </w:p>
        </w:tc>
        <w:tc>
          <w:tcPr>
            <w:tcW w:w="1350" w:type="dxa"/>
            <w:hideMark/>
          </w:tcPr>
          <w:p w14:paraId="7870C504" w14:textId="025A0F62" w:rsidR="00760C27" w:rsidRPr="005D71A4" w:rsidRDefault="00760C27" w:rsidP="00CA3F8D">
            <w:pPr>
              <w:pStyle w:val="051Tabletext228pt"/>
              <w:keepNext/>
              <w:rPr>
                <w:sz w:val="18"/>
                <w:szCs w:val="18"/>
              </w:rPr>
            </w:pPr>
            <w:r w:rsidRPr="005D71A4">
              <w:rPr>
                <w:sz w:val="18"/>
                <w:szCs w:val="18"/>
              </w:rPr>
              <w:t>$160.24</w:t>
            </w:r>
            <w:r w:rsidR="00915D24" w:rsidRPr="00915D24">
              <w:rPr>
                <w:sz w:val="18"/>
                <w:szCs w:val="18"/>
                <w:vertAlign w:val="superscript"/>
              </w:rPr>
              <w:t>1</w:t>
            </w:r>
          </w:p>
        </w:tc>
        <w:tc>
          <w:tcPr>
            <w:tcW w:w="990" w:type="dxa"/>
            <w:noWrap/>
            <w:hideMark/>
          </w:tcPr>
          <w:p w14:paraId="19430FAF"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3CBD6F56" w14:textId="77777777" w:rsidR="00760C27" w:rsidRPr="005D71A4" w:rsidRDefault="00760C27" w:rsidP="00CA3F8D">
            <w:pPr>
              <w:pStyle w:val="051Tabletext228pt"/>
              <w:keepNext/>
              <w:rPr>
                <w:sz w:val="18"/>
                <w:szCs w:val="18"/>
              </w:rPr>
            </w:pPr>
            <w:r w:rsidRPr="005D71A4">
              <w:rPr>
                <w:sz w:val="18"/>
                <w:szCs w:val="18"/>
              </w:rPr>
              <w:t>MBS # 51303 (1/5 of MBS # 35599)</w:t>
            </w:r>
          </w:p>
        </w:tc>
      </w:tr>
      <w:tr w:rsidR="00122D61" w:rsidRPr="00760C27" w14:paraId="32209D9A" w14:textId="77777777" w:rsidTr="00463810">
        <w:tc>
          <w:tcPr>
            <w:tcW w:w="3780" w:type="dxa"/>
            <w:hideMark/>
          </w:tcPr>
          <w:p w14:paraId="213DF1C7" w14:textId="77777777" w:rsidR="00760C27" w:rsidRPr="005D71A4" w:rsidRDefault="00760C27" w:rsidP="00CA3F8D">
            <w:pPr>
              <w:pStyle w:val="051Tabletext228pt"/>
              <w:keepNext/>
              <w:rPr>
                <w:sz w:val="18"/>
                <w:szCs w:val="18"/>
              </w:rPr>
            </w:pPr>
            <w:r w:rsidRPr="005D71A4">
              <w:rPr>
                <w:sz w:val="18"/>
                <w:szCs w:val="18"/>
              </w:rPr>
              <w:t>Pre-anaesthesia consult</w:t>
            </w:r>
          </w:p>
        </w:tc>
        <w:tc>
          <w:tcPr>
            <w:tcW w:w="1350" w:type="dxa"/>
            <w:hideMark/>
          </w:tcPr>
          <w:p w14:paraId="60712D37" w14:textId="77777777" w:rsidR="00760C27" w:rsidRPr="005D71A4" w:rsidRDefault="00760C27" w:rsidP="00CA3F8D">
            <w:pPr>
              <w:pStyle w:val="051Tabletext228pt"/>
              <w:keepNext/>
              <w:rPr>
                <w:sz w:val="18"/>
                <w:szCs w:val="18"/>
              </w:rPr>
            </w:pPr>
            <w:r w:rsidRPr="005D71A4">
              <w:rPr>
                <w:sz w:val="18"/>
                <w:szCs w:val="18"/>
              </w:rPr>
              <w:t>Anaesthetist</w:t>
            </w:r>
          </w:p>
        </w:tc>
        <w:tc>
          <w:tcPr>
            <w:tcW w:w="1350" w:type="dxa"/>
            <w:hideMark/>
          </w:tcPr>
          <w:p w14:paraId="70E09395" w14:textId="77777777" w:rsidR="00760C27" w:rsidRPr="005D71A4" w:rsidRDefault="00760C27" w:rsidP="00CA3F8D">
            <w:pPr>
              <w:pStyle w:val="051Tabletext228pt"/>
              <w:keepNext/>
              <w:rPr>
                <w:sz w:val="18"/>
                <w:szCs w:val="18"/>
              </w:rPr>
            </w:pPr>
            <w:r w:rsidRPr="005D71A4">
              <w:rPr>
                <w:sz w:val="18"/>
                <w:szCs w:val="18"/>
              </w:rPr>
              <w:t>$46.15</w:t>
            </w:r>
          </w:p>
        </w:tc>
        <w:tc>
          <w:tcPr>
            <w:tcW w:w="990" w:type="dxa"/>
            <w:noWrap/>
            <w:hideMark/>
          </w:tcPr>
          <w:p w14:paraId="728ABDF3"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4FA6192C" w14:textId="77777777" w:rsidR="00760C27" w:rsidRPr="005D71A4" w:rsidRDefault="00760C27" w:rsidP="00CA3F8D">
            <w:pPr>
              <w:pStyle w:val="051Tabletext228pt"/>
              <w:keepNext/>
              <w:rPr>
                <w:sz w:val="18"/>
                <w:szCs w:val="18"/>
              </w:rPr>
            </w:pPr>
            <w:r w:rsidRPr="005D71A4">
              <w:rPr>
                <w:sz w:val="18"/>
                <w:szCs w:val="18"/>
              </w:rPr>
              <w:t>MBS # 17610</w:t>
            </w:r>
          </w:p>
        </w:tc>
      </w:tr>
      <w:tr w:rsidR="00122D61" w:rsidRPr="00760C27" w14:paraId="56CED1CE" w14:textId="77777777" w:rsidTr="00463810">
        <w:tc>
          <w:tcPr>
            <w:tcW w:w="3780" w:type="dxa"/>
            <w:hideMark/>
          </w:tcPr>
          <w:p w14:paraId="284AF703" w14:textId="77777777" w:rsidR="00760C27" w:rsidRPr="005D71A4" w:rsidRDefault="00760C27" w:rsidP="00CA3F8D">
            <w:pPr>
              <w:pStyle w:val="051Tabletext228pt"/>
              <w:keepNext/>
              <w:rPr>
                <w:sz w:val="18"/>
                <w:szCs w:val="18"/>
              </w:rPr>
            </w:pPr>
            <w:r w:rsidRPr="005D71A4">
              <w:rPr>
                <w:sz w:val="18"/>
                <w:szCs w:val="18"/>
              </w:rPr>
              <w:t>Anaesthesia initiation - vaginal surgery</w:t>
            </w:r>
          </w:p>
        </w:tc>
        <w:tc>
          <w:tcPr>
            <w:tcW w:w="1350" w:type="dxa"/>
            <w:hideMark/>
          </w:tcPr>
          <w:p w14:paraId="5EF2EE4D" w14:textId="77777777" w:rsidR="00760C27" w:rsidRPr="005D71A4" w:rsidRDefault="00760C27" w:rsidP="00CA3F8D">
            <w:pPr>
              <w:pStyle w:val="051Tabletext228pt"/>
              <w:keepNext/>
              <w:rPr>
                <w:sz w:val="18"/>
                <w:szCs w:val="18"/>
              </w:rPr>
            </w:pPr>
            <w:r w:rsidRPr="005D71A4">
              <w:rPr>
                <w:sz w:val="18"/>
                <w:szCs w:val="18"/>
              </w:rPr>
              <w:t>Anaesthetist</w:t>
            </w:r>
          </w:p>
        </w:tc>
        <w:tc>
          <w:tcPr>
            <w:tcW w:w="1350" w:type="dxa"/>
            <w:hideMark/>
          </w:tcPr>
          <w:p w14:paraId="28ACF35D" w14:textId="77777777" w:rsidR="00760C27" w:rsidRPr="005D71A4" w:rsidRDefault="00760C27" w:rsidP="00CA3F8D">
            <w:pPr>
              <w:pStyle w:val="051Tabletext228pt"/>
              <w:keepNext/>
              <w:rPr>
                <w:sz w:val="18"/>
                <w:szCs w:val="18"/>
              </w:rPr>
            </w:pPr>
            <w:r w:rsidRPr="005D71A4">
              <w:rPr>
                <w:sz w:val="18"/>
                <w:szCs w:val="18"/>
              </w:rPr>
              <w:t>$104.75</w:t>
            </w:r>
          </w:p>
        </w:tc>
        <w:tc>
          <w:tcPr>
            <w:tcW w:w="990" w:type="dxa"/>
            <w:hideMark/>
          </w:tcPr>
          <w:p w14:paraId="0E010623"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58552DE7" w14:textId="77777777" w:rsidR="00760C27" w:rsidRPr="005D71A4" w:rsidRDefault="00760C27" w:rsidP="00CA3F8D">
            <w:pPr>
              <w:pStyle w:val="051Tabletext228pt"/>
              <w:keepNext/>
              <w:rPr>
                <w:sz w:val="18"/>
                <w:szCs w:val="18"/>
              </w:rPr>
            </w:pPr>
            <w:r w:rsidRPr="005D71A4">
              <w:rPr>
                <w:sz w:val="18"/>
                <w:szCs w:val="18"/>
              </w:rPr>
              <w:t>MBS # 20942</w:t>
            </w:r>
          </w:p>
        </w:tc>
      </w:tr>
      <w:tr w:rsidR="00122D61" w:rsidRPr="00760C27" w14:paraId="77926D39" w14:textId="77777777" w:rsidTr="00463810">
        <w:tc>
          <w:tcPr>
            <w:tcW w:w="3780" w:type="dxa"/>
            <w:hideMark/>
          </w:tcPr>
          <w:p w14:paraId="5753B256" w14:textId="77777777" w:rsidR="00760C27" w:rsidRPr="005D71A4" w:rsidRDefault="00760C27" w:rsidP="00CA3F8D">
            <w:pPr>
              <w:pStyle w:val="051Tabletext228pt"/>
              <w:keepNext/>
              <w:rPr>
                <w:sz w:val="18"/>
                <w:szCs w:val="18"/>
              </w:rPr>
            </w:pPr>
            <w:r w:rsidRPr="005D71A4">
              <w:rPr>
                <w:sz w:val="18"/>
                <w:szCs w:val="18"/>
              </w:rPr>
              <w:t>Anaesthesia perfusion time (45 mins - 1.0 hour)</w:t>
            </w:r>
          </w:p>
        </w:tc>
        <w:tc>
          <w:tcPr>
            <w:tcW w:w="1350" w:type="dxa"/>
            <w:hideMark/>
          </w:tcPr>
          <w:p w14:paraId="40ED79AA" w14:textId="77777777" w:rsidR="00760C27" w:rsidRPr="005D71A4" w:rsidRDefault="00760C27" w:rsidP="00CA3F8D">
            <w:pPr>
              <w:pStyle w:val="051Tabletext228pt"/>
              <w:keepNext/>
              <w:rPr>
                <w:sz w:val="18"/>
                <w:szCs w:val="18"/>
              </w:rPr>
            </w:pPr>
            <w:r w:rsidRPr="005D71A4">
              <w:rPr>
                <w:sz w:val="18"/>
                <w:szCs w:val="18"/>
              </w:rPr>
              <w:t>Anaesthetist</w:t>
            </w:r>
          </w:p>
        </w:tc>
        <w:tc>
          <w:tcPr>
            <w:tcW w:w="1350" w:type="dxa"/>
            <w:hideMark/>
          </w:tcPr>
          <w:p w14:paraId="7161423A" w14:textId="77777777" w:rsidR="00760C27" w:rsidRPr="005D71A4" w:rsidRDefault="00760C27" w:rsidP="00CA3F8D">
            <w:pPr>
              <w:pStyle w:val="051Tabletext228pt"/>
              <w:keepNext/>
              <w:rPr>
                <w:sz w:val="18"/>
                <w:szCs w:val="18"/>
              </w:rPr>
            </w:pPr>
            <w:r w:rsidRPr="005D71A4">
              <w:rPr>
                <w:sz w:val="18"/>
                <w:szCs w:val="18"/>
              </w:rPr>
              <w:t>$83.80</w:t>
            </w:r>
          </w:p>
        </w:tc>
        <w:tc>
          <w:tcPr>
            <w:tcW w:w="990" w:type="dxa"/>
            <w:noWrap/>
            <w:hideMark/>
          </w:tcPr>
          <w:p w14:paraId="3B36923F"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3795595F" w14:textId="77777777" w:rsidR="00760C27" w:rsidRPr="005D71A4" w:rsidRDefault="00760C27" w:rsidP="00CA3F8D">
            <w:pPr>
              <w:pStyle w:val="051Tabletext228pt"/>
              <w:keepNext/>
              <w:rPr>
                <w:sz w:val="18"/>
                <w:szCs w:val="18"/>
              </w:rPr>
            </w:pPr>
            <w:r w:rsidRPr="005D71A4">
              <w:rPr>
                <w:sz w:val="18"/>
                <w:szCs w:val="18"/>
              </w:rPr>
              <w:t>MBS # 23045</w:t>
            </w:r>
          </w:p>
        </w:tc>
      </w:tr>
      <w:tr w:rsidR="00122D61" w:rsidRPr="00760C27" w14:paraId="364F130C" w14:textId="77777777" w:rsidTr="00463810">
        <w:tc>
          <w:tcPr>
            <w:tcW w:w="3780" w:type="dxa"/>
            <w:hideMark/>
          </w:tcPr>
          <w:p w14:paraId="47750A22" w14:textId="77777777" w:rsidR="00760C27" w:rsidRPr="005D71A4" w:rsidRDefault="00760C27" w:rsidP="00CA3F8D">
            <w:pPr>
              <w:pStyle w:val="031Tablesubheading8pt"/>
              <w:rPr>
                <w:sz w:val="18"/>
                <w:szCs w:val="18"/>
              </w:rPr>
            </w:pPr>
            <w:r w:rsidRPr="005D71A4">
              <w:rPr>
                <w:sz w:val="18"/>
                <w:szCs w:val="18"/>
              </w:rPr>
              <w:t>Hospital Services</w:t>
            </w:r>
          </w:p>
        </w:tc>
        <w:tc>
          <w:tcPr>
            <w:tcW w:w="1350" w:type="dxa"/>
            <w:hideMark/>
          </w:tcPr>
          <w:p w14:paraId="70129FE0"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1350" w:type="dxa"/>
            <w:hideMark/>
          </w:tcPr>
          <w:p w14:paraId="158C594D"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990" w:type="dxa"/>
            <w:hideMark/>
          </w:tcPr>
          <w:p w14:paraId="444A9B71"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c>
          <w:tcPr>
            <w:tcW w:w="2168" w:type="dxa"/>
            <w:hideMark/>
          </w:tcPr>
          <w:p w14:paraId="7D3A07ED" w14:textId="77777777" w:rsidR="00760C27" w:rsidRPr="005D71A4" w:rsidRDefault="00760C27" w:rsidP="00CA3F8D">
            <w:pPr>
              <w:pStyle w:val="031Tablesubheading8pt"/>
              <w:rPr>
                <w:rFonts w:asciiTheme="minorHAnsi" w:hAnsiTheme="minorHAnsi" w:cstheme="minorHAnsi"/>
                <w:sz w:val="18"/>
                <w:szCs w:val="18"/>
              </w:rPr>
            </w:pPr>
            <w:r w:rsidRPr="005D71A4">
              <w:rPr>
                <w:rFonts w:asciiTheme="minorHAnsi" w:hAnsiTheme="minorHAnsi" w:cstheme="minorHAnsi"/>
                <w:sz w:val="18"/>
                <w:szCs w:val="18"/>
              </w:rPr>
              <w:t> </w:t>
            </w:r>
          </w:p>
        </w:tc>
      </w:tr>
      <w:tr w:rsidR="00122D61" w:rsidRPr="00760C27" w14:paraId="5774A122" w14:textId="77777777" w:rsidTr="00463810">
        <w:tc>
          <w:tcPr>
            <w:tcW w:w="3780" w:type="dxa"/>
            <w:hideMark/>
          </w:tcPr>
          <w:p w14:paraId="129A8842" w14:textId="77777777" w:rsidR="00760C27" w:rsidRPr="005D71A4" w:rsidRDefault="00760C27" w:rsidP="00CA3F8D">
            <w:pPr>
              <w:pStyle w:val="051Tabletext228pt"/>
              <w:keepNext/>
              <w:rPr>
                <w:sz w:val="18"/>
                <w:szCs w:val="18"/>
              </w:rPr>
            </w:pPr>
            <w:r w:rsidRPr="005D71A4">
              <w:rPr>
                <w:sz w:val="18"/>
                <w:szCs w:val="18"/>
              </w:rPr>
              <w:t>Other Transurethral Interventions, Minor Complexity</w:t>
            </w:r>
          </w:p>
        </w:tc>
        <w:tc>
          <w:tcPr>
            <w:tcW w:w="1350" w:type="dxa"/>
            <w:hideMark/>
          </w:tcPr>
          <w:p w14:paraId="4D69F7BC" w14:textId="77777777" w:rsidR="00760C27" w:rsidRPr="005D71A4" w:rsidRDefault="00760C27" w:rsidP="00CA3F8D">
            <w:pPr>
              <w:pStyle w:val="051Tabletext228pt"/>
              <w:keepNext/>
              <w:rPr>
                <w:sz w:val="18"/>
                <w:szCs w:val="18"/>
              </w:rPr>
            </w:pPr>
            <w:r w:rsidRPr="005D71A4">
              <w:rPr>
                <w:sz w:val="18"/>
                <w:szCs w:val="18"/>
              </w:rPr>
              <w:t>Hospital</w:t>
            </w:r>
          </w:p>
        </w:tc>
        <w:tc>
          <w:tcPr>
            <w:tcW w:w="1350" w:type="dxa"/>
            <w:hideMark/>
          </w:tcPr>
          <w:p w14:paraId="7551C421" w14:textId="2F8C654E" w:rsidR="00760C27" w:rsidRPr="005D71A4" w:rsidRDefault="009F5C69" w:rsidP="00CA3F8D">
            <w:pPr>
              <w:pStyle w:val="051Tabletext228pt"/>
              <w:keepNext/>
              <w:rPr>
                <w:sz w:val="18"/>
                <w:szCs w:val="18"/>
              </w:rPr>
            </w:pPr>
            <w:r>
              <w:rPr>
                <w:sz w:val="18"/>
                <w:szCs w:val="18"/>
              </w:rPr>
              <w:t>$</w:t>
            </w:r>
            <w:r w:rsidR="00A266D2">
              <w:rPr>
                <w:sz w:val="18"/>
                <w:szCs w:val="18"/>
              </w:rPr>
              <w:t>5,020</w:t>
            </w:r>
          </w:p>
        </w:tc>
        <w:tc>
          <w:tcPr>
            <w:tcW w:w="990" w:type="dxa"/>
            <w:hideMark/>
          </w:tcPr>
          <w:p w14:paraId="5CDE2836" w14:textId="77777777" w:rsidR="00760C27" w:rsidRPr="005D71A4" w:rsidRDefault="00760C27" w:rsidP="00CA3F8D">
            <w:pPr>
              <w:pStyle w:val="051Tabletext228pt"/>
              <w:keepNext/>
              <w:rPr>
                <w:sz w:val="18"/>
                <w:szCs w:val="18"/>
              </w:rPr>
            </w:pPr>
            <w:r w:rsidRPr="005D71A4">
              <w:rPr>
                <w:sz w:val="18"/>
                <w:szCs w:val="18"/>
              </w:rPr>
              <w:t>1</w:t>
            </w:r>
          </w:p>
        </w:tc>
        <w:tc>
          <w:tcPr>
            <w:tcW w:w="2168" w:type="dxa"/>
            <w:hideMark/>
          </w:tcPr>
          <w:p w14:paraId="51B99421" w14:textId="0CB3F7A8" w:rsidR="00760C27" w:rsidRPr="005D71A4" w:rsidRDefault="00760C27" w:rsidP="00CA3F8D">
            <w:pPr>
              <w:pStyle w:val="051Tabletext228pt"/>
              <w:keepNext/>
              <w:rPr>
                <w:sz w:val="18"/>
                <w:szCs w:val="18"/>
              </w:rPr>
            </w:pPr>
            <w:r w:rsidRPr="005D71A4">
              <w:rPr>
                <w:sz w:val="18"/>
                <w:szCs w:val="18"/>
              </w:rPr>
              <w:t>AR DRG L07B minus prostheses cost</w:t>
            </w:r>
            <w:r w:rsidR="00C61B72">
              <w:rPr>
                <w:sz w:val="18"/>
                <w:szCs w:val="18"/>
              </w:rPr>
              <w:t xml:space="preserve"> </w:t>
            </w:r>
            <w:r w:rsidR="009F5C69">
              <w:rPr>
                <w:sz w:val="18"/>
                <w:szCs w:val="18"/>
              </w:rPr>
              <w:t>(NHCDC Round 24, version 10.0)</w:t>
            </w:r>
          </w:p>
        </w:tc>
      </w:tr>
      <w:tr w:rsidR="00122D61" w:rsidRPr="00760C27" w14:paraId="27612FED" w14:textId="77777777" w:rsidTr="00463810">
        <w:tc>
          <w:tcPr>
            <w:tcW w:w="3780" w:type="dxa"/>
            <w:hideMark/>
          </w:tcPr>
          <w:p w14:paraId="30568BD1" w14:textId="05315537" w:rsidR="00760C27" w:rsidRPr="005D71A4" w:rsidRDefault="00760C27" w:rsidP="00CA3F8D">
            <w:pPr>
              <w:pStyle w:val="031Tablesubheading8pt"/>
              <w:rPr>
                <w:sz w:val="18"/>
                <w:szCs w:val="18"/>
              </w:rPr>
            </w:pPr>
            <w:r w:rsidRPr="005D71A4">
              <w:rPr>
                <w:sz w:val="18"/>
                <w:szCs w:val="18"/>
              </w:rPr>
              <w:t xml:space="preserve">Total cost of </w:t>
            </w:r>
            <w:r w:rsidR="00194231" w:rsidRPr="005D71A4">
              <w:rPr>
                <w:sz w:val="18"/>
                <w:szCs w:val="18"/>
              </w:rPr>
              <w:t>MUS</w:t>
            </w:r>
            <w:r w:rsidRPr="005D71A4">
              <w:rPr>
                <w:sz w:val="18"/>
                <w:szCs w:val="18"/>
              </w:rPr>
              <w:t xml:space="preserve"> placements per patient</w:t>
            </w:r>
          </w:p>
        </w:tc>
        <w:tc>
          <w:tcPr>
            <w:tcW w:w="1350" w:type="dxa"/>
            <w:hideMark/>
          </w:tcPr>
          <w:p w14:paraId="033E8B13" w14:textId="3855D3D3" w:rsidR="00760C27" w:rsidRPr="00131877" w:rsidRDefault="00131877" w:rsidP="00CA3F8D">
            <w:pPr>
              <w:pStyle w:val="031Tablesubheading8pt"/>
              <w:rPr>
                <w:b w:val="0"/>
                <w:bCs/>
                <w:color w:val="FFFFFF" w:themeColor="background1"/>
                <w:sz w:val="18"/>
                <w:szCs w:val="18"/>
              </w:rPr>
            </w:pPr>
            <w:r>
              <w:rPr>
                <w:b w:val="0"/>
                <w:bCs/>
                <w:color w:val="FFFFFF" w:themeColor="background1"/>
                <w:sz w:val="18"/>
                <w:szCs w:val="18"/>
              </w:rPr>
              <w:t>-</w:t>
            </w:r>
          </w:p>
        </w:tc>
        <w:tc>
          <w:tcPr>
            <w:tcW w:w="1350" w:type="dxa"/>
            <w:hideMark/>
          </w:tcPr>
          <w:p w14:paraId="116A0995" w14:textId="606E89E3" w:rsidR="00760C27" w:rsidRPr="005D71A4" w:rsidRDefault="00760C27" w:rsidP="00CA3F8D">
            <w:pPr>
              <w:pStyle w:val="031Tablesubheading8pt"/>
              <w:rPr>
                <w:sz w:val="18"/>
                <w:szCs w:val="18"/>
              </w:rPr>
            </w:pPr>
            <w:r w:rsidRPr="005D71A4">
              <w:rPr>
                <w:sz w:val="18"/>
                <w:szCs w:val="18"/>
              </w:rPr>
              <w:t>$</w:t>
            </w:r>
            <w:r w:rsidR="00C215B0">
              <w:rPr>
                <w:sz w:val="18"/>
                <w:szCs w:val="18"/>
              </w:rPr>
              <w:t>7,582,84</w:t>
            </w:r>
          </w:p>
        </w:tc>
        <w:tc>
          <w:tcPr>
            <w:tcW w:w="990" w:type="dxa"/>
            <w:hideMark/>
          </w:tcPr>
          <w:p w14:paraId="2BFE5D05" w14:textId="4FAC0CC2" w:rsidR="00760C27" w:rsidRPr="00131877" w:rsidRDefault="00131877" w:rsidP="00CA3F8D">
            <w:pPr>
              <w:pStyle w:val="031Tablesubheading8pt"/>
              <w:rPr>
                <w:b w:val="0"/>
                <w:bCs/>
                <w:color w:val="FFFFFF" w:themeColor="background1"/>
                <w:sz w:val="18"/>
                <w:szCs w:val="18"/>
              </w:rPr>
            </w:pPr>
            <w:r>
              <w:rPr>
                <w:b w:val="0"/>
                <w:bCs/>
                <w:color w:val="FFFFFF" w:themeColor="background1"/>
                <w:sz w:val="18"/>
                <w:szCs w:val="18"/>
              </w:rPr>
              <w:t>-</w:t>
            </w:r>
          </w:p>
        </w:tc>
        <w:tc>
          <w:tcPr>
            <w:tcW w:w="2168" w:type="dxa"/>
            <w:hideMark/>
          </w:tcPr>
          <w:p w14:paraId="584342A9" w14:textId="167256C8" w:rsidR="00760C27" w:rsidRPr="00131877" w:rsidRDefault="00131877" w:rsidP="00CA3F8D">
            <w:pPr>
              <w:pStyle w:val="031Tablesubheading8pt"/>
              <w:rPr>
                <w:b w:val="0"/>
                <w:bCs/>
                <w:color w:val="FFFFFF" w:themeColor="background1"/>
                <w:sz w:val="18"/>
                <w:szCs w:val="18"/>
              </w:rPr>
            </w:pPr>
            <w:r>
              <w:rPr>
                <w:b w:val="0"/>
                <w:bCs/>
                <w:color w:val="FFFFFF" w:themeColor="background1"/>
                <w:sz w:val="18"/>
                <w:szCs w:val="18"/>
              </w:rPr>
              <w:t>-</w:t>
            </w:r>
          </w:p>
        </w:tc>
      </w:tr>
    </w:tbl>
    <w:p w14:paraId="22D51A7C" w14:textId="23F40EC5" w:rsidR="00B75819" w:rsidRDefault="00B75819" w:rsidP="00B75819">
      <w:pPr>
        <w:pStyle w:val="101Tablefootnotes8pt"/>
      </w:pPr>
      <w:r>
        <w:t xml:space="preserve">Abbreviations: </w:t>
      </w:r>
      <w:r w:rsidRPr="00BB2274">
        <w:t>h</w:t>
      </w:r>
      <w:r>
        <w:t>,</w:t>
      </w:r>
      <w:r w:rsidRPr="00BB2274">
        <w:t xml:space="preserve"> hour; MBS</w:t>
      </w:r>
      <w:r>
        <w:t>,</w:t>
      </w:r>
      <w:r w:rsidRPr="00BB2274">
        <w:t xml:space="preserve"> Medicare Benefits Schedule; </w:t>
      </w:r>
      <w:r w:rsidR="00AF2C3B">
        <w:t xml:space="preserve">NHCDC, National Hospital Cost Data Collection – Public; </w:t>
      </w:r>
      <w:r w:rsidRPr="00BB2274">
        <w:t>PL</w:t>
      </w:r>
      <w:r>
        <w:t>,</w:t>
      </w:r>
      <w:r w:rsidRPr="00BB2274">
        <w:t xml:space="preserve"> Prostheses List</w:t>
      </w:r>
      <w:r>
        <w:t xml:space="preserve">; RP-MUS, </w:t>
      </w:r>
      <w:r w:rsidRPr="00EC1E71">
        <w:t xml:space="preserve">retropubic </w:t>
      </w:r>
      <w:r>
        <w:t xml:space="preserve">mid-urethral sling; TO-MUS, </w:t>
      </w:r>
      <w:proofErr w:type="spellStart"/>
      <w:r w:rsidRPr="00505465">
        <w:t>transobturator</w:t>
      </w:r>
      <w:proofErr w:type="spellEnd"/>
      <w:r>
        <w:t xml:space="preserve"> mid-urethral sling</w:t>
      </w:r>
      <w:r w:rsidRPr="00BB2274">
        <w:t>.</w:t>
      </w:r>
    </w:p>
    <w:p w14:paraId="1C77D2AB" w14:textId="4A604F4C" w:rsidR="00EF6BF2" w:rsidRDefault="00BB421C" w:rsidP="00B75819">
      <w:pPr>
        <w:pStyle w:val="111Tablefootnoteslast-nostick8pt"/>
        <w:rPr>
          <w:lang w:val="en-AU"/>
        </w:rPr>
      </w:pPr>
      <w:r>
        <w:rPr>
          <w:vertAlign w:val="superscript"/>
        </w:rPr>
        <w:t>1</w:t>
      </w:r>
      <w:r w:rsidR="00EF6BF2" w:rsidRPr="00BB2274">
        <w:t xml:space="preserve"> </w:t>
      </w:r>
      <w:r w:rsidR="00EF6BF2">
        <w:t>This value has been calculated as i</w:t>
      </w:r>
      <w:r w:rsidR="00EF6BF2" w:rsidRPr="00BB2274">
        <w:t xml:space="preserve">tem 51303 provides for a fee at a fifth of the corresponding surgical procedure fee. </w:t>
      </w:r>
    </w:p>
    <w:p w14:paraId="4D417EBA" w14:textId="62BE961A" w:rsidR="0013793C" w:rsidRPr="00B0485F" w:rsidRDefault="00D1506B" w:rsidP="0013793C">
      <w:pPr>
        <w:pStyle w:val="BodyText"/>
      </w:pPr>
      <w:r>
        <w:t xml:space="preserve">Resource use items associated with </w:t>
      </w:r>
      <w:r w:rsidR="00FF6A17">
        <w:t>MUS</w:t>
      </w:r>
      <w:r>
        <w:t xml:space="preserve"> surgery are listed in </w:t>
      </w:r>
      <w:r w:rsidR="008D2B9B" w:rsidRPr="007A4EC6">
        <w:rPr>
          <w:b/>
          <w:bCs/>
        </w:rPr>
        <w:fldChar w:fldCharType="begin"/>
      </w:r>
      <w:r w:rsidR="008D2B9B" w:rsidRPr="007A4EC6">
        <w:rPr>
          <w:b/>
          <w:bCs/>
        </w:rPr>
        <w:instrText xml:space="preserve"> REF _Ref133497981 \h </w:instrText>
      </w:r>
      <w:r w:rsidR="007A4EC6">
        <w:rPr>
          <w:b/>
          <w:bCs/>
        </w:rPr>
        <w:instrText xml:space="preserve"> \* MERGEFORMAT </w:instrText>
      </w:r>
      <w:r w:rsidR="008D2B9B" w:rsidRPr="007A4EC6">
        <w:rPr>
          <w:b/>
          <w:bCs/>
        </w:rPr>
      </w:r>
      <w:r w:rsidR="008D2B9B" w:rsidRPr="007A4EC6">
        <w:rPr>
          <w:b/>
          <w:bCs/>
        </w:rPr>
        <w:fldChar w:fldCharType="separate"/>
      </w:r>
      <w:r w:rsidR="007105D3" w:rsidRPr="007105D3">
        <w:rPr>
          <w:b/>
          <w:bCs/>
          <w:szCs w:val="20"/>
        </w:rPr>
        <w:t xml:space="preserve">Table </w:t>
      </w:r>
      <w:r w:rsidR="007105D3" w:rsidRPr="007105D3">
        <w:rPr>
          <w:b/>
          <w:bCs/>
          <w:noProof/>
        </w:rPr>
        <w:t>29</w:t>
      </w:r>
      <w:r w:rsidR="008D2B9B" w:rsidRPr="007A4EC6">
        <w:rPr>
          <w:b/>
          <w:bCs/>
        </w:rPr>
        <w:fldChar w:fldCharType="end"/>
      </w:r>
      <w:r>
        <w:t xml:space="preserve">. </w:t>
      </w:r>
      <w:r w:rsidR="0013793C">
        <w:t>Medicines are only included where they would be dispensed on discharge as those for in-patients are not eligible for PBS scripts.</w:t>
      </w:r>
    </w:p>
    <w:p w14:paraId="64A785B4" w14:textId="133BEC92" w:rsidR="0013793C" w:rsidRPr="00AB4B21" w:rsidRDefault="0013793C" w:rsidP="0013793C">
      <w:pPr>
        <w:pStyle w:val="BodyText"/>
      </w:pPr>
      <w:proofErr w:type="gramStart"/>
      <w:r>
        <w:t>A number of</w:t>
      </w:r>
      <w:proofErr w:type="gramEnd"/>
      <w:r>
        <w:t xml:space="preserve"> the analgesics that may typically be prescribed for post operative pain after abdominal surgery are not listed on the PBS for this indication. Instead, these would be dispensed on discharge at the patient’s expense. For example, paracetamol, celecoxib, and oxycodone + naloxone (combination to manage constipation for those with abdominal pain) are not available on the PBS for this purpose. Diclofenac and oxycodone are listed</w:t>
      </w:r>
      <w:r w:rsidR="00023070">
        <w:t xml:space="preserve"> </w:t>
      </w:r>
      <w:r w:rsidR="00364338">
        <w:t xml:space="preserve">in </w:t>
      </w:r>
      <w:r w:rsidR="00364338" w:rsidRPr="00364338">
        <w:rPr>
          <w:b/>
          <w:bCs/>
        </w:rPr>
        <w:fldChar w:fldCharType="begin"/>
      </w:r>
      <w:r w:rsidR="00364338" w:rsidRPr="00364338">
        <w:rPr>
          <w:b/>
          <w:bCs/>
        </w:rPr>
        <w:instrText xml:space="preserve"> REF _Ref133497981 \h </w:instrText>
      </w:r>
      <w:r w:rsidR="00364338">
        <w:rPr>
          <w:b/>
          <w:bCs/>
        </w:rPr>
        <w:instrText xml:space="preserve"> \* MERGEFORMAT </w:instrText>
      </w:r>
      <w:r w:rsidR="00364338" w:rsidRPr="00364338">
        <w:rPr>
          <w:b/>
          <w:bCs/>
        </w:rPr>
      </w:r>
      <w:r w:rsidR="00364338" w:rsidRPr="00364338">
        <w:rPr>
          <w:b/>
          <w:bCs/>
        </w:rPr>
        <w:fldChar w:fldCharType="separate"/>
      </w:r>
      <w:r w:rsidR="007105D3" w:rsidRPr="007105D3">
        <w:rPr>
          <w:b/>
          <w:bCs/>
          <w:szCs w:val="20"/>
        </w:rPr>
        <w:t xml:space="preserve">Table </w:t>
      </w:r>
      <w:r w:rsidR="007105D3" w:rsidRPr="007105D3">
        <w:rPr>
          <w:b/>
          <w:bCs/>
          <w:noProof/>
        </w:rPr>
        <w:t>29</w:t>
      </w:r>
      <w:r w:rsidR="00364338" w:rsidRPr="00364338">
        <w:rPr>
          <w:b/>
          <w:bCs/>
        </w:rPr>
        <w:fldChar w:fldCharType="end"/>
      </w:r>
      <w:r w:rsidR="00364338">
        <w:t xml:space="preserve"> </w:t>
      </w:r>
      <w:r>
        <w:t>for analgesia as indicative.</w:t>
      </w:r>
    </w:p>
    <w:p w14:paraId="09C125F5" w14:textId="57FB924B" w:rsidR="0013793C" w:rsidRDefault="0013793C" w:rsidP="0013793C">
      <w:pPr>
        <w:pStyle w:val="BodyText"/>
      </w:pPr>
      <w:r>
        <w:t xml:space="preserve">Costs arising from complications are only included for </w:t>
      </w:r>
      <w:r w:rsidR="00301D88">
        <w:t>urinary tract infections (</w:t>
      </w:r>
      <w:r>
        <w:t>UTIs</w:t>
      </w:r>
      <w:r w:rsidR="00301D88">
        <w:t>)</w:t>
      </w:r>
      <w:r>
        <w:t xml:space="preserve"> and mesh requiring removal. A full costing of adverse event treatment costs would rely on robust long-term safety data and could potentially include:</w:t>
      </w:r>
    </w:p>
    <w:p w14:paraId="51D9DA21" w14:textId="24E34CCE" w:rsidR="0013793C" w:rsidRDefault="0015185C" w:rsidP="0015185C">
      <w:pPr>
        <w:pStyle w:val="BodyText"/>
        <w:numPr>
          <w:ilvl w:val="0"/>
          <w:numId w:val="33"/>
        </w:numPr>
        <w:spacing w:after="0"/>
        <w:ind w:left="432"/>
      </w:pPr>
      <w:r>
        <w:t>l</w:t>
      </w:r>
      <w:r w:rsidR="0013793C">
        <w:t>ong-term pain</w:t>
      </w:r>
    </w:p>
    <w:p w14:paraId="2D9211AF" w14:textId="3F063C53" w:rsidR="0013793C" w:rsidRDefault="0015185C" w:rsidP="0015185C">
      <w:pPr>
        <w:pStyle w:val="BodyText"/>
        <w:numPr>
          <w:ilvl w:val="0"/>
          <w:numId w:val="33"/>
        </w:numPr>
        <w:spacing w:after="0"/>
        <w:ind w:left="432"/>
      </w:pPr>
      <w:r>
        <w:t>v</w:t>
      </w:r>
      <w:r w:rsidR="0013793C">
        <w:t>oiding difficulty</w:t>
      </w:r>
    </w:p>
    <w:p w14:paraId="57BD3D6A" w14:textId="4DA8BBEC" w:rsidR="0013793C" w:rsidRDefault="0013793C" w:rsidP="00713A63">
      <w:pPr>
        <w:pStyle w:val="BodyText"/>
        <w:numPr>
          <w:ilvl w:val="0"/>
          <w:numId w:val="33"/>
        </w:numPr>
        <w:ind w:left="426"/>
      </w:pPr>
      <w:r>
        <w:t>SUI requiring re-treatment</w:t>
      </w:r>
      <w:r w:rsidR="0015185C">
        <w:t>.</w:t>
      </w:r>
    </w:p>
    <w:p w14:paraId="23E344B8" w14:textId="42764786" w:rsidR="00D1506B" w:rsidRDefault="0013793C" w:rsidP="00D1506B">
      <w:pPr>
        <w:pStyle w:val="BodyText"/>
      </w:pPr>
      <w:r>
        <w:t>Cost of incontinence pads due to SUI not adequately managed by the sling procedure would be a cost to the patient.</w:t>
      </w:r>
    </w:p>
    <w:p w14:paraId="60D01092" w14:textId="3ECF08E7" w:rsidR="00D1506B" w:rsidRPr="00AF779D" w:rsidRDefault="00D1506B" w:rsidP="00926FB9">
      <w:pPr>
        <w:pStyle w:val="Caption"/>
        <w:rPr>
          <w:szCs w:val="20"/>
        </w:rPr>
      </w:pPr>
      <w:bookmarkStart w:id="148" w:name="_Ref133497981"/>
      <w:bookmarkStart w:id="149" w:name="_Toc165627897"/>
      <w:r w:rsidRPr="00AF779D">
        <w:rPr>
          <w:szCs w:val="20"/>
        </w:rPr>
        <w:lastRenderedPageBreak/>
        <w:t xml:space="preserve">Table </w:t>
      </w:r>
      <w:r w:rsidRPr="00AF779D">
        <w:rPr>
          <w:szCs w:val="20"/>
        </w:rPr>
        <w:fldChar w:fldCharType="begin"/>
      </w:r>
      <w:r>
        <w:instrText xml:space="preserve"> SEQ Table \* ARABIC </w:instrText>
      </w:r>
      <w:r w:rsidRPr="00AF779D">
        <w:rPr>
          <w:szCs w:val="20"/>
        </w:rPr>
        <w:fldChar w:fldCharType="separate"/>
      </w:r>
      <w:r w:rsidR="007105D3">
        <w:rPr>
          <w:noProof/>
        </w:rPr>
        <w:t>29</w:t>
      </w:r>
      <w:r w:rsidRPr="00AF779D">
        <w:rPr>
          <w:szCs w:val="20"/>
        </w:rPr>
        <w:fldChar w:fldCharType="end"/>
      </w:r>
      <w:bookmarkEnd w:id="148"/>
      <w:r w:rsidRPr="00AF779D">
        <w:rPr>
          <w:szCs w:val="20"/>
        </w:rPr>
        <w:tab/>
        <w:t>Resource use</w:t>
      </w:r>
      <w:r>
        <w:rPr>
          <w:szCs w:val="20"/>
        </w:rPr>
        <w:t xml:space="preserve"> and other costs to the Commonwealth for mid-urethral sling surgery</w:t>
      </w:r>
      <w:bookmarkEnd w:id="149"/>
    </w:p>
    <w:tbl>
      <w:tblPr>
        <w:tblStyle w:val="TableGrid"/>
        <w:tblW w:w="5000" w:type="pct"/>
        <w:tblLook w:val="04A0" w:firstRow="1" w:lastRow="0" w:firstColumn="1" w:lastColumn="0" w:noHBand="0" w:noVBand="1"/>
        <w:tblCaption w:val="Resource use and other costs to the Commonwealth for mid-urethral sling surgery"/>
        <w:tblDescription w:val="This table shows the resource use and other costs to the Commonwealth for mid-urethral sling surgery. The resources are listed, with the accompanying detail, unit price and source of information for each resource."/>
      </w:tblPr>
      <w:tblGrid>
        <w:gridCol w:w="2430"/>
        <w:gridCol w:w="4050"/>
        <w:gridCol w:w="1442"/>
        <w:gridCol w:w="1716"/>
      </w:tblGrid>
      <w:tr w:rsidR="00D1506B" w:rsidRPr="00B0485F" w14:paraId="2E1A8A22" w14:textId="77777777" w:rsidTr="009E1760">
        <w:trPr>
          <w:cnfStyle w:val="100000000000" w:firstRow="1" w:lastRow="0" w:firstColumn="0" w:lastColumn="0" w:oddVBand="0" w:evenVBand="0" w:oddHBand="0" w:evenHBand="0" w:firstRowFirstColumn="0" w:firstRowLastColumn="0" w:lastRowFirstColumn="0" w:lastRowLastColumn="0"/>
        </w:trPr>
        <w:tc>
          <w:tcPr>
            <w:tcW w:w="1261" w:type="pct"/>
          </w:tcPr>
          <w:p w14:paraId="2918A70E" w14:textId="77777777" w:rsidR="00D1506B" w:rsidRPr="005D71A4" w:rsidRDefault="00D1506B" w:rsidP="00926FB9">
            <w:pPr>
              <w:pStyle w:val="031Tablesubheading8pt"/>
              <w:rPr>
                <w:sz w:val="18"/>
                <w:szCs w:val="24"/>
              </w:rPr>
            </w:pPr>
            <w:r w:rsidRPr="005D71A4">
              <w:rPr>
                <w:sz w:val="18"/>
                <w:szCs w:val="24"/>
              </w:rPr>
              <w:t>Resource</w:t>
            </w:r>
          </w:p>
        </w:tc>
        <w:tc>
          <w:tcPr>
            <w:tcW w:w="2101" w:type="pct"/>
          </w:tcPr>
          <w:p w14:paraId="31CD7AC9" w14:textId="77777777" w:rsidR="00D1506B" w:rsidRPr="005D71A4" w:rsidRDefault="00D1506B" w:rsidP="00926FB9">
            <w:pPr>
              <w:pStyle w:val="031Tablesubheading8pt"/>
              <w:rPr>
                <w:sz w:val="18"/>
                <w:szCs w:val="24"/>
              </w:rPr>
            </w:pPr>
            <w:r w:rsidRPr="005D71A4">
              <w:rPr>
                <w:sz w:val="18"/>
                <w:szCs w:val="24"/>
              </w:rPr>
              <w:t>Detail</w:t>
            </w:r>
          </w:p>
        </w:tc>
        <w:tc>
          <w:tcPr>
            <w:tcW w:w="748" w:type="pct"/>
          </w:tcPr>
          <w:p w14:paraId="32EC3B6D" w14:textId="77777777" w:rsidR="00D1506B" w:rsidRPr="005D71A4" w:rsidRDefault="00D1506B" w:rsidP="00926FB9">
            <w:pPr>
              <w:pStyle w:val="031Tablesubheading8pt"/>
              <w:rPr>
                <w:sz w:val="18"/>
                <w:szCs w:val="24"/>
              </w:rPr>
            </w:pPr>
            <w:r w:rsidRPr="005D71A4">
              <w:rPr>
                <w:sz w:val="18"/>
                <w:szCs w:val="24"/>
              </w:rPr>
              <w:t>Unit Price</w:t>
            </w:r>
          </w:p>
        </w:tc>
        <w:tc>
          <w:tcPr>
            <w:tcW w:w="890" w:type="pct"/>
          </w:tcPr>
          <w:p w14:paraId="2BB0863D" w14:textId="77777777" w:rsidR="00D1506B" w:rsidRPr="005D71A4" w:rsidRDefault="00D1506B" w:rsidP="00926FB9">
            <w:pPr>
              <w:pStyle w:val="031Tablesubheading8pt"/>
              <w:rPr>
                <w:sz w:val="18"/>
                <w:szCs w:val="24"/>
              </w:rPr>
            </w:pPr>
            <w:r w:rsidRPr="005D71A4">
              <w:rPr>
                <w:sz w:val="18"/>
                <w:szCs w:val="24"/>
              </w:rPr>
              <w:t>Source</w:t>
            </w:r>
          </w:p>
        </w:tc>
      </w:tr>
      <w:tr w:rsidR="00D1506B" w:rsidRPr="00DF6EDA" w14:paraId="35EB33CF" w14:textId="77777777" w:rsidTr="00F94D14">
        <w:tc>
          <w:tcPr>
            <w:tcW w:w="1261" w:type="pct"/>
            <w:tcBorders>
              <w:bottom w:val="single" w:sz="4" w:space="0" w:color="auto"/>
            </w:tcBorders>
          </w:tcPr>
          <w:p w14:paraId="4B320820" w14:textId="77777777" w:rsidR="00D1506B" w:rsidRPr="005D71A4" w:rsidRDefault="00D1506B" w:rsidP="00926FB9">
            <w:pPr>
              <w:pStyle w:val="051Tabletext228pt"/>
              <w:keepNext/>
              <w:rPr>
                <w:sz w:val="18"/>
                <w:szCs w:val="18"/>
              </w:rPr>
            </w:pPr>
            <w:r w:rsidRPr="005D71A4">
              <w:rPr>
                <w:sz w:val="18"/>
                <w:szCs w:val="18"/>
              </w:rPr>
              <w:t>Post-operative analgesia</w:t>
            </w:r>
          </w:p>
        </w:tc>
        <w:tc>
          <w:tcPr>
            <w:tcW w:w="2101" w:type="pct"/>
          </w:tcPr>
          <w:p w14:paraId="596EA24B" w14:textId="77777777" w:rsidR="00D1506B" w:rsidRPr="005D71A4" w:rsidRDefault="00D1506B" w:rsidP="00926FB9">
            <w:pPr>
              <w:pStyle w:val="051Tabletext228pt"/>
              <w:keepNext/>
              <w:rPr>
                <w:sz w:val="18"/>
                <w:szCs w:val="18"/>
              </w:rPr>
            </w:pPr>
            <w:r w:rsidRPr="005D71A4">
              <w:rPr>
                <w:sz w:val="18"/>
                <w:szCs w:val="18"/>
              </w:rPr>
              <w:t>Diclofenac</w:t>
            </w:r>
          </w:p>
          <w:p w14:paraId="0454FBF4" w14:textId="77777777" w:rsidR="00D1506B" w:rsidRPr="005D71A4" w:rsidRDefault="00D1506B" w:rsidP="00926FB9">
            <w:pPr>
              <w:pStyle w:val="051Tabletext228pt"/>
              <w:keepNext/>
              <w:rPr>
                <w:sz w:val="18"/>
                <w:szCs w:val="18"/>
              </w:rPr>
            </w:pPr>
            <w:r w:rsidRPr="005D71A4">
              <w:rPr>
                <w:sz w:val="18"/>
                <w:szCs w:val="18"/>
              </w:rPr>
              <w:t>Oxycodone</w:t>
            </w:r>
          </w:p>
        </w:tc>
        <w:tc>
          <w:tcPr>
            <w:tcW w:w="748" w:type="pct"/>
          </w:tcPr>
          <w:p w14:paraId="4B5277E9" w14:textId="77777777" w:rsidR="00D1506B" w:rsidRPr="005D71A4" w:rsidRDefault="00D1506B" w:rsidP="00926FB9">
            <w:pPr>
              <w:pStyle w:val="051Tabletext228pt"/>
              <w:keepNext/>
              <w:rPr>
                <w:sz w:val="18"/>
                <w:szCs w:val="18"/>
              </w:rPr>
            </w:pPr>
            <w:r w:rsidRPr="005D71A4">
              <w:rPr>
                <w:rFonts w:cs="Calibri"/>
                <w:sz w:val="18"/>
                <w:szCs w:val="18"/>
                <w:vertAlign w:val="superscript"/>
              </w:rPr>
              <w:t>ⴕ</w:t>
            </w:r>
            <w:r w:rsidRPr="005D71A4">
              <w:rPr>
                <w:sz w:val="18"/>
                <w:szCs w:val="18"/>
              </w:rPr>
              <w:t xml:space="preserve"> $17.56</w:t>
            </w:r>
          </w:p>
          <w:p w14:paraId="35CF0F4B" w14:textId="77777777" w:rsidR="00D1506B" w:rsidRPr="005D71A4" w:rsidRDefault="00D1506B" w:rsidP="00926FB9">
            <w:pPr>
              <w:pStyle w:val="051Tabletext228pt"/>
              <w:keepNext/>
              <w:rPr>
                <w:sz w:val="18"/>
                <w:szCs w:val="18"/>
              </w:rPr>
            </w:pPr>
            <w:r w:rsidRPr="005D71A4">
              <w:rPr>
                <w:rFonts w:cs="Calibri"/>
                <w:sz w:val="18"/>
                <w:szCs w:val="18"/>
                <w:vertAlign w:val="superscript"/>
              </w:rPr>
              <w:t>ⴕ</w:t>
            </w:r>
            <w:r w:rsidRPr="005D71A4">
              <w:rPr>
                <w:sz w:val="18"/>
                <w:szCs w:val="18"/>
              </w:rPr>
              <w:t xml:space="preserve"> $21.31</w:t>
            </w:r>
          </w:p>
        </w:tc>
        <w:tc>
          <w:tcPr>
            <w:tcW w:w="890" w:type="pct"/>
          </w:tcPr>
          <w:p w14:paraId="638A8E6E" w14:textId="38D5CD78" w:rsidR="00D1506B" w:rsidRPr="005D71A4" w:rsidRDefault="005E3BBC" w:rsidP="00926FB9">
            <w:pPr>
              <w:pStyle w:val="051Tabletext228pt"/>
              <w:keepNext/>
              <w:rPr>
                <w:sz w:val="18"/>
                <w:szCs w:val="18"/>
              </w:rPr>
            </w:pPr>
            <w:r>
              <w:rPr>
                <w:sz w:val="18"/>
                <w:szCs w:val="18"/>
              </w:rPr>
              <w:t>e</w:t>
            </w:r>
            <w:r w:rsidR="00D1506B" w:rsidRPr="005D71A4">
              <w:rPr>
                <w:sz w:val="18"/>
                <w:szCs w:val="18"/>
              </w:rPr>
              <w:t>.g. PBS 1299J</w:t>
            </w:r>
          </w:p>
          <w:p w14:paraId="5586F82A" w14:textId="7D3855C6" w:rsidR="00D1506B" w:rsidRPr="005D71A4" w:rsidRDefault="005E3BBC" w:rsidP="00926FB9">
            <w:pPr>
              <w:pStyle w:val="051Tabletext228pt"/>
              <w:keepNext/>
              <w:rPr>
                <w:sz w:val="18"/>
                <w:szCs w:val="18"/>
              </w:rPr>
            </w:pPr>
            <w:r>
              <w:rPr>
                <w:sz w:val="18"/>
                <w:szCs w:val="18"/>
              </w:rPr>
              <w:t>e</w:t>
            </w:r>
            <w:r w:rsidR="00D1506B" w:rsidRPr="005D71A4">
              <w:rPr>
                <w:sz w:val="18"/>
                <w:szCs w:val="18"/>
              </w:rPr>
              <w:t>.g. PBS 12031F</w:t>
            </w:r>
          </w:p>
        </w:tc>
      </w:tr>
      <w:tr w:rsidR="00D1506B" w:rsidRPr="00DF6EDA" w14:paraId="5777871E" w14:textId="77777777" w:rsidTr="00F94D14">
        <w:tc>
          <w:tcPr>
            <w:tcW w:w="1261" w:type="pct"/>
            <w:tcBorders>
              <w:bottom w:val="nil"/>
            </w:tcBorders>
          </w:tcPr>
          <w:p w14:paraId="1B2F49CB" w14:textId="77777777" w:rsidR="00D1506B" w:rsidRPr="005D71A4" w:rsidRDefault="00D1506B" w:rsidP="00926FB9">
            <w:pPr>
              <w:pStyle w:val="051Tabletext228pt"/>
              <w:keepNext/>
              <w:rPr>
                <w:sz w:val="18"/>
                <w:szCs w:val="18"/>
                <w:highlight w:val="yellow"/>
              </w:rPr>
            </w:pPr>
            <w:r w:rsidRPr="005D71A4">
              <w:rPr>
                <w:sz w:val="18"/>
                <w:szCs w:val="18"/>
              </w:rPr>
              <w:t>UTI treatment</w:t>
            </w:r>
          </w:p>
        </w:tc>
        <w:tc>
          <w:tcPr>
            <w:tcW w:w="2101" w:type="pct"/>
          </w:tcPr>
          <w:p w14:paraId="002EB011" w14:textId="77777777" w:rsidR="00D1506B" w:rsidRPr="005D71A4" w:rsidRDefault="00D1506B" w:rsidP="00926FB9">
            <w:pPr>
              <w:pStyle w:val="051Tabletext228pt"/>
              <w:keepNext/>
              <w:rPr>
                <w:sz w:val="18"/>
                <w:szCs w:val="18"/>
                <w:highlight w:val="yellow"/>
              </w:rPr>
            </w:pPr>
            <w:r w:rsidRPr="005D71A4">
              <w:rPr>
                <w:rFonts w:asciiTheme="minorHAnsi" w:hAnsiTheme="minorHAnsi" w:cstheme="minorHAnsi"/>
                <w:sz w:val="18"/>
                <w:szCs w:val="18"/>
              </w:rPr>
              <w:t>Level B GP consult</w:t>
            </w:r>
          </w:p>
        </w:tc>
        <w:tc>
          <w:tcPr>
            <w:tcW w:w="748" w:type="pct"/>
          </w:tcPr>
          <w:p w14:paraId="1A251BF3" w14:textId="77777777" w:rsidR="00D1506B" w:rsidRPr="005D71A4" w:rsidRDefault="00D1506B" w:rsidP="00926FB9">
            <w:pPr>
              <w:pStyle w:val="051Tabletext228pt"/>
              <w:keepNext/>
              <w:rPr>
                <w:sz w:val="18"/>
                <w:szCs w:val="18"/>
                <w:highlight w:val="yellow"/>
              </w:rPr>
            </w:pPr>
            <w:r w:rsidRPr="005D71A4">
              <w:rPr>
                <w:rFonts w:asciiTheme="minorHAnsi" w:hAnsiTheme="minorHAnsi" w:cstheme="minorHAnsi"/>
                <w:sz w:val="18"/>
                <w:szCs w:val="18"/>
              </w:rPr>
              <w:t>$39.75</w:t>
            </w:r>
          </w:p>
        </w:tc>
        <w:tc>
          <w:tcPr>
            <w:tcW w:w="890" w:type="pct"/>
          </w:tcPr>
          <w:p w14:paraId="1CADED5B" w14:textId="77777777" w:rsidR="00D1506B" w:rsidRPr="005D71A4" w:rsidRDefault="00D1506B" w:rsidP="00926FB9">
            <w:pPr>
              <w:pStyle w:val="051Tabletext228pt"/>
              <w:keepNext/>
              <w:rPr>
                <w:sz w:val="18"/>
                <w:szCs w:val="18"/>
                <w:highlight w:val="yellow"/>
              </w:rPr>
            </w:pPr>
            <w:r w:rsidRPr="005D71A4">
              <w:rPr>
                <w:rFonts w:asciiTheme="minorHAnsi" w:hAnsiTheme="minorHAnsi" w:cstheme="minorHAnsi"/>
                <w:sz w:val="18"/>
                <w:szCs w:val="18"/>
              </w:rPr>
              <w:t>MBS # 23</w:t>
            </w:r>
          </w:p>
        </w:tc>
      </w:tr>
      <w:tr w:rsidR="00D1506B" w:rsidRPr="00DF6EDA" w14:paraId="05260DF8" w14:textId="77777777" w:rsidTr="00F94D14">
        <w:tc>
          <w:tcPr>
            <w:tcW w:w="1261" w:type="pct"/>
            <w:tcBorders>
              <w:top w:val="nil"/>
            </w:tcBorders>
          </w:tcPr>
          <w:p w14:paraId="1F876BC2" w14:textId="77777777" w:rsidR="00D1506B" w:rsidRPr="005D71A4" w:rsidRDefault="00D1506B" w:rsidP="00926FB9">
            <w:pPr>
              <w:pStyle w:val="051Tabletext228pt"/>
              <w:keepNext/>
              <w:rPr>
                <w:sz w:val="18"/>
                <w:szCs w:val="18"/>
              </w:rPr>
            </w:pPr>
          </w:p>
        </w:tc>
        <w:tc>
          <w:tcPr>
            <w:tcW w:w="2101" w:type="pct"/>
          </w:tcPr>
          <w:p w14:paraId="293DAD7F" w14:textId="77777777" w:rsidR="00D1506B" w:rsidRPr="005D71A4" w:rsidRDefault="00D1506B" w:rsidP="00926FB9">
            <w:pPr>
              <w:pStyle w:val="051Tabletext228pt"/>
              <w:keepNext/>
              <w:rPr>
                <w:sz w:val="18"/>
                <w:szCs w:val="18"/>
              </w:rPr>
            </w:pPr>
            <w:r w:rsidRPr="005D71A4">
              <w:rPr>
                <w:sz w:val="18"/>
                <w:szCs w:val="18"/>
              </w:rPr>
              <w:t>Oral antibiotics course:</w:t>
            </w:r>
            <w:r w:rsidRPr="005D71A4">
              <w:rPr>
                <w:sz w:val="18"/>
                <w:szCs w:val="18"/>
              </w:rPr>
              <w:br/>
              <w:t>Amoxicillin, or;</w:t>
            </w:r>
            <w:r w:rsidRPr="005D71A4">
              <w:rPr>
                <w:sz w:val="18"/>
                <w:szCs w:val="18"/>
              </w:rPr>
              <w:br/>
              <w:t xml:space="preserve">Amoxicillin/Clavulanic Acid </w:t>
            </w:r>
          </w:p>
        </w:tc>
        <w:tc>
          <w:tcPr>
            <w:tcW w:w="748" w:type="pct"/>
          </w:tcPr>
          <w:p w14:paraId="3E35A792" w14:textId="77777777" w:rsidR="00D1506B" w:rsidRPr="005D71A4" w:rsidRDefault="00D1506B" w:rsidP="00926FB9">
            <w:pPr>
              <w:pStyle w:val="051Tabletext228pt"/>
              <w:keepNext/>
              <w:rPr>
                <w:sz w:val="18"/>
                <w:szCs w:val="18"/>
              </w:rPr>
            </w:pPr>
            <w:r w:rsidRPr="005D71A4">
              <w:rPr>
                <w:sz w:val="18"/>
                <w:szCs w:val="18"/>
                <w:vertAlign w:val="superscript"/>
              </w:rPr>
              <w:t>ⴕ</w:t>
            </w:r>
            <w:r w:rsidRPr="005D71A4">
              <w:rPr>
                <w:sz w:val="18"/>
                <w:szCs w:val="18"/>
              </w:rPr>
              <w:t xml:space="preserve"> $14.85 </w:t>
            </w:r>
          </w:p>
          <w:p w14:paraId="2B6A5BFD" w14:textId="77777777" w:rsidR="00D1506B" w:rsidRPr="005D71A4" w:rsidRDefault="00D1506B" w:rsidP="00926FB9">
            <w:pPr>
              <w:pStyle w:val="051Tabletext228pt"/>
              <w:keepNext/>
              <w:rPr>
                <w:sz w:val="18"/>
                <w:szCs w:val="18"/>
              </w:rPr>
            </w:pPr>
            <w:r w:rsidRPr="005D71A4">
              <w:rPr>
                <w:sz w:val="18"/>
                <w:szCs w:val="18"/>
                <w:vertAlign w:val="superscript"/>
              </w:rPr>
              <w:t>ⴕ</w:t>
            </w:r>
            <w:r w:rsidRPr="005D71A4">
              <w:rPr>
                <w:sz w:val="18"/>
                <w:szCs w:val="18"/>
              </w:rPr>
              <w:t xml:space="preserve"> $18.76 </w:t>
            </w:r>
          </w:p>
        </w:tc>
        <w:tc>
          <w:tcPr>
            <w:tcW w:w="890" w:type="pct"/>
          </w:tcPr>
          <w:p w14:paraId="2A57CB7C" w14:textId="1FB79E50" w:rsidR="00D1506B" w:rsidRPr="005D71A4" w:rsidRDefault="00D1506B" w:rsidP="00926FB9">
            <w:pPr>
              <w:pStyle w:val="051Tabletext228pt"/>
              <w:keepNext/>
              <w:rPr>
                <w:sz w:val="18"/>
                <w:szCs w:val="18"/>
              </w:rPr>
            </w:pPr>
            <w:r w:rsidRPr="005D71A4">
              <w:rPr>
                <w:sz w:val="18"/>
                <w:szCs w:val="18"/>
              </w:rPr>
              <w:t>pbs.gov.au</w:t>
            </w:r>
            <w:r w:rsidRPr="005D71A4">
              <w:rPr>
                <w:sz w:val="18"/>
                <w:szCs w:val="18"/>
              </w:rPr>
              <w:br/>
            </w:r>
            <w:r w:rsidR="005E3BBC">
              <w:rPr>
                <w:rFonts w:asciiTheme="minorHAnsi" w:hAnsiTheme="minorHAnsi" w:cstheme="minorHAnsi"/>
                <w:sz w:val="18"/>
                <w:szCs w:val="18"/>
              </w:rPr>
              <w:t>e</w:t>
            </w:r>
            <w:r w:rsidRPr="005D71A4">
              <w:rPr>
                <w:rFonts w:asciiTheme="minorHAnsi" w:hAnsiTheme="minorHAnsi" w:cstheme="minorHAnsi"/>
                <w:sz w:val="18"/>
                <w:szCs w:val="18"/>
              </w:rPr>
              <w:t>.g. PBS 1884E</w:t>
            </w:r>
            <w:r w:rsidRPr="005D71A4">
              <w:rPr>
                <w:rFonts w:asciiTheme="minorHAnsi" w:hAnsiTheme="minorHAnsi" w:cstheme="minorHAnsi"/>
                <w:sz w:val="18"/>
                <w:szCs w:val="18"/>
              </w:rPr>
              <w:br/>
            </w:r>
            <w:r w:rsidR="005E3BBC">
              <w:rPr>
                <w:rFonts w:asciiTheme="minorHAnsi" w:hAnsiTheme="minorHAnsi" w:cstheme="minorHAnsi"/>
                <w:sz w:val="18"/>
                <w:szCs w:val="18"/>
              </w:rPr>
              <w:t>e</w:t>
            </w:r>
            <w:r w:rsidRPr="005D71A4">
              <w:rPr>
                <w:rFonts w:asciiTheme="minorHAnsi" w:hAnsiTheme="minorHAnsi" w:cstheme="minorHAnsi"/>
                <w:sz w:val="18"/>
                <w:szCs w:val="18"/>
              </w:rPr>
              <w:t>.g. PBS 11933C</w:t>
            </w:r>
          </w:p>
        </w:tc>
      </w:tr>
      <w:tr w:rsidR="00D1506B" w:rsidRPr="00DF6EDA" w14:paraId="1C3D319E" w14:textId="77777777" w:rsidTr="009E1760">
        <w:tc>
          <w:tcPr>
            <w:tcW w:w="1261" w:type="pct"/>
          </w:tcPr>
          <w:p w14:paraId="1FF2A63B" w14:textId="77777777" w:rsidR="00D1506B" w:rsidRPr="005D71A4" w:rsidRDefault="00D1506B" w:rsidP="00EA3816">
            <w:pPr>
              <w:pStyle w:val="051Tabletext228pt"/>
              <w:rPr>
                <w:sz w:val="18"/>
                <w:szCs w:val="18"/>
              </w:rPr>
            </w:pPr>
            <w:r w:rsidRPr="005D71A4">
              <w:rPr>
                <w:rFonts w:asciiTheme="minorHAnsi" w:hAnsiTheme="minorHAnsi" w:cstheme="minorHAnsi"/>
                <w:sz w:val="18"/>
                <w:szCs w:val="18"/>
              </w:rPr>
              <w:t>Re-operation</w:t>
            </w:r>
          </w:p>
        </w:tc>
        <w:tc>
          <w:tcPr>
            <w:tcW w:w="2101" w:type="pct"/>
          </w:tcPr>
          <w:p w14:paraId="3ADFF5AF" w14:textId="77777777" w:rsidR="00D1506B" w:rsidRPr="005D71A4" w:rsidRDefault="00D1506B" w:rsidP="00EA3816">
            <w:pPr>
              <w:pStyle w:val="051Tabletext228pt"/>
              <w:rPr>
                <w:rFonts w:asciiTheme="minorHAnsi" w:hAnsiTheme="minorHAnsi" w:cstheme="minorHAnsi"/>
                <w:sz w:val="18"/>
                <w:szCs w:val="18"/>
              </w:rPr>
            </w:pPr>
            <w:r w:rsidRPr="005D71A4">
              <w:rPr>
                <w:rFonts w:asciiTheme="minorHAnsi" w:hAnsiTheme="minorHAnsi" w:cstheme="minorHAnsi"/>
                <w:sz w:val="18"/>
                <w:szCs w:val="18"/>
              </w:rPr>
              <w:t>Synthetic sling removal</w:t>
            </w:r>
          </w:p>
          <w:p w14:paraId="3CE102A8" w14:textId="7B766540" w:rsidR="00D1506B" w:rsidRPr="005D71A4" w:rsidRDefault="00D1506B" w:rsidP="00EA3816">
            <w:pPr>
              <w:pStyle w:val="051Tabletext228pt"/>
              <w:rPr>
                <w:sz w:val="18"/>
                <w:szCs w:val="18"/>
              </w:rPr>
            </w:pPr>
            <w:r w:rsidRPr="005D71A4">
              <w:rPr>
                <w:rFonts w:asciiTheme="minorHAnsi" w:hAnsiTheme="minorHAnsi" w:cstheme="minorHAnsi"/>
                <w:sz w:val="18"/>
                <w:szCs w:val="18"/>
              </w:rPr>
              <w:t xml:space="preserve">(not including other costs as in </w:t>
            </w:r>
            <w:r w:rsidRPr="005D71A4">
              <w:rPr>
                <w:sz w:val="18"/>
                <w:szCs w:val="18"/>
              </w:rPr>
              <w:fldChar w:fldCharType="begin"/>
            </w:r>
            <w:r w:rsidRPr="005D71A4">
              <w:rPr>
                <w:sz w:val="18"/>
                <w:szCs w:val="18"/>
              </w:rPr>
              <w:instrText xml:space="preserve"> REF _Ref132279750 \h  \* MERGEFORMAT </w:instrText>
            </w:r>
            <w:r w:rsidRPr="005D71A4">
              <w:rPr>
                <w:sz w:val="18"/>
                <w:szCs w:val="18"/>
              </w:rPr>
            </w:r>
            <w:r w:rsidRPr="005D71A4">
              <w:rPr>
                <w:sz w:val="18"/>
                <w:szCs w:val="18"/>
              </w:rPr>
              <w:fldChar w:fldCharType="separate"/>
            </w:r>
            <w:r w:rsidR="007105D3" w:rsidRPr="007105D3">
              <w:rPr>
                <w:sz w:val="18"/>
                <w:szCs w:val="18"/>
              </w:rPr>
              <w:t xml:space="preserve">Table </w:t>
            </w:r>
            <w:r w:rsidR="007105D3" w:rsidRPr="007105D3">
              <w:rPr>
                <w:noProof/>
                <w:sz w:val="18"/>
                <w:szCs w:val="18"/>
              </w:rPr>
              <w:t>28</w:t>
            </w:r>
            <w:r w:rsidRPr="005D71A4">
              <w:rPr>
                <w:sz w:val="18"/>
                <w:szCs w:val="18"/>
              </w:rPr>
              <w:fldChar w:fldCharType="end"/>
            </w:r>
            <w:r w:rsidRPr="005D71A4">
              <w:rPr>
                <w:sz w:val="18"/>
                <w:szCs w:val="18"/>
              </w:rPr>
              <w:t xml:space="preserve"> for anaesthetist, assistant, specialist consult</w:t>
            </w:r>
            <w:r w:rsidR="004237EA">
              <w:rPr>
                <w:sz w:val="18"/>
                <w:szCs w:val="18"/>
              </w:rPr>
              <w:t>,</w:t>
            </w:r>
            <w:r w:rsidRPr="005D71A4">
              <w:rPr>
                <w:sz w:val="18"/>
                <w:szCs w:val="18"/>
              </w:rPr>
              <w:t xml:space="preserve"> etc</w:t>
            </w:r>
            <w:r w:rsidR="004237EA">
              <w:rPr>
                <w:sz w:val="18"/>
                <w:szCs w:val="18"/>
              </w:rPr>
              <w:t>.</w:t>
            </w:r>
            <w:r w:rsidRPr="005D71A4">
              <w:rPr>
                <w:sz w:val="18"/>
                <w:szCs w:val="18"/>
              </w:rPr>
              <w:t>)</w:t>
            </w:r>
          </w:p>
        </w:tc>
        <w:tc>
          <w:tcPr>
            <w:tcW w:w="748" w:type="pct"/>
          </w:tcPr>
          <w:p w14:paraId="1F2FB6D5" w14:textId="77777777" w:rsidR="00D1506B" w:rsidRPr="005D71A4" w:rsidRDefault="00D1506B" w:rsidP="00EA3816">
            <w:pPr>
              <w:pStyle w:val="051Tabletext228pt"/>
              <w:rPr>
                <w:sz w:val="18"/>
                <w:szCs w:val="18"/>
                <w:vertAlign w:val="superscript"/>
              </w:rPr>
            </w:pPr>
            <w:r w:rsidRPr="005D71A4">
              <w:rPr>
                <w:rFonts w:asciiTheme="minorHAnsi" w:hAnsiTheme="minorHAnsi" w:cstheme="minorHAnsi"/>
                <w:sz w:val="18"/>
                <w:szCs w:val="18"/>
              </w:rPr>
              <w:t>$963.40</w:t>
            </w:r>
          </w:p>
        </w:tc>
        <w:tc>
          <w:tcPr>
            <w:tcW w:w="890" w:type="pct"/>
          </w:tcPr>
          <w:p w14:paraId="0485CE04" w14:textId="77777777" w:rsidR="00D1506B" w:rsidRPr="005D71A4" w:rsidRDefault="00D1506B" w:rsidP="00EA3816">
            <w:pPr>
              <w:pStyle w:val="051Tabletext228pt"/>
              <w:rPr>
                <w:sz w:val="18"/>
                <w:szCs w:val="18"/>
              </w:rPr>
            </w:pPr>
            <w:r w:rsidRPr="005D71A4">
              <w:rPr>
                <w:rFonts w:asciiTheme="minorHAnsi" w:hAnsiTheme="minorHAnsi" w:cstheme="minorHAnsi"/>
                <w:sz w:val="18"/>
                <w:szCs w:val="18"/>
              </w:rPr>
              <w:t>MBS 37340</w:t>
            </w:r>
          </w:p>
        </w:tc>
      </w:tr>
    </w:tbl>
    <w:p w14:paraId="20FA0D09" w14:textId="77777777" w:rsidR="009E1760" w:rsidRDefault="009E1760" w:rsidP="009E1760">
      <w:pPr>
        <w:pStyle w:val="101Tablefootnotes8pt"/>
      </w:pPr>
      <w:r w:rsidRPr="005D71A4">
        <w:t>Abbreviations: DPMQ, dispensed price for maximum quantity; GP, general practitioner; MBS, Medicare Benefits Schedule; PBS, Pharmaceutical Benefits Scheme; UTI, urinary tract infection.</w:t>
      </w:r>
    </w:p>
    <w:p w14:paraId="72A53CC8" w14:textId="4EA2AF07" w:rsidR="00D1506B" w:rsidRPr="005D71A4" w:rsidRDefault="00D1506B" w:rsidP="005D71A4">
      <w:pPr>
        <w:pStyle w:val="111Tablefootnoteslast-nostick8pt"/>
      </w:pPr>
      <w:r w:rsidRPr="005D71A4">
        <w:t>ⴕ Cost is DPMQ. For both these antibiotic items</w:t>
      </w:r>
      <w:r w:rsidR="008851E7">
        <w:t>,</w:t>
      </w:r>
      <w:r w:rsidRPr="005D71A4">
        <w:t xml:space="preserve"> DPMQ is under the patient co-payment threshold ($30.00 for Financial Year 2022-2023) and does not represent a cost to the Commonwealth except for concessional and safety net patients.</w:t>
      </w:r>
    </w:p>
    <w:p w14:paraId="155C559D" w14:textId="05DB686B" w:rsidR="00C91523" w:rsidRPr="00B0485F" w:rsidRDefault="00213E1B" w:rsidP="00213E1B">
      <w:pPr>
        <w:pStyle w:val="Heading3"/>
      </w:pPr>
      <w:bookmarkStart w:id="150" w:name="_Toc165627845"/>
      <w:r>
        <w:t xml:space="preserve">Comparison </w:t>
      </w:r>
      <w:r w:rsidR="00E6229A">
        <w:t>with</w:t>
      </w:r>
      <w:r>
        <w:t xml:space="preserve"> </w:t>
      </w:r>
      <w:r w:rsidR="00E6229A">
        <w:t>international studies</w:t>
      </w:r>
      <w:bookmarkEnd w:id="150"/>
    </w:p>
    <w:p w14:paraId="4464BB67" w14:textId="7347FD3A" w:rsidR="00C91523" w:rsidRPr="00B0485F" w:rsidRDefault="00FD4578" w:rsidP="00C91523">
      <w:r>
        <w:t>L</w:t>
      </w:r>
      <w:r w:rsidR="00C91523">
        <w:t xml:space="preserve">ittle information is available regarding the current unit costs charged in other countries for MUS kits. Unit prices for mesh kits were available from a small number of US-based </w:t>
      </w:r>
      <w:proofErr w:type="gramStart"/>
      <w:r w:rsidR="00C91523">
        <w:t>low cost</w:t>
      </w:r>
      <w:proofErr w:type="gramEnd"/>
      <w:r w:rsidR="00C91523">
        <w:t xml:space="preserve"> supplier websites</w:t>
      </w:r>
      <w:r w:rsidR="00C91523" w:rsidRPr="00B0485F">
        <w:t xml:space="preserve"> </w:t>
      </w:r>
      <w:r w:rsidR="00C91523">
        <w:t>and are reproduced in</w:t>
      </w:r>
      <w:r w:rsidR="004A5864">
        <w:t xml:space="preserve"> </w:t>
      </w:r>
      <w:r w:rsidR="004A5864" w:rsidRPr="00524A02">
        <w:rPr>
          <w:b/>
          <w:bCs/>
        </w:rPr>
        <w:fldChar w:fldCharType="begin"/>
      </w:r>
      <w:r w:rsidR="004A5864" w:rsidRPr="00524A02">
        <w:rPr>
          <w:b/>
          <w:bCs/>
        </w:rPr>
        <w:instrText xml:space="preserve"> REF _Ref133498202 \h </w:instrText>
      </w:r>
      <w:r w:rsidR="00524A02">
        <w:rPr>
          <w:b/>
          <w:bCs/>
        </w:rPr>
        <w:instrText xml:space="preserve"> \* MERGEFORMAT </w:instrText>
      </w:r>
      <w:r w:rsidR="004A5864" w:rsidRPr="00524A02">
        <w:rPr>
          <w:b/>
          <w:bCs/>
        </w:rPr>
      </w:r>
      <w:r w:rsidR="004A5864" w:rsidRPr="00524A02">
        <w:rPr>
          <w:b/>
          <w:bCs/>
        </w:rPr>
        <w:fldChar w:fldCharType="separate"/>
      </w:r>
      <w:r w:rsidR="007105D3" w:rsidRPr="007105D3">
        <w:rPr>
          <w:b/>
          <w:bCs/>
        </w:rPr>
        <w:t xml:space="preserve">Table </w:t>
      </w:r>
      <w:r w:rsidR="007105D3" w:rsidRPr="007105D3">
        <w:rPr>
          <w:b/>
          <w:bCs/>
          <w:noProof/>
        </w:rPr>
        <w:t>30</w:t>
      </w:r>
      <w:r w:rsidR="004A5864" w:rsidRPr="00524A02">
        <w:rPr>
          <w:b/>
          <w:bCs/>
        </w:rPr>
        <w:fldChar w:fldCharType="end"/>
      </w:r>
      <w:r w:rsidR="00C91523">
        <w:t xml:space="preserve">. Given that prices are usually high in the US </w:t>
      </w:r>
      <w:r w:rsidR="00C91523" w:rsidRPr="00B0485F">
        <w:t>due to differences in health care systems</w:t>
      </w:r>
      <w:r w:rsidR="00C91523">
        <w:t>, these can be considered an upper bound of the likely range of prices for these devices outside Australia.</w:t>
      </w:r>
    </w:p>
    <w:p w14:paraId="67763F4C" w14:textId="7A0EEBA9" w:rsidR="00C91523" w:rsidRPr="00B0485F" w:rsidRDefault="00C91523" w:rsidP="00C91523">
      <w:pPr>
        <w:pStyle w:val="Caption"/>
      </w:pPr>
      <w:bookmarkStart w:id="151" w:name="_Ref133498202"/>
      <w:bookmarkStart w:id="152" w:name="_Toc165627898"/>
      <w:r w:rsidRPr="00B0485F">
        <w:t xml:space="preserve">Table </w:t>
      </w:r>
      <w:fldSimple w:instr=" SEQ Table \* ARABIC ">
        <w:r w:rsidR="007105D3">
          <w:rPr>
            <w:noProof/>
          </w:rPr>
          <w:t>30</w:t>
        </w:r>
      </w:fldSimple>
      <w:bookmarkEnd w:id="151"/>
      <w:r w:rsidRPr="00B0485F">
        <w:tab/>
        <w:t xml:space="preserve">Device </w:t>
      </w:r>
      <w:r>
        <w:t xml:space="preserve">unit </w:t>
      </w:r>
      <w:r w:rsidRPr="00B0485F">
        <w:t>costs outside Australia</w:t>
      </w:r>
      <w:r>
        <w:t xml:space="preserve"> – USA</w:t>
      </w:r>
      <w:bookmarkEnd w:id="152"/>
      <w:r>
        <w:t xml:space="preserve"> </w:t>
      </w:r>
    </w:p>
    <w:tbl>
      <w:tblPr>
        <w:tblStyle w:val="TableGrid"/>
        <w:tblW w:w="3529" w:type="pct"/>
        <w:tblInd w:w="1" w:type="dxa"/>
        <w:tblLook w:val="04A0" w:firstRow="1" w:lastRow="0" w:firstColumn="1" w:lastColumn="0" w:noHBand="0" w:noVBand="1"/>
        <w:tblCaption w:val="Device unit cost outside Australia - USA"/>
        <w:tblDescription w:val="This table shows the device unit cost in the USA. The type/brand of mid-urethral sling is presented along with the cost in US dollars. "/>
      </w:tblPr>
      <w:tblGrid>
        <w:gridCol w:w="3827"/>
        <w:gridCol w:w="2976"/>
      </w:tblGrid>
      <w:tr w:rsidR="00C91523" w:rsidRPr="00AB5738" w14:paraId="63DB57F3" w14:textId="77777777" w:rsidTr="00EA3816">
        <w:trPr>
          <w:cnfStyle w:val="100000000000" w:firstRow="1" w:lastRow="0" w:firstColumn="0" w:lastColumn="0" w:oddVBand="0" w:evenVBand="0" w:oddHBand="0" w:evenHBand="0" w:firstRowFirstColumn="0" w:firstRowLastColumn="0" w:lastRowFirstColumn="0" w:lastRowLastColumn="0"/>
        </w:trPr>
        <w:tc>
          <w:tcPr>
            <w:tcW w:w="2813" w:type="pct"/>
          </w:tcPr>
          <w:p w14:paraId="3E67417E" w14:textId="77777777" w:rsidR="00C91523" w:rsidRPr="005D71A4" w:rsidRDefault="00C91523" w:rsidP="00EA3816">
            <w:pPr>
              <w:pStyle w:val="011TableHeading8pt"/>
              <w:ind w:left="-57" w:right="-57"/>
              <w:rPr>
                <w:sz w:val="18"/>
                <w:szCs w:val="18"/>
              </w:rPr>
            </w:pPr>
            <w:r w:rsidRPr="005D71A4">
              <w:rPr>
                <w:sz w:val="18"/>
                <w:szCs w:val="18"/>
              </w:rPr>
              <w:t>Brand</w:t>
            </w:r>
          </w:p>
        </w:tc>
        <w:tc>
          <w:tcPr>
            <w:tcW w:w="2187" w:type="pct"/>
          </w:tcPr>
          <w:p w14:paraId="1A48546B" w14:textId="16DA5CB0" w:rsidR="00C91523" w:rsidRPr="005D71A4" w:rsidRDefault="00C91523" w:rsidP="00EA3816">
            <w:pPr>
              <w:pStyle w:val="011TableHeading8pt"/>
              <w:ind w:left="-57" w:right="-57"/>
              <w:rPr>
                <w:sz w:val="18"/>
                <w:szCs w:val="18"/>
              </w:rPr>
            </w:pPr>
            <w:r w:rsidRPr="005D71A4">
              <w:rPr>
                <w:sz w:val="18"/>
                <w:szCs w:val="18"/>
              </w:rPr>
              <w:t>USA (USD)</w:t>
            </w:r>
          </w:p>
        </w:tc>
      </w:tr>
      <w:tr w:rsidR="00C91523" w:rsidRPr="00AB5738" w14:paraId="57FCB535" w14:textId="77777777" w:rsidTr="00EA3816">
        <w:tc>
          <w:tcPr>
            <w:tcW w:w="2813" w:type="pct"/>
          </w:tcPr>
          <w:p w14:paraId="70C9DF43" w14:textId="77777777" w:rsidR="00C91523" w:rsidRPr="005D71A4" w:rsidRDefault="00C91523" w:rsidP="00EA3816">
            <w:pPr>
              <w:pStyle w:val="051Tabletext228pt"/>
              <w:ind w:left="-57" w:right="-57"/>
              <w:rPr>
                <w:sz w:val="18"/>
                <w:szCs w:val="18"/>
                <w:highlight w:val="yellow"/>
              </w:rPr>
            </w:pPr>
            <w:r w:rsidRPr="005D71A4">
              <w:rPr>
                <w:sz w:val="18"/>
                <w:szCs w:val="18"/>
              </w:rPr>
              <w:t xml:space="preserve">Advantage </w:t>
            </w:r>
          </w:p>
        </w:tc>
        <w:tc>
          <w:tcPr>
            <w:tcW w:w="2187" w:type="pct"/>
          </w:tcPr>
          <w:p w14:paraId="0B871351" w14:textId="77777777" w:rsidR="00C91523" w:rsidRPr="005D71A4" w:rsidRDefault="00C91523" w:rsidP="00EA3816">
            <w:pPr>
              <w:pStyle w:val="051Tabletext228pt"/>
              <w:ind w:left="-57" w:right="-57"/>
              <w:rPr>
                <w:sz w:val="18"/>
                <w:szCs w:val="18"/>
                <w:highlight w:val="yellow"/>
              </w:rPr>
            </w:pPr>
            <w:r w:rsidRPr="005D71A4">
              <w:rPr>
                <w:rFonts w:cs="Calibri"/>
                <w:sz w:val="18"/>
                <w:szCs w:val="18"/>
                <w:vertAlign w:val="superscript"/>
              </w:rPr>
              <w:t>1</w:t>
            </w:r>
            <w:r w:rsidRPr="005D71A4">
              <w:rPr>
                <w:sz w:val="18"/>
                <w:szCs w:val="18"/>
              </w:rPr>
              <w:t xml:space="preserve"> $695.00</w:t>
            </w:r>
          </w:p>
        </w:tc>
      </w:tr>
      <w:tr w:rsidR="00C91523" w:rsidRPr="00AB5738" w14:paraId="7D91B27B" w14:textId="77777777" w:rsidTr="00EA3816">
        <w:tc>
          <w:tcPr>
            <w:tcW w:w="2813" w:type="pct"/>
          </w:tcPr>
          <w:p w14:paraId="14C0A798" w14:textId="77777777" w:rsidR="00C91523" w:rsidRPr="005D71A4" w:rsidRDefault="00C91523" w:rsidP="00EA3816">
            <w:pPr>
              <w:pStyle w:val="051Tabletext228pt"/>
              <w:ind w:left="-57" w:right="-57"/>
              <w:rPr>
                <w:sz w:val="18"/>
                <w:szCs w:val="18"/>
              </w:rPr>
            </w:pPr>
            <w:proofErr w:type="spellStart"/>
            <w:r w:rsidRPr="005D71A4">
              <w:rPr>
                <w:sz w:val="18"/>
                <w:szCs w:val="18"/>
              </w:rPr>
              <w:t>Obtryx</w:t>
            </w:r>
            <w:proofErr w:type="spellEnd"/>
            <w:r w:rsidRPr="005D71A4">
              <w:rPr>
                <w:sz w:val="18"/>
                <w:szCs w:val="18"/>
              </w:rPr>
              <w:t xml:space="preserve"> II </w:t>
            </w:r>
          </w:p>
        </w:tc>
        <w:tc>
          <w:tcPr>
            <w:tcW w:w="2187" w:type="pct"/>
          </w:tcPr>
          <w:p w14:paraId="3DEA36EE" w14:textId="77777777" w:rsidR="00C91523" w:rsidRPr="005D71A4" w:rsidRDefault="00C91523" w:rsidP="00EA3816">
            <w:pPr>
              <w:pStyle w:val="051Tabletext228pt"/>
              <w:ind w:left="-57" w:right="-57"/>
              <w:rPr>
                <w:sz w:val="18"/>
                <w:szCs w:val="18"/>
              </w:rPr>
            </w:pPr>
            <w:r w:rsidRPr="005D71A4">
              <w:rPr>
                <w:rFonts w:cs="Calibri"/>
                <w:sz w:val="18"/>
                <w:szCs w:val="18"/>
                <w:vertAlign w:val="superscript"/>
              </w:rPr>
              <w:t>1</w:t>
            </w:r>
            <w:r w:rsidRPr="005D71A4">
              <w:rPr>
                <w:sz w:val="18"/>
                <w:szCs w:val="18"/>
              </w:rPr>
              <w:t xml:space="preserve"> $999.00 (</w:t>
            </w:r>
            <w:proofErr w:type="spellStart"/>
            <w:r w:rsidRPr="005D71A4">
              <w:rPr>
                <w:sz w:val="18"/>
                <w:szCs w:val="18"/>
              </w:rPr>
              <w:t>Transobturator</w:t>
            </w:r>
            <w:proofErr w:type="spellEnd"/>
            <w:r w:rsidRPr="005D71A4">
              <w:rPr>
                <w:sz w:val="18"/>
                <w:szCs w:val="18"/>
              </w:rPr>
              <w:t>, curved)</w:t>
            </w:r>
          </w:p>
          <w:p w14:paraId="5D4A1197" w14:textId="77777777" w:rsidR="00C91523" w:rsidRPr="005D71A4" w:rsidRDefault="00C91523" w:rsidP="00EA3816">
            <w:pPr>
              <w:pStyle w:val="051Tabletext228pt"/>
              <w:ind w:left="-57" w:right="-57"/>
              <w:rPr>
                <w:sz w:val="18"/>
                <w:szCs w:val="18"/>
              </w:rPr>
            </w:pPr>
            <w:r w:rsidRPr="005D71A4">
              <w:rPr>
                <w:rFonts w:cs="Calibri"/>
                <w:sz w:val="18"/>
                <w:szCs w:val="18"/>
                <w:vertAlign w:val="superscript"/>
              </w:rPr>
              <w:t>1</w:t>
            </w:r>
            <w:r w:rsidRPr="005D71A4">
              <w:rPr>
                <w:sz w:val="18"/>
                <w:szCs w:val="18"/>
              </w:rPr>
              <w:t xml:space="preserve"> $799.00 (</w:t>
            </w:r>
            <w:proofErr w:type="spellStart"/>
            <w:r w:rsidRPr="005D71A4">
              <w:rPr>
                <w:sz w:val="18"/>
                <w:szCs w:val="18"/>
              </w:rPr>
              <w:t>Transobturator</w:t>
            </w:r>
            <w:proofErr w:type="spellEnd"/>
            <w:r w:rsidRPr="005D71A4">
              <w:rPr>
                <w:sz w:val="18"/>
                <w:szCs w:val="18"/>
              </w:rPr>
              <w:t>, halo)</w:t>
            </w:r>
          </w:p>
        </w:tc>
      </w:tr>
      <w:tr w:rsidR="00C91523" w:rsidRPr="00AB5738" w14:paraId="54FCCDEF" w14:textId="77777777" w:rsidTr="00EA3816">
        <w:tc>
          <w:tcPr>
            <w:tcW w:w="2813" w:type="pct"/>
          </w:tcPr>
          <w:p w14:paraId="597916B6" w14:textId="77777777" w:rsidR="00C91523" w:rsidRPr="005D71A4" w:rsidRDefault="00C91523" w:rsidP="00EA3816">
            <w:pPr>
              <w:pStyle w:val="051Tabletext228pt"/>
              <w:ind w:left="-57" w:right="-57"/>
              <w:rPr>
                <w:sz w:val="18"/>
                <w:szCs w:val="18"/>
              </w:rPr>
            </w:pPr>
            <w:r w:rsidRPr="005D71A4">
              <w:rPr>
                <w:sz w:val="18"/>
                <w:szCs w:val="18"/>
              </w:rPr>
              <w:t>Advantage Fit</w:t>
            </w:r>
          </w:p>
        </w:tc>
        <w:tc>
          <w:tcPr>
            <w:tcW w:w="2187" w:type="pct"/>
          </w:tcPr>
          <w:p w14:paraId="1569320A" w14:textId="77777777" w:rsidR="00C91523" w:rsidRPr="005D71A4" w:rsidRDefault="00C91523" w:rsidP="00EA3816">
            <w:pPr>
              <w:pStyle w:val="051Tabletext228pt"/>
              <w:ind w:left="-57" w:right="-57"/>
              <w:rPr>
                <w:sz w:val="18"/>
                <w:szCs w:val="18"/>
              </w:rPr>
            </w:pPr>
            <w:r w:rsidRPr="005D71A4">
              <w:rPr>
                <w:rFonts w:cs="Calibri"/>
                <w:sz w:val="18"/>
                <w:szCs w:val="18"/>
                <w:vertAlign w:val="superscript"/>
              </w:rPr>
              <w:t>1</w:t>
            </w:r>
            <w:r w:rsidRPr="005D71A4">
              <w:rPr>
                <w:sz w:val="18"/>
                <w:szCs w:val="18"/>
              </w:rPr>
              <w:t xml:space="preserve"> $969.00 (clear)</w:t>
            </w:r>
          </w:p>
          <w:p w14:paraId="7FB16F03" w14:textId="77777777" w:rsidR="00C91523" w:rsidRPr="005D71A4" w:rsidRDefault="00C91523" w:rsidP="00EA3816">
            <w:pPr>
              <w:pStyle w:val="051Tabletext228pt"/>
              <w:ind w:left="-57" w:right="-57"/>
              <w:rPr>
                <w:sz w:val="18"/>
                <w:szCs w:val="18"/>
              </w:rPr>
            </w:pPr>
            <w:r w:rsidRPr="005D71A4">
              <w:rPr>
                <w:rFonts w:cs="Calibri"/>
                <w:sz w:val="18"/>
                <w:szCs w:val="18"/>
                <w:vertAlign w:val="superscript"/>
              </w:rPr>
              <w:t>1</w:t>
            </w:r>
            <w:r w:rsidRPr="005D71A4">
              <w:rPr>
                <w:sz w:val="18"/>
                <w:szCs w:val="18"/>
              </w:rPr>
              <w:t xml:space="preserve"> $995.00 – $999.00 (blue)</w:t>
            </w:r>
          </w:p>
        </w:tc>
      </w:tr>
      <w:tr w:rsidR="00C91523" w:rsidRPr="00AB5738" w14:paraId="2C8711A4" w14:textId="77777777" w:rsidTr="00EA3816">
        <w:tc>
          <w:tcPr>
            <w:tcW w:w="2813" w:type="pct"/>
          </w:tcPr>
          <w:p w14:paraId="01752FCE" w14:textId="77777777" w:rsidR="00C91523" w:rsidRPr="005D71A4" w:rsidRDefault="00C91523" w:rsidP="00EA3816">
            <w:pPr>
              <w:pStyle w:val="051Tabletext228pt"/>
              <w:ind w:left="-57" w:right="-57"/>
              <w:rPr>
                <w:sz w:val="18"/>
                <w:szCs w:val="18"/>
              </w:rPr>
            </w:pPr>
            <w:r w:rsidRPr="005D71A4">
              <w:rPr>
                <w:sz w:val="18"/>
                <w:szCs w:val="18"/>
              </w:rPr>
              <w:t>GYNECARE TVT EXACT Continence System</w:t>
            </w:r>
          </w:p>
        </w:tc>
        <w:tc>
          <w:tcPr>
            <w:tcW w:w="2187" w:type="pct"/>
          </w:tcPr>
          <w:p w14:paraId="07B7AD7C" w14:textId="77777777" w:rsidR="00C91523" w:rsidRPr="005D71A4" w:rsidRDefault="00C91523" w:rsidP="00EA3816">
            <w:pPr>
              <w:pStyle w:val="051Tabletext228pt"/>
              <w:ind w:left="-57" w:right="-57"/>
              <w:rPr>
                <w:sz w:val="18"/>
                <w:szCs w:val="18"/>
                <w:highlight w:val="yellow"/>
              </w:rPr>
            </w:pPr>
            <w:r w:rsidRPr="005D71A4">
              <w:rPr>
                <w:rFonts w:cs="Calibri"/>
                <w:sz w:val="18"/>
                <w:szCs w:val="18"/>
                <w:vertAlign w:val="superscript"/>
              </w:rPr>
              <w:t>2</w:t>
            </w:r>
            <w:r w:rsidRPr="005D71A4">
              <w:rPr>
                <w:sz w:val="18"/>
                <w:szCs w:val="18"/>
              </w:rPr>
              <w:t xml:space="preserve"> $800.00</w:t>
            </w:r>
          </w:p>
        </w:tc>
      </w:tr>
      <w:tr w:rsidR="00C91523" w:rsidRPr="00AB5738" w14:paraId="1479A67D" w14:textId="77777777" w:rsidTr="00EA3816">
        <w:tc>
          <w:tcPr>
            <w:tcW w:w="2813" w:type="pct"/>
          </w:tcPr>
          <w:p w14:paraId="54BC8A45" w14:textId="77777777" w:rsidR="00C91523" w:rsidRPr="005D71A4" w:rsidRDefault="00C91523" w:rsidP="00EA3816">
            <w:pPr>
              <w:pStyle w:val="051Tabletext228pt"/>
              <w:ind w:left="-57" w:right="-57"/>
              <w:rPr>
                <w:sz w:val="18"/>
                <w:szCs w:val="18"/>
              </w:rPr>
            </w:pPr>
            <w:r w:rsidRPr="005D71A4">
              <w:rPr>
                <w:sz w:val="18"/>
                <w:szCs w:val="18"/>
              </w:rPr>
              <w:t>GYNECARE TVT Obturator System</w:t>
            </w:r>
          </w:p>
        </w:tc>
        <w:tc>
          <w:tcPr>
            <w:tcW w:w="2187" w:type="pct"/>
          </w:tcPr>
          <w:p w14:paraId="60115869" w14:textId="77777777" w:rsidR="00C91523" w:rsidRPr="005D71A4" w:rsidRDefault="00C91523" w:rsidP="00EA3816">
            <w:pPr>
              <w:pStyle w:val="051Tabletext228pt"/>
              <w:ind w:left="-57" w:right="-57"/>
              <w:rPr>
                <w:sz w:val="18"/>
                <w:szCs w:val="18"/>
                <w:highlight w:val="yellow"/>
              </w:rPr>
            </w:pPr>
            <w:r w:rsidRPr="005D71A4">
              <w:rPr>
                <w:rFonts w:cs="Calibri"/>
                <w:sz w:val="18"/>
                <w:szCs w:val="18"/>
                <w:vertAlign w:val="superscript"/>
              </w:rPr>
              <w:t>2</w:t>
            </w:r>
            <w:r w:rsidRPr="005D71A4">
              <w:rPr>
                <w:sz w:val="18"/>
                <w:szCs w:val="18"/>
              </w:rPr>
              <w:t xml:space="preserve"> $565.00</w:t>
            </w:r>
          </w:p>
        </w:tc>
      </w:tr>
      <w:tr w:rsidR="00C91523" w:rsidRPr="00AB5738" w14:paraId="40A853D4" w14:textId="77777777" w:rsidTr="00EA3816">
        <w:tc>
          <w:tcPr>
            <w:tcW w:w="2813" w:type="pct"/>
          </w:tcPr>
          <w:p w14:paraId="19F4C3EF" w14:textId="77777777" w:rsidR="00C91523" w:rsidRPr="005D71A4" w:rsidRDefault="00C91523" w:rsidP="00EA3816">
            <w:pPr>
              <w:pStyle w:val="051Tabletext228pt"/>
              <w:ind w:left="-57" w:right="-57"/>
              <w:rPr>
                <w:sz w:val="18"/>
                <w:szCs w:val="18"/>
              </w:rPr>
            </w:pPr>
            <w:r w:rsidRPr="005D71A4">
              <w:rPr>
                <w:sz w:val="18"/>
                <w:szCs w:val="18"/>
              </w:rPr>
              <w:t>GYNECARE TVT ABBREVO Continence System</w:t>
            </w:r>
          </w:p>
        </w:tc>
        <w:tc>
          <w:tcPr>
            <w:tcW w:w="2187" w:type="pct"/>
          </w:tcPr>
          <w:p w14:paraId="5E0D55FB" w14:textId="77777777" w:rsidR="00C91523" w:rsidRPr="005D71A4" w:rsidRDefault="00C91523" w:rsidP="00EA3816">
            <w:pPr>
              <w:pStyle w:val="051Tabletext228pt"/>
              <w:ind w:left="-57" w:right="-57"/>
              <w:rPr>
                <w:sz w:val="18"/>
                <w:szCs w:val="18"/>
                <w:highlight w:val="yellow"/>
              </w:rPr>
            </w:pPr>
            <w:r w:rsidRPr="005D71A4">
              <w:rPr>
                <w:rFonts w:cs="Calibri"/>
                <w:sz w:val="18"/>
                <w:szCs w:val="18"/>
                <w:vertAlign w:val="superscript"/>
              </w:rPr>
              <w:t>2</w:t>
            </w:r>
            <w:r w:rsidRPr="005D71A4">
              <w:rPr>
                <w:sz w:val="18"/>
                <w:szCs w:val="18"/>
              </w:rPr>
              <w:t xml:space="preserve"> $721.00</w:t>
            </w:r>
          </w:p>
        </w:tc>
      </w:tr>
    </w:tbl>
    <w:p w14:paraId="5C3C9AF1" w14:textId="77777777" w:rsidR="005C6131" w:rsidRPr="003226D5" w:rsidRDefault="005C6131" w:rsidP="005C6131">
      <w:pPr>
        <w:pStyle w:val="101Tablefootnotes8pt"/>
        <w:rPr>
          <w:sz w:val="18"/>
          <w:szCs w:val="24"/>
        </w:rPr>
      </w:pPr>
      <w:r w:rsidRPr="005D71A4">
        <w:t>Abbreviations: MUS, mid-urethral sling; PL, Prostheses List; TVT, tension-free vaginal tape.</w:t>
      </w:r>
    </w:p>
    <w:p w14:paraId="7FF87404" w14:textId="0D5D2327" w:rsidR="00C474C1" w:rsidRDefault="00C91523" w:rsidP="005C6131">
      <w:pPr>
        <w:pStyle w:val="111Tablefootnoteslast-nostick8pt"/>
      </w:pPr>
      <w:r w:rsidRPr="00791ADB">
        <w:rPr>
          <w:rStyle w:val="101Tablefootnotes8ptChar"/>
          <w:vertAlign w:val="superscript"/>
        </w:rPr>
        <w:t>1</w:t>
      </w:r>
      <w:r w:rsidRPr="005D71A4">
        <w:rPr>
          <w:rStyle w:val="101Tablefootnotes8ptChar"/>
        </w:rPr>
        <w:t xml:space="preserve"> </w:t>
      </w:r>
      <w:hyperlink r:id="rId22" w:history="1">
        <w:r w:rsidRPr="005D71A4">
          <w:rPr>
            <w:rStyle w:val="101Tablefootnotes8ptChar"/>
          </w:rPr>
          <w:t>www.westcmr.com</w:t>
        </w:r>
      </w:hyperlink>
      <w:r w:rsidRPr="005D71A4">
        <w:rPr>
          <w:rStyle w:val="101Tablefootnotes8ptChar"/>
        </w:rPr>
        <w:t xml:space="preserve">, accessed 31 March 2023. </w:t>
      </w:r>
      <w:r w:rsidRPr="005D71A4">
        <w:rPr>
          <w:rStyle w:val="101Tablefootnotes8ptChar"/>
        </w:rPr>
        <w:br/>
      </w:r>
      <w:r w:rsidRPr="00791ADB">
        <w:rPr>
          <w:rStyle w:val="101Tablefootnotes8ptChar"/>
          <w:vertAlign w:val="superscript"/>
        </w:rPr>
        <w:t>2</w:t>
      </w:r>
      <w:r w:rsidRPr="005D71A4">
        <w:rPr>
          <w:rStyle w:val="101Tablefootnotes8ptChar"/>
        </w:rPr>
        <w:t xml:space="preserve"> </w:t>
      </w:r>
      <w:hyperlink r:id="rId23" w:history="1">
        <w:r w:rsidRPr="005D71A4">
          <w:rPr>
            <w:rStyle w:val="101Tablefootnotes8ptChar"/>
          </w:rPr>
          <w:t>www.shopsps.com</w:t>
        </w:r>
      </w:hyperlink>
      <w:r w:rsidRPr="005D71A4">
        <w:rPr>
          <w:rStyle w:val="101Tablefootnotes8ptChar"/>
        </w:rPr>
        <w:t xml:space="preserve">, accessed 31 March 2023; </w:t>
      </w:r>
      <w:hyperlink r:id="rId24" w:history="1">
        <w:r w:rsidRPr="005D71A4">
          <w:rPr>
            <w:rStyle w:val="101Tablefootnotes8ptChar"/>
          </w:rPr>
          <w:t>www.geosurgical.com</w:t>
        </w:r>
      </w:hyperlink>
      <w:r w:rsidRPr="005D71A4">
        <w:rPr>
          <w:rStyle w:val="101Tablefootnotes8ptChar"/>
        </w:rPr>
        <w:t>, accessed 4 April 2023.</w:t>
      </w:r>
      <w:r w:rsidRPr="003226D5">
        <w:rPr>
          <w:rFonts w:cs="Calibri"/>
          <w:sz w:val="18"/>
          <w:szCs w:val="24"/>
        </w:rPr>
        <w:t xml:space="preserve"> </w:t>
      </w:r>
      <w:r w:rsidRPr="003226D5">
        <w:rPr>
          <w:rFonts w:cs="Calibri"/>
          <w:sz w:val="18"/>
          <w:szCs w:val="24"/>
        </w:rPr>
        <w:br/>
      </w:r>
      <w:r w:rsidR="00F73CF3">
        <w:t xml:space="preserve">Belgium </w:t>
      </w:r>
      <w:r w:rsidR="00CE34C9">
        <w:t>has a list of reimbursable medical devices</w:t>
      </w:r>
      <w:r w:rsidR="0046120C">
        <w:rPr>
          <w:rStyle w:val="FootnoteReference"/>
        </w:rPr>
        <w:footnoteReference w:id="8"/>
      </w:r>
      <w:r w:rsidR="00CE34C9">
        <w:t xml:space="preserve"> which lists </w:t>
      </w:r>
      <w:proofErr w:type="spellStart"/>
      <w:r w:rsidR="00CE34C9">
        <w:t>suburetheral</w:t>
      </w:r>
      <w:proofErr w:type="spellEnd"/>
      <w:r w:rsidR="00CE34C9">
        <w:t xml:space="preserve"> mesh for SUI at a </w:t>
      </w:r>
      <w:r w:rsidR="00E60B9B">
        <w:t xml:space="preserve">basic price of </w:t>
      </w:r>
      <w:r w:rsidR="00E60B9B">
        <w:rPr>
          <w:rFonts w:cs="Calibri"/>
        </w:rPr>
        <w:t>€</w:t>
      </w:r>
      <w:r w:rsidR="00E60B9B">
        <w:t xml:space="preserve">356.95 and a maximum price </w:t>
      </w:r>
      <w:r w:rsidR="00E60B9B">
        <w:rPr>
          <w:rFonts w:cs="Calibri"/>
        </w:rPr>
        <w:t>€</w:t>
      </w:r>
      <w:r w:rsidR="0046120C">
        <w:t>410.49.</w:t>
      </w:r>
    </w:p>
    <w:p w14:paraId="18F9E7FB" w14:textId="0F968202" w:rsidR="00D83152" w:rsidRDefault="00D83152" w:rsidP="00D83152">
      <w:pPr>
        <w:pStyle w:val="BodyText"/>
      </w:pPr>
      <w:r>
        <w:t xml:space="preserve">Procedure cost inputs cited in the included economic studies were highly variable, even within the same health care setting, summarised in </w:t>
      </w:r>
      <w:r w:rsidRPr="007E628A">
        <w:rPr>
          <w:b/>
          <w:bCs/>
        </w:rPr>
        <w:fldChar w:fldCharType="begin"/>
      </w:r>
      <w:r w:rsidRPr="007E628A">
        <w:rPr>
          <w:b/>
          <w:bCs/>
        </w:rPr>
        <w:instrText xml:space="preserve"> REF _Ref132189042 \h </w:instrText>
      </w:r>
      <w:r w:rsidR="007E628A">
        <w:rPr>
          <w:b/>
          <w:bCs/>
        </w:rPr>
        <w:instrText xml:space="preserve"> \* MERGEFORMAT </w:instrText>
      </w:r>
      <w:r w:rsidRPr="007E628A">
        <w:rPr>
          <w:b/>
          <w:bCs/>
        </w:rPr>
      </w:r>
      <w:r w:rsidRPr="007E628A">
        <w:rPr>
          <w:b/>
          <w:bCs/>
        </w:rPr>
        <w:fldChar w:fldCharType="separate"/>
      </w:r>
      <w:r w:rsidR="007105D3" w:rsidRPr="007105D3">
        <w:rPr>
          <w:b/>
          <w:bCs/>
        </w:rPr>
        <w:t xml:space="preserve">Table </w:t>
      </w:r>
      <w:r w:rsidR="007105D3" w:rsidRPr="007105D3">
        <w:rPr>
          <w:b/>
          <w:bCs/>
          <w:noProof/>
        </w:rPr>
        <w:t>31</w:t>
      </w:r>
      <w:r w:rsidRPr="007E628A">
        <w:rPr>
          <w:b/>
          <w:bCs/>
        </w:rPr>
        <w:fldChar w:fldCharType="end"/>
      </w:r>
      <w:r>
        <w:t xml:space="preserve">. In some cases, procedures costs included resource use and consumables but not in other cases. It was not always clear whether services such as cystoscopy had been included in the procedure cost or not included at all. Where possible, the unit cost for the device is stated in </w:t>
      </w:r>
      <w:r w:rsidRPr="007E628A">
        <w:rPr>
          <w:b/>
          <w:bCs/>
        </w:rPr>
        <w:fldChar w:fldCharType="begin"/>
      </w:r>
      <w:r w:rsidRPr="007E628A">
        <w:rPr>
          <w:b/>
          <w:bCs/>
        </w:rPr>
        <w:instrText xml:space="preserve"> REF _Ref132189042 \h </w:instrText>
      </w:r>
      <w:r w:rsidR="007E628A">
        <w:rPr>
          <w:b/>
          <w:bCs/>
        </w:rPr>
        <w:instrText xml:space="preserve"> \* MERGEFORMAT </w:instrText>
      </w:r>
      <w:r w:rsidRPr="007E628A">
        <w:rPr>
          <w:b/>
          <w:bCs/>
        </w:rPr>
      </w:r>
      <w:r w:rsidRPr="007E628A">
        <w:rPr>
          <w:b/>
          <w:bCs/>
        </w:rPr>
        <w:fldChar w:fldCharType="separate"/>
      </w:r>
      <w:r w:rsidR="007105D3" w:rsidRPr="007105D3">
        <w:rPr>
          <w:b/>
          <w:bCs/>
        </w:rPr>
        <w:t xml:space="preserve">Table </w:t>
      </w:r>
      <w:r w:rsidR="007105D3" w:rsidRPr="007105D3">
        <w:rPr>
          <w:b/>
          <w:bCs/>
          <w:noProof/>
        </w:rPr>
        <w:t>31</w:t>
      </w:r>
      <w:r w:rsidRPr="007E628A">
        <w:rPr>
          <w:b/>
          <w:bCs/>
        </w:rPr>
        <w:fldChar w:fldCharType="end"/>
      </w:r>
      <w:r>
        <w:t xml:space="preserve"> if the authors reported it.</w:t>
      </w:r>
    </w:p>
    <w:p w14:paraId="47F1E4AB" w14:textId="1886D07C" w:rsidR="00F04AEF" w:rsidRPr="00B0485F" w:rsidRDefault="00F04AEF" w:rsidP="00926FB9">
      <w:pPr>
        <w:pStyle w:val="Caption"/>
      </w:pPr>
      <w:bookmarkStart w:id="153" w:name="_Ref132189042"/>
      <w:bookmarkStart w:id="154" w:name="_Toc165627899"/>
      <w:r w:rsidRPr="00B0485F">
        <w:lastRenderedPageBreak/>
        <w:t xml:space="preserve">Table </w:t>
      </w:r>
      <w:fldSimple w:instr=" SEQ Table \* ARABIC ">
        <w:r w:rsidR="007105D3">
          <w:rPr>
            <w:noProof/>
          </w:rPr>
          <w:t>31</w:t>
        </w:r>
      </w:fldSimple>
      <w:bookmarkEnd w:id="153"/>
      <w:r w:rsidRPr="00B0485F">
        <w:tab/>
      </w:r>
      <w:r>
        <w:t xml:space="preserve">Procedure costs used in the included economic studies </w:t>
      </w:r>
      <w:r w:rsidR="00952EE8">
        <w:t xml:space="preserve">and </w:t>
      </w:r>
      <w:r w:rsidR="008B5EEC">
        <w:t xml:space="preserve">relevant </w:t>
      </w:r>
      <w:r w:rsidR="00952EE8">
        <w:t>cost analyses</w:t>
      </w:r>
      <w:r>
        <w:t xml:space="preserve"> (mesh only)</w:t>
      </w:r>
      <w:bookmarkEnd w:id="154"/>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Procedure costs used in the included economic studies and relevant cost analyses (mesh only)"/>
        <w:tblDescription w:val="This table shows the procedure costs used in the included economic studies and relevant cost analyses (mesh only). For each relevant study, the currency is presented, along with the procedure, device, theatre, hospital stay, cystoscopy and re-operation costs. "/>
      </w:tblPr>
      <w:tblGrid>
        <w:gridCol w:w="1439"/>
        <w:gridCol w:w="720"/>
        <w:gridCol w:w="1078"/>
        <w:gridCol w:w="1531"/>
        <w:gridCol w:w="1309"/>
        <w:gridCol w:w="1392"/>
        <w:gridCol w:w="997"/>
        <w:gridCol w:w="1172"/>
      </w:tblGrid>
      <w:tr w:rsidR="00585FF0" w:rsidRPr="00762E24" w14:paraId="2FF29F07" w14:textId="77777777" w:rsidTr="00585FF0">
        <w:trPr>
          <w:cantSplit/>
          <w:tblHeader/>
        </w:trPr>
        <w:tc>
          <w:tcPr>
            <w:tcW w:w="747" w:type="pct"/>
            <w:shd w:val="clear" w:color="auto" w:fill="BFBFBF"/>
          </w:tcPr>
          <w:p w14:paraId="25DE456C" w14:textId="77777777" w:rsidR="00403B8D" w:rsidRPr="005D71A4" w:rsidRDefault="00403B8D" w:rsidP="00926FB9">
            <w:pPr>
              <w:pStyle w:val="011TableHeading8pt"/>
              <w:keepNext/>
              <w:spacing w:before="40"/>
              <w:ind w:left="-57" w:right="-85"/>
              <w:rPr>
                <w:rFonts w:asciiTheme="minorHAnsi" w:hAnsiTheme="minorHAnsi" w:cstheme="minorHAnsi"/>
                <w:sz w:val="18"/>
                <w:szCs w:val="18"/>
              </w:rPr>
            </w:pPr>
            <w:r w:rsidRPr="005D71A4">
              <w:rPr>
                <w:rFonts w:asciiTheme="minorHAnsi" w:hAnsiTheme="minorHAnsi" w:cstheme="minorHAnsi"/>
                <w:sz w:val="18"/>
                <w:szCs w:val="18"/>
              </w:rPr>
              <w:t>Study ID</w:t>
            </w:r>
          </w:p>
        </w:tc>
        <w:tc>
          <w:tcPr>
            <w:tcW w:w="374" w:type="pct"/>
            <w:shd w:val="clear" w:color="auto" w:fill="BFBFBF"/>
          </w:tcPr>
          <w:p w14:paraId="5B19F6C8" w14:textId="77777777" w:rsidR="00403B8D" w:rsidRPr="005D71A4" w:rsidRDefault="00403B8D" w:rsidP="00926FB9">
            <w:pPr>
              <w:pStyle w:val="011TableHeading8pt"/>
              <w:keepNext/>
              <w:spacing w:before="40"/>
              <w:ind w:left="-57" w:right="-85"/>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560" w:type="pct"/>
            <w:shd w:val="clear" w:color="auto" w:fill="BFBFBF"/>
          </w:tcPr>
          <w:p w14:paraId="0E1D397D" w14:textId="77777777" w:rsidR="00403B8D" w:rsidRPr="005D71A4" w:rsidRDefault="00403B8D" w:rsidP="00926FB9">
            <w:pPr>
              <w:pStyle w:val="011TableHeading8pt"/>
              <w:keepNext/>
              <w:spacing w:before="40"/>
              <w:ind w:left="-57" w:right="-85"/>
              <w:jc w:val="center"/>
              <w:rPr>
                <w:rFonts w:asciiTheme="minorHAnsi" w:hAnsiTheme="minorHAnsi" w:cstheme="minorHAnsi"/>
                <w:sz w:val="18"/>
                <w:szCs w:val="18"/>
              </w:rPr>
            </w:pPr>
            <w:r w:rsidRPr="005D71A4">
              <w:rPr>
                <w:rFonts w:asciiTheme="minorHAnsi" w:hAnsiTheme="minorHAnsi" w:cstheme="minorHAnsi"/>
                <w:sz w:val="18"/>
                <w:szCs w:val="18"/>
              </w:rPr>
              <w:t>Procedure</w:t>
            </w:r>
          </w:p>
        </w:tc>
        <w:tc>
          <w:tcPr>
            <w:tcW w:w="794" w:type="pct"/>
            <w:shd w:val="clear" w:color="auto" w:fill="BFBFBF"/>
          </w:tcPr>
          <w:p w14:paraId="12333A4B" w14:textId="77777777" w:rsidR="00403B8D" w:rsidRPr="005D71A4" w:rsidRDefault="00403B8D" w:rsidP="00926FB9">
            <w:pPr>
              <w:pStyle w:val="011TableHeading8pt"/>
              <w:keepNext/>
              <w:spacing w:before="40"/>
              <w:ind w:left="-57" w:right="-85"/>
              <w:jc w:val="center"/>
              <w:rPr>
                <w:rFonts w:asciiTheme="minorHAnsi" w:hAnsiTheme="minorHAnsi" w:cstheme="minorHAnsi"/>
                <w:sz w:val="18"/>
                <w:szCs w:val="18"/>
              </w:rPr>
            </w:pPr>
            <w:r w:rsidRPr="005D71A4">
              <w:rPr>
                <w:rFonts w:asciiTheme="minorHAnsi" w:hAnsiTheme="minorHAnsi" w:cstheme="minorHAnsi"/>
                <w:sz w:val="18"/>
                <w:szCs w:val="18"/>
              </w:rPr>
              <w:t>Device</w:t>
            </w:r>
          </w:p>
        </w:tc>
        <w:tc>
          <w:tcPr>
            <w:tcW w:w="679" w:type="pct"/>
            <w:shd w:val="clear" w:color="auto" w:fill="BFBFBF"/>
          </w:tcPr>
          <w:p w14:paraId="52500678" w14:textId="77777777" w:rsidR="00403B8D" w:rsidRPr="005D71A4" w:rsidRDefault="00403B8D" w:rsidP="00926FB9">
            <w:pPr>
              <w:pStyle w:val="011TableHeading8pt"/>
              <w:keepNext/>
              <w:spacing w:before="40"/>
              <w:ind w:left="-57" w:right="-85"/>
              <w:jc w:val="center"/>
              <w:rPr>
                <w:rFonts w:asciiTheme="minorHAnsi" w:hAnsiTheme="minorHAnsi" w:cstheme="minorHAnsi"/>
                <w:sz w:val="18"/>
                <w:szCs w:val="18"/>
              </w:rPr>
            </w:pPr>
            <w:r w:rsidRPr="005D71A4">
              <w:rPr>
                <w:rFonts w:asciiTheme="minorHAnsi" w:hAnsiTheme="minorHAnsi" w:cstheme="minorHAnsi"/>
                <w:sz w:val="18"/>
                <w:szCs w:val="18"/>
              </w:rPr>
              <w:t>Theatre</w:t>
            </w:r>
          </w:p>
        </w:tc>
        <w:tc>
          <w:tcPr>
            <w:tcW w:w="722" w:type="pct"/>
            <w:shd w:val="clear" w:color="auto" w:fill="BFBFBF"/>
          </w:tcPr>
          <w:p w14:paraId="03407B5B" w14:textId="77777777" w:rsidR="00403B8D" w:rsidRPr="005D71A4" w:rsidRDefault="00403B8D" w:rsidP="00926FB9">
            <w:pPr>
              <w:pStyle w:val="011TableHeading8pt"/>
              <w:keepNext/>
              <w:spacing w:before="40"/>
              <w:ind w:left="-57" w:right="-85"/>
              <w:jc w:val="center"/>
              <w:rPr>
                <w:rFonts w:asciiTheme="minorHAnsi" w:hAnsiTheme="minorHAnsi" w:cstheme="minorHAnsi"/>
                <w:sz w:val="18"/>
                <w:szCs w:val="18"/>
              </w:rPr>
            </w:pPr>
            <w:r w:rsidRPr="005D71A4">
              <w:rPr>
                <w:rFonts w:asciiTheme="minorHAnsi" w:hAnsiTheme="minorHAnsi" w:cstheme="minorHAnsi"/>
                <w:sz w:val="18"/>
                <w:szCs w:val="18"/>
              </w:rPr>
              <w:t xml:space="preserve">Hospital </w:t>
            </w:r>
            <w:proofErr w:type="gramStart"/>
            <w:r w:rsidRPr="005D71A4">
              <w:rPr>
                <w:rFonts w:asciiTheme="minorHAnsi" w:hAnsiTheme="minorHAnsi" w:cstheme="minorHAnsi"/>
                <w:sz w:val="18"/>
                <w:szCs w:val="18"/>
              </w:rPr>
              <w:t>stay</w:t>
            </w:r>
            <w:proofErr w:type="gramEnd"/>
          </w:p>
        </w:tc>
        <w:tc>
          <w:tcPr>
            <w:tcW w:w="516" w:type="pct"/>
            <w:shd w:val="clear" w:color="auto" w:fill="BFBFBF"/>
          </w:tcPr>
          <w:p w14:paraId="5BC9072E" w14:textId="77777777" w:rsidR="00403B8D" w:rsidRPr="005D71A4" w:rsidRDefault="00403B8D" w:rsidP="00926FB9">
            <w:pPr>
              <w:pStyle w:val="011TableHeading8pt"/>
              <w:keepNext/>
              <w:spacing w:before="40"/>
              <w:ind w:left="-57" w:right="-85"/>
              <w:jc w:val="center"/>
              <w:rPr>
                <w:rFonts w:asciiTheme="minorHAnsi" w:hAnsiTheme="minorHAnsi" w:cstheme="minorHAnsi"/>
                <w:sz w:val="18"/>
                <w:szCs w:val="18"/>
              </w:rPr>
            </w:pPr>
            <w:r w:rsidRPr="005D71A4">
              <w:rPr>
                <w:rFonts w:asciiTheme="minorHAnsi" w:hAnsiTheme="minorHAnsi" w:cstheme="minorHAnsi"/>
                <w:sz w:val="18"/>
                <w:szCs w:val="18"/>
              </w:rPr>
              <w:t>Cystoscopy</w:t>
            </w:r>
          </w:p>
        </w:tc>
        <w:tc>
          <w:tcPr>
            <w:tcW w:w="608" w:type="pct"/>
            <w:shd w:val="clear" w:color="auto" w:fill="BFBFBF"/>
          </w:tcPr>
          <w:p w14:paraId="4A256799" w14:textId="77777777" w:rsidR="00403B8D" w:rsidRPr="005D71A4" w:rsidRDefault="00403B8D" w:rsidP="00926FB9">
            <w:pPr>
              <w:pStyle w:val="011TableHeading8pt"/>
              <w:keepNext/>
              <w:spacing w:before="40"/>
              <w:ind w:left="-57" w:right="-57"/>
              <w:jc w:val="center"/>
              <w:rPr>
                <w:rFonts w:asciiTheme="minorHAnsi" w:hAnsiTheme="minorHAnsi" w:cstheme="minorHAnsi"/>
                <w:sz w:val="18"/>
                <w:szCs w:val="18"/>
              </w:rPr>
            </w:pPr>
            <w:r w:rsidRPr="005D71A4">
              <w:rPr>
                <w:rFonts w:asciiTheme="minorHAnsi" w:hAnsiTheme="minorHAnsi" w:cstheme="minorHAnsi"/>
                <w:sz w:val="18"/>
                <w:szCs w:val="18"/>
              </w:rPr>
              <w:t>Re-operation</w:t>
            </w:r>
          </w:p>
        </w:tc>
      </w:tr>
      <w:tr w:rsidR="00585FF0" w:rsidRPr="00762E24" w14:paraId="20B9A04C" w14:textId="77777777" w:rsidTr="00585FF0">
        <w:trPr>
          <w:cantSplit/>
        </w:trPr>
        <w:tc>
          <w:tcPr>
            <w:tcW w:w="747" w:type="pct"/>
            <w:shd w:val="clear" w:color="auto" w:fill="auto"/>
          </w:tcPr>
          <w:p w14:paraId="65E7FDD2" w14:textId="7605B02F" w:rsidR="00403B8D" w:rsidRPr="005D71A4" w:rsidRDefault="00403B8D" w:rsidP="00926FB9">
            <w:pPr>
              <w:pStyle w:val="051Tabletext228pt"/>
              <w:keepNext/>
              <w:spacing w:before="20"/>
              <w:ind w:left="-57" w:right="-57"/>
              <w:rPr>
                <w:rFonts w:asciiTheme="minorHAnsi" w:hAnsiTheme="minorHAnsi" w:cstheme="minorHAnsi"/>
                <w:sz w:val="18"/>
                <w:szCs w:val="18"/>
              </w:rPr>
            </w:pPr>
            <w:r w:rsidRPr="005D71A4">
              <w:rPr>
                <w:rFonts w:asciiTheme="minorHAnsi" w:hAnsiTheme="minorHAnsi" w:cstheme="minorHAnsi"/>
                <w:sz w:val="18"/>
                <w:szCs w:val="18"/>
              </w:rPr>
              <w:t>Laudano 2013</w:t>
            </w:r>
          </w:p>
        </w:tc>
        <w:tc>
          <w:tcPr>
            <w:tcW w:w="374" w:type="pct"/>
          </w:tcPr>
          <w:p w14:paraId="1001422D" w14:textId="5344E566"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$USD</w:t>
            </w:r>
          </w:p>
        </w:tc>
        <w:tc>
          <w:tcPr>
            <w:tcW w:w="560" w:type="pct"/>
          </w:tcPr>
          <w:p w14:paraId="1B546682" w14:textId="2C847D3A"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2,324</w:t>
            </w:r>
          </w:p>
        </w:tc>
        <w:tc>
          <w:tcPr>
            <w:tcW w:w="794" w:type="pct"/>
          </w:tcPr>
          <w:p w14:paraId="0FED3882" w14:textId="2B8346AE"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1,170</w:t>
            </w:r>
          </w:p>
        </w:tc>
        <w:tc>
          <w:tcPr>
            <w:tcW w:w="679" w:type="pct"/>
            <w:shd w:val="clear" w:color="auto" w:fill="auto"/>
          </w:tcPr>
          <w:p w14:paraId="1A9D9E4F" w14:textId="5D8C4F53"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0.7h at 2,153/h</w:t>
            </w:r>
          </w:p>
        </w:tc>
        <w:tc>
          <w:tcPr>
            <w:tcW w:w="722" w:type="pct"/>
          </w:tcPr>
          <w:p w14:paraId="71C02CFC" w14:textId="1C458699"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1.5d at 1,074/d</w:t>
            </w:r>
          </w:p>
        </w:tc>
        <w:tc>
          <w:tcPr>
            <w:tcW w:w="516" w:type="pct"/>
          </w:tcPr>
          <w:p w14:paraId="748AB4E2" w14:textId="57D735D6"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459</w:t>
            </w:r>
          </w:p>
        </w:tc>
        <w:tc>
          <w:tcPr>
            <w:tcW w:w="608" w:type="pct"/>
            <w:shd w:val="clear" w:color="auto" w:fill="auto"/>
          </w:tcPr>
          <w:p w14:paraId="084A2D54" w14:textId="79FC44C9" w:rsidR="00403B8D" w:rsidRPr="005D71A4" w:rsidRDefault="007A1F44"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1,836</w:t>
            </w:r>
          </w:p>
        </w:tc>
      </w:tr>
      <w:tr w:rsidR="00585FF0" w:rsidRPr="00762E24" w14:paraId="37212818" w14:textId="77777777" w:rsidTr="00585FF0">
        <w:trPr>
          <w:cantSplit/>
        </w:trPr>
        <w:tc>
          <w:tcPr>
            <w:tcW w:w="747" w:type="pct"/>
            <w:shd w:val="clear" w:color="auto" w:fill="auto"/>
          </w:tcPr>
          <w:p w14:paraId="2972598B" w14:textId="76394408" w:rsidR="00403B8D" w:rsidRPr="005D71A4" w:rsidRDefault="00403B8D" w:rsidP="00926FB9">
            <w:pPr>
              <w:pStyle w:val="051Tabletext228pt"/>
              <w:keepNext/>
              <w:spacing w:before="20"/>
              <w:ind w:left="-57" w:right="-57"/>
              <w:rPr>
                <w:rFonts w:asciiTheme="minorHAnsi" w:hAnsiTheme="minorHAnsi" w:cstheme="minorHAnsi"/>
                <w:sz w:val="18"/>
                <w:szCs w:val="18"/>
              </w:rPr>
            </w:pPr>
            <w:proofErr w:type="spellStart"/>
            <w:r w:rsidRPr="005D71A4">
              <w:rPr>
                <w:rFonts w:asciiTheme="minorHAnsi" w:hAnsiTheme="minorHAnsi" w:cstheme="minorHAnsi"/>
                <w:sz w:val="18"/>
                <w:szCs w:val="18"/>
              </w:rPr>
              <w:t>Seklehner</w:t>
            </w:r>
            <w:proofErr w:type="spellEnd"/>
            <w:r w:rsidRPr="005D71A4">
              <w:rPr>
                <w:rFonts w:asciiTheme="minorHAnsi" w:hAnsiTheme="minorHAnsi" w:cstheme="minorHAnsi"/>
                <w:sz w:val="18"/>
                <w:szCs w:val="18"/>
              </w:rPr>
              <w:t xml:space="preserve"> 2014</w:t>
            </w:r>
          </w:p>
        </w:tc>
        <w:tc>
          <w:tcPr>
            <w:tcW w:w="374" w:type="pct"/>
          </w:tcPr>
          <w:p w14:paraId="22E1EBCF" w14:textId="0DF3D953"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$USD</w:t>
            </w:r>
          </w:p>
        </w:tc>
        <w:tc>
          <w:tcPr>
            <w:tcW w:w="560" w:type="pct"/>
          </w:tcPr>
          <w:p w14:paraId="50203486" w14:textId="71C4F1F5"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2,324</w:t>
            </w:r>
          </w:p>
        </w:tc>
        <w:tc>
          <w:tcPr>
            <w:tcW w:w="794" w:type="pct"/>
          </w:tcPr>
          <w:p w14:paraId="133F71DA" w14:textId="4DC4EB85"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1,170 (</w:t>
            </w:r>
            <w:r w:rsidR="00B94BCF" w:rsidRPr="005D71A4">
              <w:rPr>
                <w:rFonts w:asciiTheme="minorHAnsi" w:hAnsiTheme="minorHAnsi" w:cstheme="minorHAnsi"/>
                <w:sz w:val="18"/>
                <w:szCs w:val="18"/>
              </w:rPr>
              <w:t>RP-MUS</w:t>
            </w:r>
            <w:r w:rsidRPr="005D71A4">
              <w:rPr>
                <w:rFonts w:asciiTheme="minorHAnsi" w:hAnsiTheme="minorHAnsi" w:cstheme="minorHAnsi"/>
                <w:sz w:val="18"/>
                <w:szCs w:val="18"/>
              </w:rPr>
              <w:t>)</w:t>
            </w:r>
          </w:p>
          <w:p w14:paraId="7E8BC7BA" w14:textId="362DCAE7"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1,295 (</w:t>
            </w:r>
            <w:r w:rsidR="00B94BCF" w:rsidRPr="005D71A4">
              <w:rPr>
                <w:rFonts w:asciiTheme="minorHAnsi" w:hAnsiTheme="minorHAnsi" w:cstheme="minorHAnsi"/>
                <w:sz w:val="18"/>
                <w:szCs w:val="18"/>
              </w:rPr>
              <w:t>TO-MUS</w:t>
            </w:r>
            <w:r w:rsidRPr="005D71A4">
              <w:rPr>
                <w:rFonts w:asciiTheme="minorHAnsi" w:hAnsiTheme="minorHAnsi" w:cstheme="minorHAnsi"/>
                <w:sz w:val="18"/>
                <w:szCs w:val="18"/>
              </w:rPr>
              <w:t>)</w:t>
            </w:r>
          </w:p>
        </w:tc>
        <w:tc>
          <w:tcPr>
            <w:tcW w:w="679" w:type="pct"/>
            <w:shd w:val="clear" w:color="auto" w:fill="auto"/>
          </w:tcPr>
          <w:p w14:paraId="77A1C4DD" w14:textId="6ACC1424"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1,043</w:t>
            </w:r>
          </w:p>
          <w:p w14:paraId="537A1C9C" w14:textId="322DA5FC"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8,10.25</w:t>
            </w:r>
          </w:p>
        </w:tc>
        <w:tc>
          <w:tcPr>
            <w:tcW w:w="722" w:type="pct"/>
          </w:tcPr>
          <w:p w14:paraId="24510BE0" w14:textId="32494B16"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3,039.52</w:t>
            </w:r>
          </w:p>
          <w:p w14:paraId="5F625EED" w14:textId="40D26AFA"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2,341.32</w:t>
            </w:r>
          </w:p>
        </w:tc>
        <w:tc>
          <w:tcPr>
            <w:tcW w:w="516" w:type="pct"/>
          </w:tcPr>
          <w:p w14:paraId="5BE08416" w14:textId="6941B7EE" w:rsidR="00403B8D" w:rsidRPr="005D71A4" w:rsidRDefault="00403B8D"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08" w:type="pct"/>
            <w:shd w:val="clear" w:color="auto" w:fill="auto"/>
          </w:tcPr>
          <w:p w14:paraId="4F381F9A" w14:textId="1B2212C1" w:rsidR="00403B8D" w:rsidRPr="005D71A4" w:rsidRDefault="007A1F44" w:rsidP="00926FB9">
            <w:pPr>
              <w:pStyle w:val="051Tabletext228pt"/>
              <w:keepNex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r>
      <w:tr w:rsidR="00585FF0" w:rsidRPr="00762E24" w14:paraId="7CB4757D" w14:textId="77777777" w:rsidTr="00585FF0">
        <w:trPr>
          <w:cantSplit/>
        </w:trPr>
        <w:tc>
          <w:tcPr>
            <w:tcW w:w="747" w:type="pct"/>
            <w:shd w:val="clear" w:color="auto" w:fill="auto"/>
          </w:tcPr>
          <w:p w14:paraId="4EF25688" w14:textId="193A1D6C" w:rsidR="00403B8D" w:rsidRPr="005D71A4" w:rsidRDefault="00403B8D" w:rsidP="00911CBC">
            <w:pPr>
              <w:pStyle w:val="051Tabletext228pt"/>
              <w:spacing w:before="20"/>
              <w:ind w:left="-57" w:right="-57"/>
              <w:rPr>
                <w:rFonts w:asciiTheme="minorHAnsi" w:hAnsiTheme="minorHAnsi" w:cstheme="minorHAnsi"/>
                <w:sz w:val="18"/>
                <w:szCs w:val="18"/>
              </w:rPr>
            </w:pPr>
            <w:r w:rsidRPr="005D71A4">
              <w:rPr>
                <w:rFonts w:asciiTheme="minorHAnsi" w:hAnsiTheme="minorHAnsi" w:cstheme="minorHAnsi"/>
                <w:sz w:val="18"/>
                <w:szCs w:val="18"/>
              </w:rPr>
              <w:t>Kunkle 2015</w:t>
            </w:r>
          </w:p>
        </w:tc>
        <w:tc>
          <w:tcPr>
            <w:tcW w:w="374" w:type="pct"/>
          </w:tcPr>
          <w:p w14:paraId="41EE7307" w14:textId="65878AA7" w:rsidR="00403B8D" w:rsidRPr="005D71A4" w:rsidRDefault="00403B8D" w:rsidP="00911CBC">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$USD</w:t>
            </w:r>
          </w:p>
        </w:tc>
        <w:tc>
          <w:tcPr>
            <w:tcW w:w="560" w:type="pct"/>
          </w:tcPr>
          <w:p w14:paraId="73BFA24A" w14:textId="635EC672" w:rsidR="00403B8D" w:rsidRPr="005D71A4" w:rsidRDefault="00403B8D" w:rsidP="00911CBC">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6,397</w:t>
            </w:r>
          </w:p>
        </w:tc>
        <w:tc>
          <w:tcPr>
            <w:tcW w:w="794" w:type="pct"/>
          </w:tcPr>
          <w:p w14:paraId="19C1ED6B" w14:textId="5A10519D" w:rsidR="00403B8D" w:rsidRPr="005D71A4" w:rsidRDefault="00403B8D" w:rsidP="00911CBC">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79" w:type="pct"/>
            <w:shd w:val="clear" w:color="auto" w:fill="auto"/>
          </w:tcPr>
          <w:p w14:paraId="3FBDD127" w14:textId="3F17E9E6" w:rsidR="00403B8D" w:rsidRPr="005D71A4" w:rsidRDefault="00403B8D" w:rsidP="00911CBC">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722" w:type="pct"/>
          </w:tcPr>
          <w:p w14:paraId="2F39630F" w14:textId="2B986CD0" w:rsidR="00403B8D" w:rsidRPr="005D71A4" w:rsidRDefault="00403B8D" w:rsidP="00911CBC">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516" w:type="pct"/>
          </w:tcPr>
          <w:p w14:paraId="479A0E91" w14:textId="11932695" w:rsidR="00403B8D" w:rsidRPr="005D71A4" w:rsidRDefault="00403B8D" w:rsidP="00911CBC">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08" w:type="pct"/>
            <w:shd w:val="clear" w:color="auto" w:fill="auto"/>
          </w:tcPr>
          <w:p w14:paraId="7C2D9B87" w14:textId="030230F4" w:rsidR="00403B8D" w:rsidRPr="005D71A4" w:rsidRDefault="005D4E53" w:rsidP="00911CBC">
            <w:pPr>
              <w:pStyle w:val="051Tabletext228pt"/>
              <w:spacing w:before="20"/>
              <w:ind w:left="-57" w:right="-57"/>
              <w:jc w:val="center"/>
              <w:rPr>
                <w:rFonts w:asciiTheme="minorHAnsi" w:hAnsiTheme="minorHAnsi" w:cstheme="minorHAnsi"/>
                <w:sz w:val="18"/>
                <w:szCs w:val="18"/>
              </w:rPr>
            </w:pPr>
            <w:r>
              <w:rPr>
                <w:rFonts w:asciiTheme="minorHAnsi" w:hAnsiTheme="minorHAnsi" w:cstheme="minorHAnsi"/>
                <w:sz w:val="18"/>
                <w:szCs w:val="18"/>
              </w:rPr>
              <w:t>*</w:t>
            </w:r>
          </w:p>
        </w:tc>
      </w:tr>
      <w:tr w:rsidR="00585FF0" w:rsidRPr="00762E24" w14:paraId="10A57389" w14:textId="77777777" w:rsidTr="00585FF0">
        <w:trPr>
          <w:cantSplit/>
        </w:trPr>
        <w:tc>
          <w:tcPr>
            <w:tcW w:w="747" w:type="pct"/>
            <w:shd w:val="clear" w:color="auto" w:fill="auto"/>
          </w:tcPr>
          <w:p w14:paraId="7C3E79A4" w14:textId="77777777" w:rsidR="00403B8D" w:rsidRPr="005D71A4" w:rsidRDefault="00403B8D" w:rsidP="0082475D">
            <w:pPr>
              <w:pStyle w:val="051Tabletext228pt"/>
              <w:spacing w:before="20"/>
              <w:ind w:left="-57" w:right="-57"/>
              <w:rPr>
                <w:rFonts w:asciiTheme="minorHAnsi" w:hAnsiTheme="minorHAnsi" w:cstheme="minorHAnsi"/>
                <w:sz w:val="18"/>
                <w:szCs w:val="18"/>
              </w:rPr>
            </w:pPr>
            <w:proofErr w:type="spellStart"/>
            <w:r w:rsidRPr="005D71A4">
              <w:rPr>
                <w:rFonts w:asciiTheme="minorHAnsi" w:hAnsiTheme="minorHAnsi" w:cstheme="minorHAnsi"/>
                <w:sz w:val="18"/>
                <w:szCs w:val="18"/>
              </w:rPr>
              <w:t>Javanbakht</w:t>
            </w:r>
            <w:proofErr w:type="spellEnd"/>
            <w:r w:rsidRPr="005D71A4">
              <w:rPr>
                <w:rFonts w:asciiTheme="minorHAnsi" w:hAnsiTheme="minorHAnsi" w:cstheme="minorHAnsi"/>
                <w:sz w:val="18"/>
                <w:szCs w:val="18"/>
              </w:rPr>
              <w:t xml:space="preserve"> 2020b</w:t>
            </w:r>
          </w:p>
        </w:tc>
        <w:tc>
          <w:tcPr>
            <w:tcW w:w="374" w:type="pct"/>
          </w:tcPr>
          <w:p w14:paraId="03CD8B42" w14:textId="263A2A6E"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£GBP</w:t>
            </w:r>
          </w:p>
        </w:tc>
        <w:tc>
          <w:tcPr>
            <w:tcW w:w="560" w:type="pct"/>
          </w:tcPr>
          <w:p w14:paraId="7F640E0F" w14:textId="6D2193EE"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1,550.29</w:t>
            </w:r>
          </w:p>
        </w:tc>
        <w:tc>
          <w:tcPr>
            <w:tcW w:w="794" w:type="pct"/>
          </w:tcPr>
          <w:p w14:paraId="3C7C404C" w14:textId="08921FD8"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79" w:type="pct"/>
            <w:shd w:val="clear" w:color="auto" w:fill="auto"/>
          </w:tcPr>
          <w:p w14:paraId="05BB7E5A" w14:textId="68DC45E2"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722" w:type="pct"/>
          </w:tcPr>
          <w:p w14:paraId="5E354947" w14:textId="4962FB92"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516" w:type="pct"/>
          </w:tcPr>
          <w:p w14:paraId="3D491703" w14:textId="3CDD5051"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08" w:type="pct"/>
            <w:shd w:val="clear" w:color="auto" w:fill="auto"/>
          </w:tcPr>
          <w:p w14:paraId="3804AF59" w14:textId="035AE9C6"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1,396.57</w:t>
            </w:r>
          </w:p>
        </w:tc>
      </w:tr>
      <w:tr w:rsidR="00585FF0" w:rsidRPr="00762E24" w14:paraId="6B92132A" w14:textId="77777777" w:rsidTr="00585FF0">
        <w:trPr>
          <w:cantSplit/>
        </w:trPr>
        <w:tc>
          <w:tcPr>
            <w:tcW w:w="747" w:type="pct"/>
            <w:shd w:val="clear" w:color="auto" w:fill="auto"/>
          </w:tcPr>
          <w:p w14:paraId="364E1414" w14:textId="77777777" w:rsidR="00403B8D" w:rsidRPr="005D71A4" w:rsidRDefault="00403B8D" w:rsidP="0082475D">
            <w:pPr>
              <w:pStyle w:val="051Tabletext228pt"/>
              <w:spacing w:before="20"/>
              <w:ind w:left="-57" w:right="-57"/>
              <w:rPr>
                <w:rFonts w:asciiTheme="minorHAnsi" w:hAnsiTheme="minorHAnsi" w:cstheme="minorHAnsi"/>
                <w:sz w:val="18"/>
                <w:szCs w:val="18"/>
              </w:rPr>
            </w:pPr>
            <w:r w:rsidRPr="005D71A4">
              <w:rPr>
                <w:rFonts w:asciiTheme="minorHAnsi" w:hAnsiTheme="minorHAnsi" w:cstheme="minorHAnsi"/>
                <w:sz w:val="18"/>
                <w:szCs w:val="18"/>
              </w:rPr>
              <w:t>Chang 2021</w:t>
            </w:r>
          </w:p>
        </w:tc>
        <w:tc>
          <w:tcPr>
            <w:tcW w:w="374" w:type="pct"/>
          </w:tcPr>
          <w:p w14:paraId="6C651DC7"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$USD</w:t>
            </w:r>
          </w:p>
        </w:tc>
        <w:tc>
          <w:tcPr>
            <w:tcW w:w="560" w:type="pct"/>
          </w:tcPr>
          <w:p w14:paraId="7E344550" w14:textId="1AB84F2B"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4,937</w:t>
            </w:r>
          </w:p>
        </w:tc>
        <w:tc>
          <w:tcPr>
            <w:tcW w:w="794" w:type="pct"/>
          </w:tcPr>
          <w:p w14:paraId="36540F2A"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79" w:type="pct"/>
            <w:shd w:val="clear" w:color="auto" w:fill="auto"/>
          </w:tcPr>
          <w:p w14:paraId="51D696E6"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722" w:type="pct"/>
          </w:tcPr>
          <w:p w14:paraId="6A07B8D8"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516" w:type="pct"/>
          </w:tcPr>
          <w:p w14:paraId="454B1434"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08" w:type="pct"/>
            <w:shd w:val="clear" w:color="auto" w:fill="auto"/>
          </w:tcPr>
          <w:p w14:paraId="6C52F1A5" w14:textId="04DF0181"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4,913</w:t>
            </w:r>
          </w:p>
        </w:tc>
      </w:tr>
      <w:tr w:rsidR="00585FF0" w:rsidRPr="00762E24" w14:paraId="780972D6" w14:textId="77777777" w:rsidTr="00585FF0">
        <w:trPr>
          <w:cantSplit/>
        </w:trPr>
        <w:tc>
          <w:tcPr>
            <w:tcW w:w="747" w:type="pct"/>
            <w:shd w:val="clear" w:color="auto" w:fill="auto"/>
          </w:tcPr>
          <w:p w14:paraId="7179BDE5" w14:textId="78FB9C10" w:rsidR="00DE56E9" w:rsidRPr="005D71A4" w:rsidRDefault="00DE56E9" w:rsidP="0082475D">
            <w:pPr>
              <w:pStyle w:val="051Tabletext228pt"/>
              <w:spacing w:before="20"/>
              <w:ind w:left="-57" w:right="-57"/>
              <w:rPr>
                <w:rFonts w:asciiTheme="minorHAnsi" w:hAnsiTheme="minorHAnsi" w:cstheme="minorHAnsi"/>
                <w:sz w:val="18"/>
                <w:szCs w:val="18"/>
              </w:rPr>
            </w:pPr>
            <w:r w:rsidRPr="005D71A4">
              <w:rPr>
                <w:rFonts w:asciiTheme="minorHAnsi" w:hAnsiTheme="minorHAnsi" w:cstheme="minorHAnsi"/>
                <w:sz w:val="18"/>
                <w:szCs w:val="18"/>
              </w:rPr>
              <w:t>Jia 2023</w:t>
            </w:r>
          </w:p>
        </w:tc>
        <w:tc>
          <w:tcPr>
            <w:tcW w:w="374" w:type="pct"/>
          </w:tcPr>
          <w:p w14:paraId="6676E4F6" w14:textId="79CF568D" w:rsidR="00DE56E9" w:rsidRPr="005D71A4" w:rsidRDefault="00C84078"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r w:rsidR="00785DC7" w:rsidRPr="005D71A4">
              <w:rPr>
                <w:rFonts w:asciiTheme="minorHAnsi" w:hAnsiTheme="minorHAnsi" w:cstheme="minorHAnsi"/>
                <w:sz w:val="18"/>
                <w:szCs w:val="18"/>
              </w:rPr>
              <w:t>USD</w:t>
            </w:r>
          </w:p>
        </w:tc>
        <w:tc>
          <w:tcPr>
            <w:tcW w:w="560" w:type="pct"/>
          </w:tcPr>
          <w:p w14:paraId="7A3AAB6C" w14:textId="561AE5B0" w:rsidR="00DE56E9" w:rsidRPr="005D71A4" w:rsidRDefault="007F3170"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2,226</w:t>
            </w:r>
            <w:r w:rsidR="00C84078" w:rsidRPr="005D71A4">
              <w:rPr>
                <w:rFonts w:asciiTheme="minorHAnsi" w:hAnsiTheme="minorHAnsi" w:cstheme="minorHAnsi"/>
                <w:sz w:val="18"/>
                <w:szCs w:val="18"/>
              </w:rPr>
              <w:t>.19</w:t>
            </w:r>
          </w:p>
        </w:tc>
        <w:tc>
          <w:tcPr>
            <w:tcW w:w="794" w:type="pct"/>
          </w:tcPr>
          <w:p w14:paraId="37CF4A51" w14:textId="1739CC95" w:rsidR="00DE56E9" w:rsidRPr="005D71A4" w:rsidRDefault="00F37540"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79" w:type="pct"/>
            <w:shd w:val="clear" w:color="auto" w:fill="auto"/>
          </w:tcPr>
          <w:p w14:paraId="2662D779" w14:textId="5F1FCC0E" w:rsidR="00DE56E9" w:rsidRPr="005D71A4" w:rsidRDefault="00C84078"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68 min</w:t>
            </w:r>
          </w:p>
        </w:tc>
        <w:tc>
          <w:tcPr>
            <w:tcW w:w="722" w:type="pct"/>
          </w:tcPr>
          <w:p w14:paraId="38F112D3" w14:textId="1F6A1F09" w:rsidR="00DE56E9" w:rsidRPr="005D71A4" w:rsidRDefault="00F37540"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516" w:type="pct"/>
          </w:tcPr>
          <w:p w14:paraId="136C08A3" w14:textId="45356ADF" w:rsidR="00DE56E9" w:rsidRPr="005D71A4" w:rsidRDefault="00F37540"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08" w:type="pct"/>
            <w:shd w:val="clear" w:color="auto" w:fill="auto"/>
          </w:tcPr>
          <w:p w14:paraId="329422D7" w14:textId="5519FD8C" w:rsidR="00DE56E9" w:rsidRPr="005D71A4" w:rsidRDefault="00C84078"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1,000.03</w:t>
            </w:r>
          </w:p>
        </w:tc>
      </w:tr>
      <w:tr w:rsidR="00585FF0" w:rsidRPr="00762E24" w14:paraId="2B7B9C24" w14:textId="77777777" w:rsidTr="00585FF0">
        <w:trPr>
          <w:cantSplit/>
        </w:trPr>
        <w:tc>
          <w:tcPr>
            <w:tcW w:w="747" w:type="pct"/>
            <w:shd w:val="clear" w:color="auto" w:fill="auto"/>
          </w:tcPr>
          <w:p w14:paraId="14F2A6C6" w14:textId="77777777" w:rsidR="00403B8D" w:rsidRPr="005D71A4" w:rsidRDefault="00403B8D" w:rsidP="0082475D">
            <w:pPr>
              <w:pStyle w:val="051Tabletext228pt"/>
              <w:spacing w:before="20"/>
              <w:ind w:left="-57" w:right="-57"/>
              <w:rPr>
                <w:rFonts w:asciiTheme="minorHAnsi" w:hAnsiTheme="minorHAnsi" w:cstheme="minorHAnsi"/>
                <w:sz w:val="18"/>
                <w:szCs w:val="18"/>
              </w:rPr>
            </w:pPr>
            <w:proofErr w:type="spellStart"/>
            <w:r w:rsidRPr="005D71A4">
              <w:rPr>
                <w:rFonts w:asciiTheme="minorHAnsi" w:hAnsiTheme="minorHAnsi" w:cstheme="minorHAnsi"/>
                <w:sz w:val="18"/>
                <w:szCs w:val="18"/>
              </w:rPr>
              <w:t>Castelijn</w:t>
            </w:r>
            <w:proofErr w:type="spellEnd"/>
            <w:r w:rsidRPr="005D71A4">
              <w:rPr>
                <w:rFonts w:asciiTheme="minorHAnsi" w:hAnsiTheme="minorHAnsi" w:cstheme="minorHAnsi"/>
                <w:sz w:val="18"/>
                <w:szCs w:val="18"/>
              </w:rPr>
              <w:t xml:space="preserve"> 2023</w:t>
            </w:r>
          </w:p>
        </w:tc>
        <w:tc>
          <w:tcPr>
            <w:tcW w:w="374" w:type="pct"/>
          </w:tcPr>
          <w:p w14:paraId="3BF4B19A"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roofErr w:type="spellStart"/>
            <w:r w:rsidRPr="005D71A4">
              <w:rPr>
                <w:rFonts w:asciiTheme="minorHAnsi" w:hAnsiTheme="minorHAnsi" w:cstheme="minorHAnsi"/>
                <w:sz w:val="18"/>
                <w:szCs w:val="18"/>
              </w:rPr>
              <w:t>Eur</w:t>
            </w:r>
            <w:proofErr w:type="spellEnd"/>
          </w:p>
        </w:tc>
        <w:tc>
          <w:tcPr>
            <w:tcW w:w="560" w:type="pct"/>
          </w:tcPr>
          <w:p w14:paraId="354E3936"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930</w:t>
            </w:r>
          </w:p>
        </w:tc>
        <w:tc>
          <w:tcPr>
            <w:tcW w:w="794" w:type="pct"/>
          </w:tcPr>
          <w:p w14:paraId="14F5A569" w14:textId="17DE5131"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353.54 (</w:t>
            </w:r>
            <w:r w:rsidR="00B94BCF" w:rsidRPr="005D71A4">
              <w:rPr>
                <w:rFonts w:asciiTheme="minorHAnsi" w:hAnsiTheme="minorHAnsi" w:cstheme="minorHAnsi"/>
                <w:sz w:val="18"/>
                <w:szCs w:val="18"/>
              </w:rPr>
              <w:t>RP-MUS</w:t>
            </w:r>
            <w:r w:rsidRPr="005D71A4">
              <w:rPr>
                <w:rFonts w:asciiTheme="minorHAnsi" w:hAnsiTheme="minorHAnsi" w:cstheme="minorHAnsi"/>
                <w:sz w:val="18"/>
                <w:szCs w:val="18"/>
              </w:rPr>
              <w:t>)</w:t>
            </w:r>
          </w:p>
          <w:p w14:paraId="2ED769FD" w14:textId="0114EA6D"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938.50 (</w:t>
            </w:r>
            <w:r w:rsidR="00B94BCF" w:rsidRPr="005D71A4">
              <w:rPr>
                <w:rFonts w:asciiTheme="minorHAnsi" w:hAnsiTheme="minorHAnsi" w:cstheme="minorHAnsi"/>
                <w:sz w:val="18"/>
                <w:szCs w:val="18"/>
              </w:rPr>
              <w:t>TO-MUS</w:t>
            </w:r>
            <w:r w:rsidRPr="005D71A4">
              <w:rPr>
                <w:rFonts w:asciiTheme="minorHAnsi" w:hAnsiTheme="minorHAnsi" w:cstheme="minorHAnsi"/>
                <w:sz w:val="18"/>
                <w:szCs w:val="18"/>
              </w:rPr>
              <w:t>)</w:t>
            </w:r>
          </w:p>
        </w:tc>
        <w:tc>
          <w:tcPr>
            <w:tcW w:w="679" w:type="pct"/>
            <w:shd w:val="clear" w:color="auto" w:fill="auto"/>
          </w:tcPr>
          <w:p w14:paraId="1909D545"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143.75</w:t>
            </w:r>
          </w:p>
        </w:tc>
        <w:tc>
          <w:tcPr>
            <w:tcW w:w="722" w:type="pct"/>
          </w:tcPr>
          <w:p w14:paraId="4AB5D782" w14:textId="77777777"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517</w:t>
            </w:r>
          </w:p>
        </w:tc>
        <w:tc>
          <w:tcPr>
            <w:tcW w:w="516" w:type="pct"/>
          </w:tcPr>
          <w:p w14:paraId="3D197B15" w14:textId="1F55C78A"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c>
          <w:tcPr>
            <w:tcW w:w="608" w:type="pct"/>
            <w:shd w:val="clear" w:color="auto" w:fill="auto"/>
          </w:tcPr>
          <w:p w14:paraId="15939AD7" w14:textId="54A36F2D" w:rsidR="00403B8D" w:rsidRPr="005D71A4" w:rsidRDefault="00403B8D" w:rsidP="0082475D">
            <w:pPr>
              <w:pStyle w:val="051Tabletext228pt"/>
              <w:spacing w:before="20"/>
              <w:ind w:left="-57" w:right="-57"/>
              <w:jc w:val="center"/>
              <w:rPr>
                <w:rFonts w:asciiTheme="minorHAnsi" w:hAnsiTheme="minorHAnsi" w:cstheme="minorHAnsi"/>
                <w:sz w:val="18"/>
                <w:szCs w:val="18"/>
              </w:rPr>
            </w:pPr>
            <w:r w:rsidRPr="005D71A4">
              <w:rPr>
                <w:rFonts w:asciiTheme="minorHAnsi" w:hAnsiTheme="minorHAnsi" w:cstheme="minorHAnsi"/>
                <w:sz w:val="18"/>
                <w:szCs w:val="18"/>
              </w:rPr>
              <w:t>*</w:t>
            </w:r>
          </w:p>
        </w:tc>
      </w:tr>
    </w:tbl>
    <w:p w14:paraId="356E0A27" w14:textId="3B8B19F8" w:rsidR="007D6910" w:rsidRDefault="007E628A" w:rsidP="00BA25D3">
      <w:pPr>
        <w:pStyle w:val="101Tablefootnotes8pt"/>
      </w:pPr>
      <w:r w:rsidRPr="005D71A4">
        <w:t xml:space="preserve">Abbreviations: </w:t>
      </w:r>
      <w:r w:rsidR="001B4FA5" w:rsidRPr="005D71A4">
        <w:t>€</w:t>
      </w:r>
      <w:proofErr w:type="spellStart"/>
      <w:r w:rsidR="001B4FA5" w:rsidRPr="005D71A4">
        <w:t>Eur</w:t>
      </w:r>
      <w:proofErr w:type="spellEnd"/>
      <w:r w:rsidRPr="005D71A4">
        <w:t>,</w:t>
      </w:r>
      <w:r w:rsidR="001B4FA5" w:rsidRPr="005D71A4">
        <w:t xml:space="preserve"> Euros; $USD</w:t>
      </w:r>
      <w:r w:rsidRPr="005D71A4">
        <w:t>,</w:t>
      </w:r>
      <w:r w:rsidR="001B4FA5" w:rsidRPr="005D71A4">
        <w:t xml:space="preserve"> US dollars</w:t>
      </w:r>
      <w:r w:rsidR="00717087" w:rsidRPr="005D71A4">
        <w:t xml:space="preserve">; </w:t>
      </w:r>
      <w:r w:rsidR="00F04AEF" w:rsidRPr="005D71A4">
        <w:t>d</w:t>
      </w:r>
      <w:r w:rsidRPr="005D71A4">
        <w:t>,</w:t>
      </w:r>
      <w:r w:rsidR="00F04AEF" w:rsidRPr="005D71A4">
        <w:t xml:space="preserve"> day; h</w:t>
      </w:r>
      <w:r w:rsidRPr="005D71A4">
        <w:t>,</w:t>
      </w:r>
      <w:r w:rsidR="00F04AEF" w:rsidRPr="005D71A4">
        <w:t xml:space="preserve"> hour; </w:t>
      </w:r>
      <w:proofErr w:type="spellStart"/>
      <w:r w:rsidR="00F04AEF" w:rsidRPr="005D71A4">
        <w:t>mo</w:t>
      </w:r>
      <w:proofErr w:type="spellEnd"/>
      <w:r w:rsidRPr="005D71A4">
        <w:t>,</w:t>
      </w:r>
      <w:r w:rsidR="00F04AEF" w:rsidRPr="005D71A4">
        <w:t xml:space="preserve"> month(s); MUS</w:t>
      </w:r>
      <w:r w:rsidRPr="005D71A4">
        <w:t>,</w:t>
      </w:r>
      <w:r w:rsidR="00F04AEF" w:rsidRPr="005D71A4">
        <w:t xml:space="preserve"> mid-urethral sling</w:t>
      </w:r>
      <w:r w:rsidR="00380F2D" w:rsidRPr="005D71A4">
        <w:t xml:space="preserve">; </w:t>
      </w:r>
      <w:r w:rsidR="00B94BCF" w:rsidRPr="005D71A4">
        <w:t>RP-MUS</w:t>
      </w:r>
      <w:r w:rsidRPr="005D71A4">
        <w:t>,</w:t>
      </w:r>
      <w:r w:rsidR="00F04AEF" w:rsidRPr="005D71A4">
        <w:t xml:space="preserve"> retropubic MUS; </w:t>
      </w:r>
      <w:r w:rsidR="00B94BCF" w:rsidRPr="005D71A4">
        <w:t>TO-MUS</w:t>
      </w:r>
      <w:r w:rsidRPr="005D71A4">
        <w:t>,</w:t>
      </w:r>
      <w:r w:rsidR="00F04AEF" w:rsidRPr="005D71A4">
        <w:t xml:space="preserve"> </w:t>
      </w:r>
      <w:proofErr w:type="spellStart"/>
      <w:r w:rsidR="00F04AEF" w:rsidRPr="005D71A4">
        <w:t>transobturator</w:t>
      </w:r>
      <w:proofErr w:type="spellEnd"/>
      <w:r w:rsidR="00F04AEF" w:rsidRPr="005D71A4">
        <w:t xml:space="preserve"> MUS.</w:t>
      </w:r>
    </w:p>
    <w:p w14:paraId="662748D7" w14:textId="0D4EFAC9" w:rsidR="00BA25D3" w:rsidRPr="00BA25D3" w:rsidRDefault="00BA25D3" w:rsidP="00BA25D3">
      <w:pPr>
        <w:pStyle w:val="111Tablefootnoteslast-nostick8pt"/>
      </w:pPr>
      <w:r w:rsidRPr="005D71A4">
        <w:t>* Cost</w:t>
      </w:r>
      <w:r w:rsidR="003076FD">
        <w:t>s</w:t>
      </w:r>
      <w:r w:rsidRPr="005D71A4">
        <w:t xml:space="preserve"> were not specified and / or assumed to be included in procedure</w:t>
      </w:r>
    </w:p>
    <w:p w14:paraId="0A013C0B" w14:textId="4F08549B" w:rsidR="00681387" w:rsidRDefault="003C59C8" w:rsidP="00A42057">
      <w:pPr>
        <w:pStyle w:val="Heading1"/>
      </w:pPr>
      <w:bookmarkStart w:id="155" w:name="_Ref131672687"/>
      <w:bookmarkStart w:id="156" w:name="_Toc165627846"/>
      <w:r>
        <w:lastRenderedPageBreak/>
        <w:t>Summary of findings and considerations for PLAC</w:t>
      </w:r>
      <w:bookmarkEnd w:id="155"/>
      <w:bookmarkEnd w:id="156"/>
    </w:p>
    <w:p w14:paraId="5DE2984B" w14:textId="74505BDB" w:rsidR="00654578" w:rsidRDefault="0005224D" w:rsidP="0005224D">
      <w:pPr>
        <w:pStyle w:val="Heading2"/>
      </w:pPr>
      <w:bookmarkStart w:id="157" w:name="_Toc165627847"/>
      <w:r>
        <w:t>C</w:t>
      </w:r>
      <w:r w:rsidR="00805EDE">
        <w:t>omparative c</w:t>
      </w:r>
      <w:r>
        <w:t xml:space="preserve">linical </w:t>
      </w:r>
      <w:r w:rsidR="00F9524D">
        <w:t>e</w:t>
      </w:r>
      <w:r>
        <w:t>ffectiveness</w:t>
      </w:r>
      <w:bookmarkEnd w:id="157"/>
    </w:p>
    <w:p w14:paraId="7E6523D1" w14:textId="6523CC76" w:rsidR="00420241" w:rsidRPr="00964531" w:rsidRDefault="00420241" w:rsidP="00420241">
      <w:pPr>
        <w:pStyle w:val="BodyText"/>
      </w:pPr>
      <w:r>
        <w:t xml:space="preserve">The </w:t>
      </w:r>
      <w:r w:rsidR="00F27EA3">
        <w:t xml:space="preserve">findings relating to the comparative clinical effectiveness of MUS are based </w:t>
      </w:r>
      <w:r w:rsidR="00A54A42">
        <w:t xml:space="preserve">predominately </w:t>
      </w:r>
      <w:r w:rsidR="00F27EA3">
        <w:t xml:space="preserve">on the </w:t>
      </w:r>
      <w:r w:rsidR="00A54A42">
        <w:t xml:space="preserve">2019 NICE Guideline </w:t>
      </w:r>
      <w:r w:rsidR="004361A8">
        <w:rPr>
          <w:i/>
          <w:iCs/>
        </w:rPr>
        <w:t>U</w:t>
      </w:r>
      <w:r w:rsidR="00A54A42">
        <w:rPr>
          <w:i/>
          <w:iCs/>
        </w:rPr>
        <w:t>rinary incontinence and pelvic organ prolapse in women: management</w:t>
      </w:r>
      <w:r w:rsidR="004F3428">
        <w:rPr>
          <w:i/>
          <w:iCs/>
        </w:rPr>
        <w:t xml:space="preserve"> </w:t>
      </w:r>
      <w:r w:rsidR="00245CE2">
        <w:rPr>
          <w:i/>
          <w:iCs/>
          <w:noProof/>
        </w:rPr>
        <w:t>(NICE 2019c)</w:t>
      </w:r>
      <w:r w:rsidR="00A54A42">
        <w:rPr>
          <w:i/>
          <w:iCs/>
        </w:rPr>
        <w:t xml:space="preserve">. </w:t>
      </w:r>
      <w:r w:rsidR="002C42DC">
        <w:t xml:space="preserve">The NICE evidence review identified no </w:t>
      </w:r>
      <w:r w:rsidR="003D490D">
        <w:t xml:space="preserve">eligible </w:t>
      </w:r>
      <w:r w:rsidR="002C42DC">
        <w:t>studies comparing bulking agents to MUS.</w:t>
      </w:r>
    </w:p>
    <w:p w14:paraId="1C54207A" w14:textId="5043C37E" w:rsidR="000A4405" w:rsidRDefault="007F0C20" w:rsidP="000A4405">
      <w:pPr>
        <w:pStyle w:val="Heading3"/>
      </w:pPr>
      <w:bookmarkStart w:id="158" w:name="_Ref165620394"/>
      <w:bookmarkStart w:id="159" w:name="_Toc165627848"/>
      <w:proofErr w:type="spellStart"/>
      <w:r>
        <w:t>Colposuspension</w:t>
      </w:r>
      <w:proofErr w:type="spellEnd"/>
      <w:r>
        <w:t xml:space="preserve"> </w:t>
      </w:r>
      <w:r w:rsidR="009048EC">
        <w:t xml:space="preserve">versus </w:t>
      </w:r>
      <w:r>
        <w:t>mid-urethral sling</w:t>
      </w:r>
      <w:bookmarkEnd w:id="158"/>
      <w:bookmarkEnd w:id="159"/>
    </w:p>
    <w:p w14:paraId="15CBDE73" w14:textId="13AD9EC0" w:rsidR="00F23198" w:rsidRPr="00F23198" w:rsidRDefault="00FD402B" w:rsidP="00F23198">
      <w:pPr>
        <w:pStyle w:val="BodyText"/>
      </w:pPr>
      <w:r>
        <w:t>The f</w:t>
      </w:r>
      <w:r w:rsidR="00F23198">
        <w:t xml:space="preserve">indings by outcome and follow-up time for MUS </w:t>
      </w:r>
      <w:r>
        <w:t xml:space="preserve">compared to </w:t>
      </w:r>
      <w:proofErr w:type="spellStart"/>
      <w:r>
        <w:t>colposuspension</w:t>
      </w:r>
      <w:proofErr w:type="spellEnd"/>
      <w:r>
        <w:t xml:space="preserve"> </w:t>
      </w:r>
      <w:r w:rsidR="00F23198">
        <w:t xml:space="preserve">are summarised in </w:t>
      </w:r>
      <w:r w:rsidR="007F0C20" w:rsidRPr="00E122CA">
        <w:rPr>
          <w:b/>
          <w:bCs/>
        </w:rPr>
        <w:fldChar w:fldCharType="begin"/>
      </w:r>
      <w:r w:rsidR="007F0C20" w:rsidRPr="00E122CA">
        <w:rPr>
          <w:b/>
          <w:bCs/>
        </w:rPr>
        <w:instrText xml:space="preserve"> REF _Ref133501201 \h </w:instrText>
      </w:r>
      <w:r w:rsidR="00E122CA">
        <w:rPr>
          <w:b/>
          <w:bCs/>
        </w:rPr>
        <w:instrText xml:space="preserve"> \* MERGEFORMAT </w:instrText>
      </w:r>
      <w:r w:rsidR="007F0C20" w:rsidRPr="00E122CA">
        <w:rPr>
          <w:b/>
          <w:bCs/>
        </w:rPr>
      </w:r>
      <w:r w:rsidR="007F0C20" w:rsidRPr="00E122CA">
        <w:rPr>
          <w:b/>
          <w:bCs/>
        </w:rPr>
        <w:fldChar w:fldCharType="separate"/>
      </w:r>
      <w:r w:rsidR="007105D3" w:rsidRPr="007105D3">
        <w:rPr>
          <w:b/>
          <w:bCs/>
        </w:rPr>
        <w:t xml:space="preserve">Table </w:t>
      </w:r>
      <w:r w:rsidR="007105D3" w:rsidRPr="007105D3">
        <w:rPr>
          <w:b/>
          <w:bCs/>
          <w:noProof/>
        </w:rPr>
        <w:t>32</w:t>
      </w:r>
      <w:r w:rsidR="007F0C20" w:rsidRPr="00E122CA">
        <w:rPr>
          <w:b/>
          <w:bCs/>
        </w:rPr>
        <w:fldChar w:fldCharType="end"/>
      </w:r>
      <w:r w:rsidR="00F23198">
        <w:t>, including the number of RCTs and participants, and the quality of the evidence.</w:t>
      </w:r>
    </w:p>
    <w:p w14:paraId="69BBE6C0" w14:textId="6F9F6222" w:rsidR="009048EC" w:rsidRPr="00B0485F" w:rsidRDefault="009048EC" w:rsidP="009048EC">
      <w:pPr>
        <w:pStyle w:val="Caption"/>
      </w:pPr>
      <w:bookmarkStart w:id="160" w:name="_Ref133501201"/>
      <w:bookmarkStart w:id="161" w:name="_Toc165627900"/>
      <w:r>
        <w:t xml:space="preserve">Table </w:t>
      </w:r>
      <w:fldSimple w:instr=" SEQ Table \* ARABIC ">
        <w:r w:rsidR="007105D3">
          <w:rPr>
            <w:noProof/>
          </w:rPr>
          <w:t>32</w:t>
        </w:r>
      </w:fldSimple>
      <w:bookmarkEnd w:id="160"/>
      <w:r>
        <w:tab/>
        <w:t xml:space="preserve">Summary of NICE findings for </w:t>
      </w:r>
      <w:proofErr w:type="spellStart"/>
      <w:r w:rsidR="009B2A2B">
        <w:t>c</w:t>
      </w:r>
      <w:r>
        <w:t>olposuspension</w:t>
      </w:r>
      <w:proofErr w:type="spellEnd"/>
      <w:r>
        <w:t xml:space="preserve"> versus MUS</w:t>
      </w:r>
      <w:bookmarkEnd w:id="161"/>
      <w:r>
        <w:t xml:space="preserve"> </w:t>
      </w:r>
      <w:r>
        <w:tab/>
      </w:r>
    </w:p>
    <w:tbl>
      <w:tblPr>
        <w:tblStyle w:val="TableGrid"/>
        <w:tblW w:w="9640" w:type="dxa"/>
        <w:tblLook w:val="04A0" w:firstRow="1" w:lastRow="0" w:firstColumn="1" w:lastColumn="0" w:noHBand="0" w:noVBand="1"/>
        <w:tblCaption w:val="Summary of NICE findings for colposuspension versus MUS"/>
        <w:tblDescription w:val="This table shows the number of randomised controlled trials, number of participants, quality of evidence, and statistical significance and clinical importance of the findings for colposuspension versus mid-urethral sling, by outcome."/>
      </w:tblPr>
      <w:tblGrid>
        <w:gridCol w:w="1928"/>
        <w:gridCol w:w="2212"/>
        <w:gridCol w:w="1644"/>
        <w:gridCol w:w="1928"/>
        <w:gridCol w:w="1928"/>
      </w:tblGrid>
      <w:tr w:rsidR="000B4EF5" w14:paraId="47A0D981" w14:textId="77777777" w:rsidTr="003674C8">
        <w:trPr>
          <w:cnfStyle w:val="100000000000" w:firstRow="1" w:lastRow="0" w:firstColumn="0" w:lastColumn="0" w:oddVBand="0" w:evenVBand="0" w:oddHBand="0" w:evenHBand="0" w:firstRowFirstColumn="0" w:firstRowLastColumn="0" w:lastRowFirstColumn="0" w:lastRowLastColumn="0"/>
        </w:trPr>
        <w:tc>
          <w:tcPr>
            <w:tcW w:w="1928" w:type="dxa"/>
            <w:tcBorders>
              <w:bottom w:val="single" w:sz="4" w:space="0" w:color="auto"/>
            </w:tcBorders>
          </w:tcPr>
          <w:p w14:paraId="689034EE" w14:textId="77777777" w:rsidR="009048EC" w:rsidRPr="005D71A4" w:rsidRDefault="009048EC" w:rsidP="00BB06A3">
            <w:pPr>
              <w:pStyle w:val="011TableHeading8pt"/>
              <w:rPr>
                <w:sz w:val="18"/>
                <w:szCs w:val="18"/>
              </w:rPr>
            </w:pPr>
            <w:r w:rsidRPr="005D71A4">
              <w:rPr>
                <w:sz w:val="18"/>
                <w:szCs w:val="18"/>
              </w:rPr>
              <w:t>Outcome</w:t>
            </w:r>
          </w:p>
        </w:tc>
        <w:tc>
          <w:tcPr>
            <w:tcW w:w="2212" w:type="dxa"/>
            <w:tcBorders>
              <w:bottom w:val="single" w:sz="4" w:space="0" w:color="auto"/>
            </w:tcBorders>
          </w:tcPr>
          <w:p w14:paraId="7F4B7EDA" w14:textId="77777777" w:rsidR="009048EC" w:rsidRPr="005D71A4" w:rsidRDefault="009048EC" w:rsidP="00BB06A3">
            <w:pPr>
              <w:pStyle w:val="011TableHeading8pt"/>
              <w:rPr>
                <w:sz w:val="18"/>
                <w:szCs w:val="18"/>
              </w:rPr>
            </w:pPr>
            <w:r w:rsidRPr="005D71A4">
              <w:rPr>
                <w:sz w:val="18"/>
                <w:szCs w:val="18"/>
              </w:rPr>
              <w:t>No. of RCTs, No. participants</w:t>
            </w:r>
          </w:p>
        </w:tc>
        <w:tc>
          <w:tcPr>
            <w:tcW w:w="1644" w:type="dxa"/>
            <w:tcBorders>
              <w:bottom w:val="single" w:sz="4" w:space="0" w:color="auto"/>
            </w:tcBorders>
          </w:tcPr>
          <w:p w14:paraId="0E4E5CB9" w14:textId="77777777" w:rsidR="009048EC" w:rsidRPr="005D71A4" w:rsidRDefault="009048EC" w:rsidP="00BB06A3">
            <w:pPr>
              <w:pStyle w:val="011TableHeading8pt"/>
              <w:rPr>
                <w:sz w:val="18"/>
                <w:szCs w:val="18"/>
              </w:rPr>
            </w:pPr>
            <w:r w:rsidRPr="005D71A4">
              <w:rPr>
                <w:sz w:val="18"/>
                <w:szCs w:val="18"/>
              </w:rPr>
              <w:t>Quality of evidence</w:t>
            </w:r>
          </w:p>
        </w:tc>
        <w:tc>
          <w:tcPr>
            <w:tcW w:w="1928" w:type="dxa"/>
            <w:tcBorders>
              <w:bottom w:val="single" w:sz="4" w:space="0" w:color="auto"/>
            </w:tcBorders>
          </w:tcPr>
          <w:p w14:paraId="6F47CB7E" w14:textId="77777777" w:rsidR="009048EC" w:rsidRPr="005D71A4" w:rsidRDefault="009048EC" w:rsidP="00BB06A3">
            <w:pPr>
              <w:pStyle w:val="011TableHeading8pt"/>
              <w:rPr>
                <w:sz w:val="18"/>
                <w:szCs w:val="18"/>
              </w:rPr>
            </w:pPr>
            <w:r w:rsidRPr="005D71A4">
              <w:rPr>
                <w:sz w:val="18"/>
                <w:szCs w:val="18"/>
              </w:rPr>
              <w:t>Statistical significance</w:t>
            </w:r>
          </w:p>
        </w:tc>
        <w:tc>
          <w:tcPr>
            <w:tcW w:w="1928" w:type="dxa"/>
            <w:tcBorders>
              <w:bottom w:val="single" w:sz="4" w:space="0" w:color="auto"/>
            </w:tcBorders>
          </w:tcPr>
          <w:p w14:paraId="30569A02" w14:textId="130D109C" w:rsidR="009048EC" w:rsidRPr="00083412" w:rsidRDefault="009048EC" w:rsidP="00BB06A3">
            <w:pPr>
              <w:pStyle w:val="011TableHeading8pt"/>
              <w:rPr>
                <w:sz w:val="18"/>
                <w:szCs w:val="18"/>
                <w:vertAlign w:val="superscript"/>
              </w:rPr>
            </w:pPr>
            <w:r w:rsidRPr="005D71A4">
              <w:rPr>
                <w:sz w:val="18"/>
                <w:szCs w:val="18"/>
              </w:rPr>
              <w:t>Clinical importance</w:t>
            </w:r>
            <w:r w:rsidR="005B28DD">
              <w:rPr>
                <w:sz w:val="18"/>
                <w:szCs w:val="18"/>
                <w:vertAlign w:val="superscript"/>
              </w:rPr>
              <w:t>1</w:t>
            </w:r>
          </w:p>
        </w:tc>
      </w:tr>
      <w:tr w:rsidR="000B4EF5" w14:paraId="2600C356" w14:textId="77777777" w:rsidTr="00DB0BEE">
        <w:tc>
          <w:tcPr>
            <w:tcW w:w="1928" w:type="dxa"/>
            <w:tcBorders>
              <w:bottom w:val="nil"/>
            </w:tcBorders>
            <w:shd w:val="clear" w:color="auto" w:fill="E7E6E6" w:themeFill="background2"/>
          </w:tcPr>
          <w:p w14:paraId="65A2D05F" w14:textId="77777777" w:rsidR="009048EC" w:rsidRPr="005D71A4" w:rsidRDefault="009048EC" w:rsidP="00BB06A3">
            <w:pPr>
              <w:pStyle w:val="051Tabletext228pt"/>
              <w:rPr>
                <w:b/>
                <w:bCs/>
                <w:sz w:val="18"/>
                <w:szCs w:val="18"/>
                <w:highlight w:val="yellow"/>
              </w:rPr>
            </w:pPr>
            <w:r w:rsidRPr="005D71A4">
              <w:rPr>
                <w:b/>
                <w:bCs/>
                <w:sz w:val="18"/>
                <w:szCs w:val="18"/>
              </w:rPr>
              <w:t>Change in continence status</w:t>
            </w:r>
          </w:p>
        </w:tc>
        <w:tc>
          <w:tcPr>
            <w:tcW w:w="2212" w:type="dxa"/>
            <w:tcBorders>
              <w:bottom w:val="nil"/>
            </w:tcBorders>
            <w:shd w:val="clear" w:color="auto" w:fill="E7E6E6" w:themeFill="background2"/>
          </w:tcPr>
          <w:p w14:paraId="3220C200" w14:textId="77777777" w:rsidR="009048EC" w:rsidRPr="005D71A4" w:rsidRDefault="009048EC" w:rsidP="00BB06A3">
            <w:pPr>
              <w:pStyle w:val="051Tabletext228pt"/>
              <w:rPr>
                <w:sz w:val="18"/>
                <w:szCs w:val="18"/>
              </w:rPr>
            </w:pPr>
          </w:p>
        </w:tc>
        <w:tc>
          <w:tcPr>
            <w:tcW w:w="1644" w:type="dxa"/>
            <w:tcBorders>
              <w:bottom w:val="nil"/>
            </w:tcBorders>
            <w:shd w:val="clear" w:color="auto" w:fill="E7E6E6" w:themeFill="background2"/>
          </w:tcPr>
          <w:p w14:paraId="2DBF4CA6" w14:textId="77777777" w:rsidR="009048EC" w:rsidRPr="005D71A4" w:rsidRDefault="009048EC" w:rsidP="00BB06A3">
            <w:pPr>
              <w:pStyle w:val="051Tabletext228pt"/>
              <w:rPr>
                <w:sz w:val="18"/>
                <w:szCs w:val="18"/>
              </w:rPr>
            </w:pPr>
          </w:p>
        </w:tc>
        <w:tc>
          <w:tcPr>
            <w:tcW w:w="1928" w:type="dxa"/>
            <w:tcBorders>
              <w:bottom w:val="nil"/>
            </w:tcBorders>
            <w:shd w:val="clear" w:color="auto" w:fill="E7E6E6" w:themeFill="background2"/>
          </w:tcPr>
          <w:p w14:paraId="1EEC3D32" w14:textId="77777777" w:rsidR="009048EC" w:rsidRPr="005D71A4" w:rsidRDefault="009048EC" w:rsidP="00BB06A3">
            <w:pPr>
              <w:pStyle w:val="051Tabletext228pt"/>
              <w:rPr>
                <w:sz w:val="18"/>
                <w:szCs w:val="18"/>
              </w:rPr>
            </w:pPr>
          </w:p>
        </w:tc>
        <w:tc>
          <w:tcPr>
            <w:tcW w:w="1928" w:type="dxa"/>
            <w:tcBorders>
              <w:bottom w:val="nil"/>
            </w:tcBorders>
            <w:shd w:val="clear" w:color="auto" w:fill="E7E6E6" w:themeFill="background2"/>
          </w:tcPr>
          <w:p w14:paraId="67F4662D" w14:textId="77777777" w:rsidR="009048EC" w:rsidRPr="005D71A4" w:rsidRDefault="009048EC" w:rsidP="00BB06A3">
            <w:pPr>
              <w:pStyle w:val="051Tabletext228pt"/>
              <w:rPr>
                <w:sz w:val="18"/>
                <w:szCs w:val="18"/>
              </w:rPr>
            </w:pPr>
          </w:p>
        </w:tc>
      </w:tr>
      <w:tr w:rsidR="000B4EF5" w14:paraId="77BBFD73" w14:textId="77777777" w:rsidTr="00DB0BEE">
        <w:tc>
          <w:tcPr>
            <w:tcW w:w="1928" w:type="dxa"/>
            <w:tcBorders>
              <w:top w:val="nil"/>
              <w:bottom w:val="nil"/>
            </w:tcBorders>
          </w:tcPr>
          <w:p w14:paraId="06527ECE" w14:textId="77777777" w:rsidR="009048EC" w:rsidRPr="005D71A4" w:rsidRDefault="009048EC" w:rsidP="00BB06A3">
            <w:pPr>
              <w:pStyle w:val="051Tabletext228pt"/>
              <w:rPr>
                <w:sz w:val="18"/>
                <w:szCs w:val="18"/>
              </w:rPr>
            </w:pPr>
            <w:r w:rsidRPr="005D71A4">
              <w:rPr>
                <w:sz w:val="18"/>
                <w:szCs w:val="18"/>
              </w:rPr>
              <w:t>subjective cure</w:t>
            </w:r>
          </w:p>
        </w:tc>
        <w:tc>
          <w:tcPr>
            <w:tcW w:w="2212" w:type="dxa"/>
            <w:tcBorders>
              <w:top w:val="nil"/>
              <w:bottom w:val="nil"/>
            </w:tcBorders>
            <w:shd w:val="clear" w:color="auto" w:fill="auto"/>
          </w:tcPr>
          <w:p w14:paraId="25D76008" w14:textId="77777777" w:rsidR="009048EC" w:rsidRPr="005D71A4" w:rsidRDefault="009048EC" w:rsidP="00BB06A3">
            <w:pPr>
              <w:pStyle w:val="051Tabletext228pt"/>
              <w:rPr>
                <w:sz w:val="18"/>
                <w:szCs w:val="18"/>
              </w:rPr>
            </w:pPr>
            <w:r w:rsidRPr="005D71A4">
              <w:rPr>
                <w:sz w:val="18"/>
                <w:szCs w:val="18"/>
              </w:rPr>
              <w:t>4, N=625 (S)</w:t>
            </w:r>
          </w:p>
        </w:tc>
        <w:tc>
          <w:tcPr>
            <w:tcW w:w="1644" w:type="dxa"/>
            <w:tcBorders>
              <w:top w:val="nil"/>
              <w:bottom w:val="nil"/>
            </w:tcBorders>
            <w:shd w:val="clear" w:color="auto" w:fill="FFE599" w:themeFill="accent4" w:themeFillTint="66"/>
          </w:tcPr>
          <w:p w14:paraId="528BD96A" w14:textId="77777777" w:rsidR="009048EC" w:rsidRPr="005D71A4" w:rsidRDefault="009048EC" w:rsidP="00BB06A3">
            <w:pPr>
              <w:pStyle w:val="051Tabletext228pt"/>
              <w:rPr>
                <w:sz w:val="18"/>
                <w:szCs w:val="18"/>
              </w:rPr>
            </w:pPr>
            <w:r w:rsidRPr="005D71A4">
              <w:rPr>
                <w:sz w:val="18"/>
                <w:szCs w:val="18"/>
              </w:rPr>
              <w:t>Low</w:t>
            </w:r>
          </w:p>
        </w:tc>
        <w:tc>
          <w:tcPr>
            <w:tcW w:w="1928" w:type="dxa"/>
            <w:tcBorders>
              <w:top w:val="nil"/>
              <w:bottom w:val="nil"/>
            </w:tcBorders>
          </w:tcPr>
          <w:p w14:paraId="5A208E6C" w14:textId="77777777" w:rsidR="009048EC" w:rsidRPr="005D71A4" w:rsidRDefault="009048EC" w:rsidP="00BB06A3">
            <w:pPr>
              <w:pStyle w:val="051Tabletext228pt"/>
              <w:rPr>
                <w:sz w:val="18"/>
                <w:szCs w:val="18"/>
              </w:rPr>
            </w:pPr>
            <w:r w:rsidRPr="005D71A4">
              <w:rPr>
                <w:sz w:val="18"/>
                <w:szCs w:val="18"/>
              </w:rPr>
              <w:t>No difference (S)</w:t>
            </w:r>
          </w:p>
        </w:tc>
        <w:tc>
          <w:tcPr>
            <w:tcW w:w="1928" w:type="dxa"/>
            <w:tcBorders>
              <w:top w:val="nil"/>
              <w:bottom w:val="nil"/>
            </w:tcBorders>
          </w:tcPr>
          <w:p w14:paraId="2E04BA0D" w14:textId="77777777" w:rsidR="009048EC" w:rsidRPr="005D71A4" w:rsidRDefault="009048EC" w:rsidP="00BB06A3">
            <w:pPr>
              <w:pStyle w:val="051Tabletext228pt"/>
              <w:rPr>
                <w:sz w:val="18"/>
                <w:szCs w:val="18"/>
              </w:rPr>
            </w:pPr>
            <w:r w:rsidRPr="005D71A4">
              <w:rPr>
                <w:sz w:val="18"/>
                <w:szCs w:val="18"/>
              </w:rPr>
              <w:t>No difference (S)</w:t>
            </w:r>
          </w:p>
        </w:tc>
      </w:tr>
      <w:tr w:rsidR="000B4EF5" w14:paraId="6F80C635" w14:textId="77777777" w:rsidTr="00DB0BEE">
        <w:tc>
          <w:tcPr>
            <w:tcW w:w="1928" w:type="dxa"/>
            <w:tcBorders>
              <w:top w:val="nil"/>
              <w:bottom w:val="nil"/>
            </w:tcBorders>
          </w:tcPr>
          <w:p w14:paraId="0218626F" w14:textId="77777777" w:rsidR="009048EC" w:rsidRPr="005D71A4" w:rsidRDefault="009048EC" w:rsidP="00BB06A3">
            <w:pPr>
              <w:pStyle w:val="051Tabletext228pt"/>
              <w:rPr>
                <w:sz w:val="18"/>
                <w:szCs w:val="18"/>
              </w:rPr>
            </w:pPr>
          </w:p>
        </w:tc>
        <w:tc>
          <w:tcPr>
            <w:tcW w:w="2212" w:type="dxa"/>
            <w:tcBorders>
              <w:top w:val="nil"/>
              <w:bottom w:val="nil"/>
            </w:tcBorders>
            <w:shd w:val="clear" w:color="auto" w:fill="auto"/>
          </w:tcPr>
          <w:p w14:paraId="7C84F7F7" w14:textId="77777777" w:rsidR="009048EC" w:rsidRPr="005D71A4" w:rsidRDefault="009048EC" w:rsidP="00BB06A3">
            <w:pPr>
              <w:pStyle w:val="051Tabletext228pt"/>
              <w:rPr>
                <w:sz w:val="18"/>
                <w:szCs w:val="18"/>
              </w:rPr>
            </w:pPr>
            <w:r w:rsidRPr="005D71A4">
              <w:rPr>
                <w:sz w:val="18"/>
                <w:szCs w:val="18"/>
              </w:rPr>
              <w:t>4, N=619 (M)</w:t>
            </w:r>
          </w:p>
        </w:tc>
        <w:tc>
          <w:tcPr>
            <w:tcW w:w="1644" w:type="dxa"/>
            <w:tcBorders>
              <w:top w:val="nil"/>
              <w:bottom w:val="nil"/>
            </w:tcBorders>
            <w:shd w:val="clear" w:color="auto" w:fill="F4B083" w:themeFill="accent2" w:themeFillTint="99"/>
          </w:tcPr>
          <w:p w14:paraId="1429AF0E"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1E2D5AEB" w14:textId="77777777" w:rsidR="009048EC" w:rsidRPr="005D71A4" w:rsidRDefault="009048EC" w:rsidP="00BB06A3">
            <w:pPr>
              <w:pStyle w:val="051Tabletext228pt"/>
              <w:rPr>
                <w:sz w:val="18"/>
                <w:szCs w:val="18"/>
              </w:rPr>
            </w:pPr>
            <w:r w:rsidRPr="005D71A4">
              <w:rPr>
                <w:sz w:val="18"/>
                <w:szCs w:val="18"/>
              </w:rPr>
              <w:t>No difference (M)</w:t>
            </w:r>
          </w:p>
        </w:tc>
        <w:tc>
          <w:tcPr>
            <w:tcW w:w="1928" w:type="dxa"/>
            <w:tcBorders>
              <w:top w:val="nil"/>
              <w:bottom w:val="nil"/>
            </w:tcBorders>
          </w:tcPr>
          <w:p w14:paraId="4D05B101" w14:textId="77777777" w:rsidR="009048EC" w:rsidRPr="005D71A4" w:rsidRDefault="009048EC" w:rsidP="00BB06A3">
            <w:pPr>
              <w:pStyle w:val="051Tabletext228pt"/>
              <w:rPr>
                <w:sz w:val="18"/>
                <w:szCs w:val="18"/>
              </w:rPr>
            </w:pPr>
            <w:r w:rsidRPr="005D71A4">
              <w:rPr>
                <w:sz w:val="18"/>
                <w:szCs w:val="18"/>
              </w:rPr>
              <w:t>No difference (M)</w:t>
            </w:r>
          </w:p>
        </w:tc>
      </w:tr>
      <w:tr w:rsidR="000B4EF5" w14:paraId="24B97313" w14:textId="77777777" w:rsidTr="00DB0BEE">
        <w:tc>
          <w:tcPr>
            <w:tcW w:w="1928" w:type="dxa"/>
            <w:tcBorders>
              <w:top w:val="nil"/>
              <w:bottom w:val="nil"/>
            </w:tcBorders>
          </w:tcPr>
          <w:p w14:paraId="16ED2CD8" w14:textId="77777777" w:rsidR="009048EC" w:rsidRPr="005D71A4" w:rsidRDefault="009048EC" w:rsidP="00BB06A3">
            <w:pPr>
              <w:pStyle w:val="051Tabletext228pt"/>
              <w:rPr>
                <w:sz w:val="18"/>
                <w:szCs w:val="18"/>
              </w:rPr>
            </w:pPr>
          </w:p>
        </w:tc>
        <w:tc>
          <w:tcPr>
            <w:tcW w:w="2212" w:type="dxa"/>
            <w:tcBorders>
              <w:top w:val="nil"/>
              <w:bottom w:val="nil"/>
            </w:tcBorders>
            <w:shd w:val="clear" w:color="auto" w:fill="auto"/>
          </w:tcPr>
          <w:p w14:paraId="23DE1A89" w14:textId="77777777" w:rsidR="009048EC" w:rsidRPr="005D71A4" w:rsidRDefault="009048EC" w:rsidP="00BB06A3">
            <w:pPr>
              <w:pStyle w:val="051Tabletext228pt"/>
              <w:rPr>
                <w:sz w:val="18"/>
                <w:szCs w:val="18"/>
              </w:rPr>
            </w:pPr>
            <w:r w:rsidRPr="005D71A4">
              <w:rPr>
                <w:sz w:val="18"/>
                <w:szCs w:val="18"/>
              </w:rPr>
              <w:t>1, N=72</w:t>
            </w:r>
          </w:p>
        </w:tc>
        <w:tc>
          <w:tcPr>
            <w:tcW w:w="1644" w:type="dxa"/>
            <w:tcBorders>
              <w:top w:val="nil"/>
              <w:bottom w:val="nil"/>
            </w:tcBorders>
            <w:shd w:val="clear" w:color="auto" w:fill="F4B083" w:themeFill="accent2" w:themeFillTint="99"/>
          </w:tcPr>
          <w:p w14:paraId="1AACB8DD"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6F3CA783" w14:textId="77777777" w:rsidR="009048EC" w:rsidRPr="005D71A4" w:rsidRDefault="009048EC" w:rsidP="00BB06A3">
            <w:pPr>
              <w:pStyle w:val="051Tabletext228pt"/>
              <w:rPr>
                <w:sz w:val="18"/>
                <w:szCs w:val="18"/>
              </w:rPr>
            </w:pPr>
            <w:r w:rsidRPr="005D71A4">
              <w:rPr>
                <w:sz w:val="18"/>
                <w:szCs w:val="18"/>
              </w:rPr>
              <w:t>No difference (L)</w:t>
            </w:r>
          </w:p>
        </w:tc>
        <w:tc>
          <w:tcPr>
            <w:tcW w:w="1928" w:type="dxa"/>
            <w:tcBorders>
              <w:top w:val="nil"/>
              <w:bottom w:val="nil"/>
            </w:tcBorders>
          </w:tcPr>
          <w:p w14:paraId="04F33365" w14:textId="77777777" w:rsidR="009048EC" w:rsidRPr="005D71A4" w:rsidRDefault="009048EC" w:rsidP="00BB06A3">
            <w:pPr>
              <w:pStyle w:val="051Tabletext228pt"/>
              <w:rPr>
                <w:sz w:val="18"/>
                <w:szCs w:val="18"/>
              </w:rPr>
            </w:pPr>
            <w:r w:rsidRPr="005D71A4">
              <w:rPr>
                <w:sz w:val="18"/>
                <w:szCs w:val="18"/>
              </w:rPr>
              <w:t>No difference (L)</w:t>
            </w:r>
          </w:p>
        </w:tc>
      </w:tr>
      <w:tr w:rsidR="000B4EF5" w14:paraId="379CCB2D" w14:textId="77777777" w:rsidTr="00DB0BEE">
        <w:tc>
          <w:tcPr>
            <w:tcW w:w="1928" w:type="dxa"/>
            <w:tcBorders>
              <w:top w:val="nil"/>
              <w:bottom w:val="nil"/>
            </w:tcBorders>
          </w:tcPr>
          <w:p w14:paraId="13C47E54" w14:textId="77777777" w:rsidR="009048EC" w:rsidRPr="005D71A4" w:rsidRDefault="009048EC" w:rsidP="00BB06A3">
            <w:pPr>
              <w:pStyle w:val="051Tabletext228pt"/>
              <w:rPr>
                <w:sz w:val="18"/>
                <w:szCs w:val="18"/>
              </w:rPr>
            </w:pPr>
            <w:r w:rsidRPr="005D71A4">
              <w:rPr>
                <w:sz w:val="18"/>
                <w:szCs w:val="18"/>
              </w:rPr>
              <w:t>objective cure</w:t>
            </w:r>
          </w:p>
        </w:tc>
        <w:tc>
          <w:tcPr>
            <w:tcW w:w="2212" w:type="dxa"/>
            <w:tcBorders>
              <w:top w:val="nil"/>
              <w:bottom w:val="nil"/>
            </w:tcBorders>
            <w:shd w:val="clear" w:color="auto" w:fill="auto"/>
          </w:tcPr>
          <w:p w14:paraId="742F1ED3" w14:textId="77777777" w:rsidR="009048EC" w:rsidRPr="005D71A4" w:rsidRDefault="009048EC" w:rsidP="00BB06A3">
            <w:pPr>
              <w:pStyle w:val="051Tabletext228pt"/>
              <w:rPr>
                <w:sz w:val="18"/>
                <w:szCs w:val="18"/>
              </w:rPr>
            </w:pPr>
            <w:r w:rsidRPr="005D71A4">
              <w:rPr>
                <w:sz w:val="18"/>
                <w:szCs w:val="18"/>
              </w:rPr>
              <w:t>5, N=689 (S)</w:t>
            </w:r>
          </w:p>
        </w:tc>
        <w:tc>
          <w:tcPr>
            <w:tcW w:w="1644" w:type="dxa"/>
            <w:tcBorders>
              <w:top w:val="nil"/>
              <w:bottom w:val="nil"/>
            </w:tcBorders>
            <w:shd w:val="clear" w:color="auto" w:fill="F4B083" w:themeFill="accent2" w:themeFillTint="99"/>
          </w:tcPr>
          <w:p w14:paraId="4EBE86D7"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shd w:val="clear" w:color="auto" w:fill="C5E0B3" w:themeFill="accent6" w:themeFillTint="66"/>
          </w:tcPr>
          <w:p w14:paraId="7E47C3D6" w14:textId="77777777" w:rsidR="009048EC" w:rsidRPr="005D71A4" w:rsidRDefault="009048EC" w:rsidP="00BB06A3">
            <w:pPr>
              <w:pStyle w:val="051Tabletext228pt"/>
              <w:rPr>
                <w:sz w:val="18"/>
                <w:szCs w:val="18"/>
              </w:rPr>
            </w:pPr>
            <w:r w:rsidRPr="005D71A4">
              <w:rPr>
                <w:sz w:val="18"/>
                <w:szCs w:val="18"/>
              </w:rPr>
              <w:t>Favours MUS (S)</w:t>
            </w:r>
          </w:p>
        </w:tc>
        <w:tc>
          <w:tcPr>
            <w:tcW w:w="1928" w:type="dxa"/>
            <w:tcBorders>
              <w:top w:val="nil"/>
              <w:bottom w:val="nil"/>
            </w:tcBorders>
          </w:tcPr>
          <w:p w14:paraId="2230F1DD" w14:textId="77777777" w:rsidR="009048EC" w:rsidRPr="005D71A4" w:rsidRDefault="009048EC" w:rsidP="00BB06A3">
            <w:pPr>
              <w:pStyle w:val="051Tabletext228pt"/>
              <w:rPr>
                <w:sz w:val="18"/>
                <w:szCs w:val="18"/>
              </w:rPr>
            </w:pPr>
            <w:r w:rsidRPr="005D71A4">
              <w:rPr>
                <w:sz w:val="18"/>
                <w:szCs w:val="18"/>
              </w:rPr>
              <w:t>No difference (S)</w:t>
            </w:r>
          </w:p>
        </w:tc>
      </w:tr>
      <w:tr w:rsidR="000B4EF5" w14:paraId="38EBEFD1" w14:textId="77777777" w:rsidTr="00DB0BEE">
        <w:tc>
          <w:tcPr>
            <w:tcW w:w="1928" w:type="dxa"/>
            <w:tcBorders>
              <w:top w:val="nil"/>
              <w:bottom w:val="nil"/>
            </w:tcBorders>
          </w:tcPr>
          <w:p w14:paraId="1385159D" w14:textId="77777777" w:rsidR="009048EC" w:rsidRPr="005D71A4" w:rsidRDefault="009048EC" w:rsidP="00BB06A3">
            <w:pPr>
              <w:pStyle w:val="051Tabletext228pt"/>
              <w:rPr>
                <w:sz w:val="18"/>
                <w:szCs w:val="18"/>
              </w:rPr>
            </w:pPr>
          </w:p>
        </w:tc>
        <w:tc>
          <w:tcPr>
            <w:tcW w:w="2212" w:type="dxa"/>
            <w:tcBorders>
              <w:top w:val="nil"/>
              <w:bottom w:val="nil"/>
            </w:tcBorders>
            <w:shd w:val="clear" w:color="auto" w:fill="auto"/>
          </w:tcPr>
          <w:p w14:paraId="739AF43C" w14:textId="77777777" w:rsidR="009048EC" w:rsidRPr="005D71A4" w:rsidRDefault="009048EC" w:rsidP="00BB06A3">
            <w:pPr>
              <w:pStyle w:val="051Tabletext228pt"/>
              <w:rPr>
                <w:sz w:val="18"/>
                <w:szCs w:val="18"/>
              </w:rPr>
            </w:pPr>
            <w:r w:rsidRPr="005D71A4">
              <w:rPr>
                <w:sz w:val="18"/>
                <w:szCs w:val="18"/>
              </w:rPr>
              <w:t>7, N=844 (M)</w:t>
            </w:r>
          </w:p>
        </w:tc>
        <w:tc>
          <w:tcPr>
            <w:tcW w:w="1644" w:type="dxa"/>
            <w:tcBorders>
              <w:top w:val="nil"/>
              <w:bottom w:val="nil"/>
            </w:tcBorders>
            <w:shd w:val="clear" w:color="auto" w:fill="FFE599" w:themeFill="accent4" w:themeFillTint="66"/>
          </w:tcPr>
          <w:p w14:paraId="1A989796" w14:textId="77777777" w:rsidR="009048EC" w:rsidRPr="005D71A4" w:rsidRDefault="009048EC" w:rsidP="00BB06A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6AFC1DA5" w14:textId="77777777" w:rsidR="009048EC" w:rsidRPr="005D71A4" w:rsidRDefault="009048EC" w:rsidP="00BB06A3">
            <w:pPr>
              <w:pStyle w:val="051Tabletext228pt"/>
              <w:rPr>
                <w:sz w:val="18"/>
                <w:szCs w:val="18"/>
              </w:rPr>
            </w:pPr>
            <w:r w:rsidRPr="005D71A4">
              <w:rPr>
                <w:sz w:val="18"/>
                <w:szCs w:val="18"/>
              </w:rPr>
              <w:t>Favours MUS (M)</w:t>
            </w:r>
          </w:p>
        </w:tc>
        <w:tc>
          <w:tcPr>
            <w:tcW w:w="1928" w:type="dxa"/>
            <w:tcBorders>
              <w:top w:val="nil"/>
              <w:bottom w:val="nil"/>
            </w:tcBorders>
          </w:tcPr>
          <w:p w14:paraId="650A4012" w14:textId="77777777" w:rsidR="009048EC" w:rsidRPr="005D71A4" w:rsidRDefault="009048EC" w:rsidP="00BB06A3">
            <w:pPr>
              <w:pStyle w:val="051Tabletext228pt"/>
              <w:rPr>
                <w:sz w:val="18"/>
                <w:szCs w:val="18"/>
              </w:rPr>
            </w:pPr>
            <w:r w:rsidRPr="005D71A4">
              <w:rPr>
                <w:sz w:val="18"/>
                <w:szCs w:val="18"/>
              </w:rPr>
              <w:t>No difference (M)</w:t>
            </w:r>
          </w:p>
        </w:tc>
      </w:tr>
      <w:tr w:rsidR="008502B1" w14:paraId="18D013B4" w14:textId="77777777" w:rsidTr="009717DC">
        <w:tc>
          <w:tcPr>
            <w:tcW w:w="1928" w:type="dxa"/>
            <w:tcBorders>
              <w:bottom w:val="nil"/>
            </w:tcBorders>
            <w:shd w:val="clear" w:color="auto" w:fill="D9D9D9" w:themeFill="background1" w:themeFillShade="D9"/>
          </w:tcPr>
          <w:p w14:paraId="627B4EAE" w14:textId="77777777" w:rsidR="008502B1" w:rsidRPr="005D71A4" w:rsidDel="00F4230D" w:rsidRDefault="008502B1" w:rsidP="00BB06A3">
            <w:pPr>
              <w:pStyle w:val="051Tabletext228pt"/>
              <w:rPr>
                <w:b/>
                <w:bCs/>
                <w:sz w:val="18"/>
                <w:szCs w:val="18"/>
              </w:rPr>
            </w:pPr>
            <w:r w:rsidRPr="005D71A4">
              <w:rPr>
                <w:b/>
                <w:bCs/>
                <w:sz w:val="18"/>
                <w:szCs w:val="18"/>
              </w:rPr>
              <w:t>Patient-reported outcomes</w:t>
            </w:r>
          </w:p>
        </w:tc>
        <w:tc>
          <w:tcPr>
            <w:tcW w:w="2212" w:type="dxa"/>
            <w:tcBorders>
              <w:bottom w:val="nil"/>
            </w:tcBorders>
            <w:shd w:val="clear" w:color="auto" w:fill="D9D9D9" w:themeFill="background1" w:themeFillShade="D9"/>
          </w:tcPr>
          <w:p w14:paraId="2F865A47" w14:textId="77777777" w:rsidR="008502B1" w:rsidRPr="005D71A4" w:rsidRDefault="008502B1" w:rsidP="00BB06A3">
            <w:pPr>
              <w:pStyle w:val="051Tabletext228pt"/>
              <w:rPr>
                <w:sz w:val="18"/>
                <w:szCs w:val="18"/>
              </w:rPr>
            </w:pPr>
          </w:p>
        </w:tc>
        <w:tc>
          <w:tcPr>
            <w:tcW w:w="1644" w:type="dxa"/>
            <w:tcBorders>
              <w:bottom w:val="nil"/>
            </w:tcBorders>
            <w:shd w:val="clear" w:color="auto" w:fill="D9D9D9" w:themeFill="background1" w:themeFillShade="D9"/>
          </w:tcPr>
          <w:p w14:paraId="5042334E" w14:textId="77777777" w:rsidR="008502B1" w:rsidRPr="005D71A4" w:rsidRDefault="008502B1" w:rsidP="00BB06A3">
            <w:pPr>
              <w:pStyle w:val="051Tabletext228pt"/>
              <w:rPr>
                <w:sz w:val="18"/>
                <w:szCs w:val="18"/>
              </w:rPr>
            </w:pPr>
          </w:p>
        </w:tc>
        <w:tc>
          <w:tcPr>
            <w:tcW w:w="1928" w:type="dxa"/>
            <w:tcBorders>
              <w:bottom w:val="nil"/>
            </w:tcBorders>
            <w:shd w:val="clear" w:color="auto" w:fill="D9D9D9" w:themeFill="background1" w:themeFillShade="D9"/>
          </w:tcPr>
          <w:p w14:paraId="16B70530" w14:textId="77777777" w:rsidR="008502B1" w:rsidRPr="005D71A4" w:rsidRDefault="008502B1" w:rsidP="00BB06A3">
            <w:pPr>
              <w:pStyle w:val="051Tabletext228pt"/>
              <w:rPr>
                <w:sz w:val="18"/>
                <w:szCs w:val="18"/>
              </w:rPr>
            </w:pPr>
          </w:p>
        </w:tc>
        <w:tc>
          <w:tcPr>
            <w:tcW w:w="1928" w:type="dxa"/>
            <w:tcBorders>
              <w:bottom w:val="nil"/>
            </w:tcBorders>
            <w:shd w:val="clear" w:color="auto" w:fill="D9D9D9" w:themeFill="background1" w:themeFillShade="D9"/>
          </w:tcPr>
          <w:p w14:paraId="064ED1B7" w14:textId="77777777" w:rsidR="008502B1" w:rsidRPr="005D71A4" w:rsidRDefault="008502B1" w:rsidP="00BB06A3">
            <w:pPr>
              <w:pStyle w:val="051Tabletext228pt"/>
              <w:rPr>
                <w:sz w:val="18"/>
                <w:szCs w:val="18"/>
              </w:rPr>
            </w:pPr>
          </w:p>
        </w:tc>
      </w:tr>
      <w:tr w:rsidR="008502B1" w14:paraId="7E786853" w14:textId="77777777" w:rsidTr="009717DC">
        <w:tc>
          <w:tcPr>
            <w:tcW w:w="1928" w:type="dxa"/>
            <w:tcBorders>
              <w:top w:val="nil"/>
              <w:bottom w:val="nil"/>
            </w:tcBorders>
          </w:tcPr>
          <w:p w14:paraId="0190990A" w14:textId="0FE4FE26" w:rsidR="008502B1" w:rsidRPr="005D71A4" w:rsidRDefault="008502B1" w:rsidP="00BB06A3">
            <w:pPr>
              <w:pStyle w:val="051Tabletext228pt"/>
              <w:rPr>
                <w:sz w:val="18"/>
                <w:szCs w:val="18"/>
              </w:rPr>
            </w:pPr>
            <w:r w:rsidRPr="005D71A4">
              <w:rPr>
                <w:sz w:val="18"/>
                <w:szCs w:val="18"/>
              </w:rPr>
              <w:t xml:space="preserve">continence-specific </w:t>
            </w:r>
            <w:r w:rsidRPr="005D71A4" w:rsidDel="006C514B">
              <w:rPr>
                <w:sz w:val="18"/>
                <w:szCs w:val="18"/>
              </w:rPr>
              <w:t xml:space="preserve">health-related </w:t>
            </w:r>
            <w:proofErr w:type="spellStart"/>
            <w:r w:rsidRPr="005D71A4">
              <w:rPr>
                <w:sz w:val="18"/>
                <w:szCs w:val="18"/>
              </w:rPr>
              <w:t>HRQoL</w:t>
            </w:r>
            <w:proofErr w:type="spellEnd"/>
          </w:p>
        </w:tc>
        <w:tc>
          <w:tcPr>
            <w:tcW w:w="2212" w:type="dxa"/>
            <w:tcBorders>
              <w:top w:val="nil"/>
              <w:bottom w:val="nil"/>
            </w:tcBorders>
            <w:shd w:val="clear" w:color="auto" w:fill="auto"/>
          </w:tcPr>
          <w:p w14:paraId="234BD466" w14:textId="77777777" w:rsidR="008502B1" w:rsidRPr="005D71A4" w:rsidRDefault="008502B1" w:rsidP="00BB06A3">
            <w:pPr>
              <w:pStyle w:val="051Tabletext228pt"/>
              <w:rPr>
                <w:sz w:val="18"/>
                <w:szCs w:val="18"/>
              </w:rPr>
            </w:pPr>
            <w:r w:rsidRPr="005D71A4">
              <w:rPr>
                <w:sz w:val="18"/>
                <w:szCs w:val="18"/>
              </w:rPr>
              <w:t>1, N=286 (S); 1, N=177 (M)</w:t>
            </w:r>
          </w:p>
        </w:tc>
        <w:tc>
          <w:tcPr>
            <w:tcW w:w="1644" w:type="dxa"/>
            <w:tcBorders>
              <w:top w:val="nil"/>
              <w:bottom w:val="nil"/>
            </w:tcBorders>
            <w:shd w:val="clear" w:color="auto" w:fill="F4B083" w:themeFill="accent2" w:themeFillTint="99"/>
          </w:tcPr>
          <w:p w14:paraId="2F2016A3" w14:textId="77777777" w:rsidR="008502B1" w:rsidRPr="005D71A4" w:rsidRDefault="008502B1" w:rsidP="00BB06A3">
            <w:pPr>
              <w:pStyle w:val="051Tabletext228pt"/>
              <w:rPr>
                <w:sz w:val="18"/>
                <w:szCs w:val="18"/>
              </w:rPr>
            </w:pPr>
            <w:r w:rsidRPr="005D71A4">
              <w:rPr>
                <w:sz w:val="18"/>
                <w:szCs w:val="18"/>
              </w:rPr>
              <w:t>Very low</w:t>
            </w:r>
          </w:p>
        </w:tc>
        <w:tc>
          <w:tcPr>
            <w:tcW w:w="1928" w:type="dxa"/>
            <w:tcBorders>
              <w:top w:val="nil"/>
              <w:bottom w:val="nil"/>
            </w:tcBorders>
          </w:tcPr>
          <w:p w14:paraId="7D11386D" w14:textId="77777777" w:rsidR="008502B1" w:rsidRPr="005D71A4" w:rsidRDefault="008502B1" w:rsidP="00BB06A3">
            <w:pPr>
              <w:pStyle w:val="051Tabletext228pt"/>
              <w:rPr>
                <w:sz w:val="18"/>
                <w:szCs w:val="18"/>
              </w:rPr>
            </w:pPr>
            <w:r w:rsidRPr="005D71A4">
              <w:rPr>
                <w:sz w:val="18"/>
                <w:szCs w:val="18"/>
              </w:rPr>
              <w:t>No difference (S), (M)</w:t>
            </w:r>
          </w:p>
        </w:tc>
        <w:tc>
          <w:tcPr>
            <w:tcW w:w="1928" w:type="dxa"/>
            <w:tcBorders>
              <w:top w:val="nil"/>
              <w:bottom w:val="nil"/>
            </w:tcBorders>
          </w:tcPr>
          <w:p w14:paraId="18AEA18D" w14:textId="77777777" w:rsidR="008502B1" w:rsidRPr="005D71A4" w:rsidRDefault="008502B1" w:rsidP="00BB06A3">
            <w:pPr>
              <w:pStyle w:val="051Tabletext228pt"/>
              <w:rPr>
                <w:sz w:val="18"/>
                <w:szCs w:val="18"/>
              </w:rPr>
            </w:pPr>
            <w:r w:rsidRPr="005D71A4">
              <w:rPr>
                <w:sz w:val="18"/>
                <w:szCs w:val="18"/>
              </w:rPr>
              <w:t>No difference (S), (M)</w:t>
            </w:r>
          </w:p>
        </w:tc>
      </w:tr>
      <w:tr w:rsidR="008502B1" w14:paraId="15751DBD" w14:textId="77777777" w:rsidTr="009717DC">
        <w:tc>
          <w:tcPr>
            <w:tcW w:w="1928" w:type="dxa"/>
            <w:tcBorders>
              <w:top w:val="nil"/>
              <w:bottom w:val="nil"/>
            </w:tcBorders>
          </w:tcPr>
          <w:p w14:paraId="6C472AA4" w14:textId="77777777" w:rsidR="008502B1" w:rsidRPr="005D71A4" w:rsidRDefault="008502B1" w:rsidP="00BB06A3">
            <w:pPr>
              <w:pStyle w:val="051Tabletext228pt"/>
              <w:rPr>
                <w:sz w:val="18"/>
                <w:szCs w:val="18"/>
              </w:rPr>
            </w:pPr>
            <w:r w:rsidRPr="005D71A4">
              <w:rPr>
                <w:sz w:val="18"/>
                <w:szCs w:val="18"/>
              </w:rPr>
              <w:t>patient-satisfaction/patient-reported improvement</w:t>
            </w:r>
          </w:p>
        </w:tc>
        <w:tc>
          <w:tcPr>
            <w:tcW w:w="2212" w:type="dxa"/>
            <w:tcBorders>
              <w:top w:val="nil"/>
              <w:bottom w:val="nil"/>
            </w:tcBorders>
            <w:shd w:val="clear" w:color="auto" w:fill="auto"/>
          </w:tcPr>
          <w:p w14:paraId="013BC467" w14:textId="77777777" w:rsidR="008502B1" w:rsidRPr="005D71A4" w:rsidRDefault="008502B1" w:rsidP="00BB06A3">
            <w:pPr>
              <w:pStyle w:val="051Tabletext228pt"/>
              <w:rPr>
                <w:sz w:val="18"/>
                <w:szCs w:val="18"/>
              </w:rPr>
            </w:pPr>
            <w:r w:rsidRPr="005D71A4">
              <w:rPr>
                <w:sz w:val="18"/>
                <w:szCs w:val="18"/>
              </w:rPr>
              <w:t>5, N=441 (M)</w:t>
            </w:r>
          </w:p>
        </w:tc>
        <w:tc>
          <w:tcPr>
            <w:tcW w:w="1644" w:type="dxa"/>
            <w:tcBorders>
              <w:top w:val="nil"/>
              <w:bottom w:val="nil"/>
            </w:tcBorders>
            <w:shd w:val="clear" w:color="auto" w:fill="FFE599" w:themeFill="accent4" w:themeFillTint="66"/>
          </w:tcPr>
          <w:p w14:paraId="6CEA4967" w14:textId="77777777" w:rsidR="008502B1" w:rsidRPr="005D71A4" w:rsidRDefault="008502B1" w:rsidP="00BB06A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730EF824" w14:textId="77777777" w:rsidR="008502B1" w:rsidRPr="005D71A4" w:rsidRDefault="008502B1" w:rsidP="00BB06A3">
            <w:pPr>
              <w:pStyle w:val="051Tabletext228pt"/>
              <w:rPr>
                <w:sz w:val="18"/>
                <w:szCs w:val="18"/>
                <w:highlight w:val="yellow"/>
              </w:rPr>
            </w:pPr>
            <w:r w:rsidRPr="005D71A4">
              <w:rPr>
                <w:sz w:val="18"/>
                <w:szCs w:val="18"/>
              </w:rPr>
              <w:t>Favours MUS (M)</w:t>
            </w:r>
          </w:p>
        </w:tc>
        <w:tc>
          <w:tcPr>
            <w:tcW w:w="1928" w:type="dxa"/>
            <w:tcBorders>
              <w:top w:val="nil"/>
              <w:bottom w:val="nil"/>
            </w:tcBorders>
          </w:tcPr>
          <w:p w14:paraId="20526EE5" w14:textId="77777777" w:rsidR="008502B1" w:rsidRPr="005D71A4" w:rsidRDefault="008502B1" w:rsidP="00BB06A3">
            <w:pPr>
              <w:pStyle w:val="051Tabletext228pt"/>
              <w:rPr>
                <w:sz w:val="18"/>
                <w:szCs w:val="18"/>
                <w:highlight w:val="yellow"/>
              </w:rPr>
            </w:pPr>
            <w:r w:rsidRPr="005D71A4">
              <w:rPr>
                <w:sz w:val="18"/>
                <w:szCs w:val="18"/>
              </w:rPr>
              <w:t>No difference (M)</w:t>
            </w:r>
          </w:p>
        </w:tc>
      </w:tr>
      <w:tr w:rsidR="008502B1" w14:paraId="52688771" w14:textId="77777777" w:rsidTr="00DB0BEE">
        <w:tc>
          <w:tcPr>
            <w:tcW w:w="1928" w:type="dxa"/>
            <w:tcBorders>
              <w:top w:val="nil"/>
              <w:bottom w:val="single" w:sz="4" w:space="0" w:color="auto"/>
            </w:tcBorders>
          </w:tcPr>
          <w:p w14:paraId="49028745" w14:textId="77777777" w:rsidR="008502B1" w:rsidRPr="005D71A4" w:rsidRDefault="008502B1" w:rsidP="00BB06A3">
            <w:pPr>
              <w:pStyle w:val="051Tabletext228pt"/>
              <w:rPr>
                <w:sz w:val="18"/>
                <w:szCs w:val="18"/>
              </w:rPr>
            </w:pPr>
          </w:p>
        </w:tc>
        <w:tc>
          <w:tcPr>
            <w:tcW w:w="2212" w:type="dxa"/>
            <w:tcBorders>
              <w:top w:val="nil"/>
              <w:bottom w:val="single" w:sz="4" w:space="0" w:color="auto"/>
            </w:tcBorders>
            <w:shd w:val="clear" w:color="auto" w:fill="auto"/>
          </w:tcPr>
          <w:p w14:paraId="010C30F8" w14:textId="77777777" w:rsidR="008502B1" w:rsidRPr="005D71A4" w:rsidRDefault="008502B1" w:rsidP="00BB06A3">
            <w:pPr>
              <w:pStyle w:val="051Tabletext228pt"/>
              <w:rPr>
                <w:sz w:val="18"/>
                <w:szCs w:val="18"/>
              </w:rPr>
            </w:pPr>
            <w:r w:rsidRPr="005D71A4">
              <w:rPr>
                <w:sz w:val="18"/>
                <w:szCs w:val="18"/>
              </w:rPr>
              <w:t>1, N=72 (L)</w:t>
            </w:r>
          </w:p>
        </w:tc>
        <w:tc>
          <w:tcPr>
            <w:tcW w:w="1644" w:type="dxa"/>
            <w:tcBorders>
              <w:top w:val="nil"/>
              <w:bottom w:val="single" w:sz="4" w:space="0" w:color="auto"/>
            </w:tcBorders>
            <w:shd w:val="clear" w:color="auto" w:fill="F4B083" w:themeFill="accent2" w:themeFillTint="99"/>
          </w:tcPr>
          <w:p w14:paraId="4BBF57D6" w14:textId="77777777" w:rsidR="008502B1" w:rsidRPr="005D71A4" w:rsidRDefault="008502B1" w:rsidP="00BB06A3">
            <w:pPr>
              <w:pStyle w:val="051Tabletext228pt"/>
              <w:rPr>
                <w:sz w:val="18"/>
                <w:szCs w:val="18"/>
              </w:rPr>
            </w:pPr>
            <w:r w:rsidRPr="005D71A4">
              <w:rPr>
                <w:sz w:val="18"/>
                <w:szCs w:val="18"/>
              </w:rPr>
              <w:t>Very low</w:t>
            </w:r>
          </w:p>
        </w:tc>
        <w:tc>
          <w:tcPr>
            <w:tcW w:w="1928" w:type="dxa"/>
            <w:tcBorders>
              <w:top w:val="nil"/>
              <w:bottom w:val="single" w:sz="4" w:space="0" w:color="auto"/>
            </w:tcBorders>
          </w:tcPr>
          <w:p w14:paraId="06997A00" w14:textId="77777777" w:rsidR="008502B1" w:rsidRPr="005D71A4" w:rsidRDefault="008502B1" w:rsidP="00BB06A3">
            <w:pPr>
              <w:pStyle w:val="051Tabletext228pt"/>
              <w:rPr>
                <w:sz w:val="18"/>
                <w:szCs w:val="18"/>
                <w:highlight w:val="yellow"/>
              </w:rPr>
            </w:pPr>
            <w:r w:rsidRPr="005D71A4">
              <w:rPr>
                <w:sz w:val="18"/>
                <w:szCs w:val="18"/>
              </w:rPr>
              <w:t>No difference (L)</w:t>
            </w:r>
          </w:p>
        </w:tc>
        <w:tc>
          <w:tcPr>
            <w:tcW w:w="1928" w:type="dxa"/>
            <w:tcBorders>
              <w:top w:val="nil"/>
              <w:bottom w:val="single" w:sz="4" w:space="0" w:color="auto"/>
            </w:tcBorders>
          </w:tcPr>
          <w:p w14:paraId="48E9F4FE" w14:textId="77777777" w:rsidR="008502B1" w:rsidRPr="005D71A4" w:rsidRDefault="008502B1" w:rsidP="00BB06A3">
            <w:pPr>
              <w:pStyle w:val="051Tabletext228pt"/>
              <w:rPr>
                <w:sz w:val="18"/>
                <w:szCs w:val="18"/>
                <w:highlight w:val="yellow"/>
              </w:rPr>
            </w:pPr>
            <w:r w:rsidRPr="005D71A4">
              <w:rPr>
                <w:sz w:val="18"/>
                <w:szCs w:val="18"/>
              </w:rPr>
              <w:t>No difference (L)</w:t>
            </w:r>
          </w:p>
        </w:tc>
      </w:tr>
      <w:tr w:rsidR="000B4EF5" w14:paraId="3EA6E90E" w14:textId="77777777" w:rsidTr="00DB0BEE">
        <w:tc>
          <w:tcPr>
            <w:tcW w:w="1928" w:type="dxa"/>
            <w:tcBorders>
              <w:bottom w:val="nil"/>
            </w:tcBorders>
            <w:shd w:val="clear" w:color="auto" w:fill="E7E6E6" w:themeFill="background2"/>
          </w:tcPr>
          <w:p w14:paraId="66CF6026" w14:textId="77777777" w:rsidR="009048EC" w:rsidRPr="005D71A4" w:rsidRDefault="009048EC" w:rsidP="00BB06A3">
            <w:pPr>
              <w:pStyle w:val="051Tabletext228pt"/>
              <w:rPr>
                <w:b/>
                <w:bCs/>
                <w:sz w:val="18"/>
                <w:szCs w:val="18"/>
              </w:rPr>
            </w:pPr>
            <w:r w:rsidRPr="005D71A4">
              <w:rPr>
                <w:b/>
                <w:bCs/>
                <w:sz w:val="18"/>
                <w:szCs w:val="18"/>
              </w:rPr>
              <w:t>Adverse events</w:t>
            </w:r>
          </w:p>
        </w:tc>
        <w:tc>
          <w:tcPr>
            <w:tcW w:w="2212" w:type="dxa"/>
            <w:tcBorders>
              <w:bottom w:val="nil"/>
            </w:tcBorders>
            <w:shd w:val="clear" w:color="auto" w:fill="E7E6E6" w:themeFill="background2"/>
          </w:tcPr>
          <w:p w14:paraId="3CA86ECB" w14:textId="77777777" w:rsidR="009048EC" w:rsidRPr="005D71A4" w:rsidRDefault="009048EC" w:rsidP="00BB06A3">
            <w:pPr>
              <w:pStyle w:val="051Tabletext228pt"/>
              <w:rPr>
                <w:sz w:val="18"/>
                <w:szCs w:val="18"/>
              </w:rPr>
            </w:pPr>
          </w:p>
        </w:tc>
        <w:tc>
          <w:tcPr>
            <w:tcW w:w="1644" w:type="dxa"/>
            <w:tcBorders>
              <w:bottom w:val="nil"/>
            </w:tcBorders>
            <w:shd w:val="clear" w:color="auto" w:fill="E7E6E6" w:themeFill="background2"/>
          </w:tcPr>
          <w:p w14:paraId="24AF252F" w14:textId="77777777" w:rsidR="009048EC" w:rsidRPr="005D71A4" w:rsidRDefault="009048EC" w:rsidP="00BB06A3">
            <w:pPr>
              <w:pStyle w:val="051Tabletext228pt"/>
              <w:rPr>
                <w:sz w:val="18"/>
                <w:szCs w:val="18"/>
              </w:rPr>
            </w:pPr>
          </w:p>
        </w:tc>
        <w:tc>
          <w:tcPr>
            <w:tcW w:w="1928" w:type="dxa"/>
            <w:tcBorders>
              <w:bottom w:val="nil"/>
            </w:tcBorders>
            <w:shd w:val="clear" w:color="auto" w:fill="E7E6E6" w:themeFill="background2"/>
          </w:tcPr>
          <w:p w14:paraId="6E3241D4" w14:textId="77777777" w:rsidR="009048EC" w:rsidRPr="005D71A4" w:rsidRDefault="009048EC" w:rsidP="00BB06A3">
            <w:pPr>
              <w:pStyle w:val="051Tabletext228pt"/>
              <w:rPr>
                <w:sz w:val="18"/>
                <w:szCs w:val="18"/>
              </w:rPr>
            </w:pPr>
          </w:p>
        </w:tc>
        <w:tc>
          <w:tcPr>
            <w:tcW w:w="1928" w:type="dxa"/>
            <w:tcBorders>
              <w:bottom w:val="nil"/>
            </w:tcBorders>
            <w:shd w:val="clear" w:color="auto" w:fill="E7E6E6" w:themeFill="background2"/>
          </w:tcPr>
          <w:p w14:paraId="19146657" w14:textId="77777777" w:rsidR="009048EC" w:rsidRPr="005D71A4" w:rsidRDefault="009048EC" w:rsidP="00BB06A3">
            <w:pPr>
              <w:pStyle w:val="051Tabletext228pt"/>
              <w:rPr>
                <w:sz w:val="18"/>
                <w:szCs w:val="18"/>
              </w:rPr>
            </w:pPr>
          </w:p>
        </w:tc>
      </w:tr>
      <w:tr w:rsidR="000B4EF5" w14:paraId="4A6B3BE0" w14:textId="77777777" w:rsidTr="00DB0BEE">
        <w:tc>
          <w:tcPr>
            <w:tcW w:w="1928" w:type="dxa"/>
            <w:tcBorders>
              <w:top w:val="nil"/>
              <w:bottom w:val="nil"/>
            </w:tcBorders>
          </w:tcPr>
          <w:p w14:paraId="24478293" w14:textId="77777777" w:rsidR="009048EC" w:rsidRPr="005D71A4" w:rsidRDefault="009048EC" w:rsidP="00BB06A3">
            <w:pPr>
              <w:pStyle w:val="051Tabletext228pt"/>
              <w:rPr>
                <w:sz w:val="18"/>
                <w:szCs w:val="18"/>
              </w:rPr>
            </w:pPr>
            <w:r w:rsidRPr="005D71A4">
              <w:rPr>
                <w:sz w:val="18"/>
                <w:szCs w:val="18"/>
              </w:rPr>
              <w:t>bladder injury</w:t>
            </w:r>
          </w:p>
        </w:tc>
        <w:tc>
          <w:tcPr>
            <w:tcW w:w="2212" w:type="dxa"/>
            <w:tcBorders>
              <w:top w:val="nil"/>
              <w:bottom w:val="nil"/>
            </w:tcBorders>
            <w:shd w:val="clear" w:color="auto" w:fill="auto"/>
          </w:tcPr>
          <w:p w14:paraId="6668F5A0" w14:textId="77777777" w:rsidR="009048EC" w:rsidRPr="005D71A4" w:rsidRDefault="009048EC" w:rsidP="00BB06A3">
            <w:pPr>
              <w:pStyle w:val="051Tabletext228pt"/>
              <w:rPr>
                <w:sz w:val="18"/>
                <w:szCs w:val="18"/>
              </w:rPr>
            </w:pPr>
            <w:r w:rsidRPr="005D71A4">
              <w:rPr>
                <w:sz w:val="18"/>
                <w:szCs w:val="18"/>
              </w:rPr>
              <w:t>11, N=1,086</w:t>
            </w:r>
          </w:p>
        </w:tc>
        <w:tc>
          <w:tcPr>
            <w:tcW w:w="1644" w:type="dxa"/>
            <w:tcBorders>
              <w:top w:val="nil"/>
              <w:bottom w:val="nil"/>
            </w:tcBorders>
            <w:shd w:val="clear" w:color="auto" w:fill="FFE599" w:themeFill="accent4" w:themeFillTint="66"/>
          </w:tcPr>
          <w:p w14:paraId="63A3EC1D" w14:textId="77777777" w:rsidR="009048EC" w:rsidRPr="005D71A4" w:rsidRDefault="009048EC" w:rsidP="00BB06A3">
            <w:pPr>
              <w:pStyle w:val="051Tabletext228pt"/>
              <w:rPr>
                <w:sz w:val="18"/>
                <w:szCs w:val="18"/>
              </w:rPr>
            </w:pPr>
            <w:r w:rsidRPr="005D71A4">
              <w:rPr>
                <w:sz w:val="18"/>
                <w:szCs w:val="18"/>
              </w:rPr>
              <w:t>Low</w:t>
            </w:r>
          </w:p>
        </w:tc>
        <w:tc>
          <w:tcPr>
            <w:tcW w:w="1928" w:type="dxa"/>
            <w:tcBorders>
              <w:top w:val="nil"/>
              <w:bottom w:val="nil"/>
            </w:tcBorders>
            <w:shd w:val="clear" w:color="auto" w:fill="BDD6EE" w:themeFill="accent5" w:themeFillTint="66"/>
          </w:tcPr>
          <w:p w14:paraId="22A61171" w14:textId="77777777" w:rsidR="009048EC" w:rsidRPr="005D71A4" w:rsidRDefault="009048EC" w:rsidP="00BB06A3">
            <w:pPr>
              <w:pStyle w:val="051Tabletext228pt"/>
              <w:rPr>
                <w:sz w:val="18"/>
                <w:szCs w:val="18"/>
              </w:rPr>
            </w:pPr>
            <w:r w:rsidRPr="005D71A4">
              <w:rPr>
                <w:sz w:val="18"/>
                <w:szCs w:val="18"/>
              </w:rPr>
              <w:t xml:space="preserve">Favours </w:t>
            </w:r>
            <w:proofErr w:type="spellStart"/>
            <w:r w:rsidRPr="005D71A4">
              <w:rPr>
                <w:sz w:val="18"/>
                <w:szCs w:val="18"/>
              </w:rPr>
              <w:t>colposuspension</w:t>
            </w:r>
            <w:proofErr w:type="spellEnd"/>
          </w:p>
        </w:tc>
        <w:tc>
          <w:tcPr>
            <w:tcW w:w="1928" w:type="dxa"/>
            <w:tcBorders>
              <w:top w:val="nil"/>
              <w:bottom w:val="nil"/>
            </w:tcBorders>
            <w:shd w:val="clear" w:color="auto" w:fill="BDD6EE" w:themeFill="accent5" w:themeFillTint="66"/>
          </w:tcPr>
          <w:p w14:paraId="57F7EE05" w14:textId="77777777" w:rsidR="009048EC" w:rsidRPr="005D71A4" w:rsidRDefault="009048EC" w:rsidP="00BB06A3">
            <w:pPr>
              <w:pStyle w:val="051Tabletext228pt"/>
              <w:rPr>
                <w:sz w:val="18"/>
                <w:szCs w:val="18"/>
              </w:rPr>
            </w:pPr>
            <w:r w:rsidRPr="005D71A4">
              <w:rPr>
                <w:sz w:val="18"/>
                <w:szCs w:val="18"/>
              </w:rPr>
              <w:t xml:space="preserve">Favours </w:t>
            </w:r>
            <w:proofErr w:type="spellStart"/>
            <w:r w:rsidRPr="005D71A4">
              <w:rPr>
                <w:sz w:val="18"/>
                <w:szCs w:val="18"/>
              </w:rPr>
              <w:t>colposuspension</w:t>
            </w:r>
            <w:proofErr w:type="spellEnd"/>
          </w:p>
        </w:tc>
      </w:tr>
      <w:tr w:rsidR="000B4EF5" w14:paraId="0C5FD88E" w14:textId="77777777" w:rsidTr="00DB0BEE">
        <w:tc>
          <w:tcPr>
            <w:tcW w:w="1928" w:type="dxa"/>
            <w:tcBorders>
              <w:top w:val="nil"/>
              <w:bottom w:val="nil"/>
            </w:tcBorders>
          </w:tcPr>
          <w:p w14:paraId="2648825F" w14:textId="77777777" w:rsidR="009048EC" w:rsidRPr="005D71A4" w:rsidRDefault="009048EC" w:rsidP="00BB06A3">
            <w:pPr>
              <w:pStyle w:val="051Tabletext228pt"/>
              <w:rPr>
                <w:sz w:val="18"/>
                <w:szCs w:val="18"/>
              </w:rPr>
            </w:pPr>
            <w:r w:rsidRPr="005D71A4">
              <w:rPr>
                <w:sz w:val="18"/>
                <w:szCs w:val="18"/>
              </w:rPr>
              <w:t>severe bleeding requiring blood transfusion</w:t>
            </w:r>
          </w:p>
        </w:tc>
        <w:tc>
          <w:tcPr>
            <w:tcW w:w="2212" w:type="dxa"/>
            <w:tcBorders>
              <w:top w:val="nil"/>
              <w:bottom w:val="nil"/>
            </w:tcBorders>
            <w:shd w:val="clear" w:color="auto" w:fill="auto"/>
          </w:tcPr>
          <w:p w14:paraId="46BE43C3" w14:textId="77777777" w:rsidR="009048EC" w:rsidRPr="005D71A4" w:rsidRDefault="009048EC" w:rsidP="00BB06A3">
            <w:pPr>
              <w:pStyle w:val="051Tabletext228pt"/>
              <w:rPr>
                <w:sz w:val="18"/>
                <w:szCs w:val="18"/>
              </w:rPr>
            </w:pPr>
            <w:r w:rsidRPr="005D71A4">
              <w:rPr>
                <w:sz w:val="18"/>
                <w:szCs w:val="18"/>
              </w:rPr>
              <w:t xml:space="preserve">3, N=259 </w:t>
            </w:r>
          </w:p>
        </w:tc>
        <w:tc>
          <w:tcPr>
            <w:tcW w:w="1644" w:type="dxa"/>
            <w:tcBorders>
              <w:top w:val="nil"/>
              <w:bottom w:val="nil"/>
            </w:tcBorders>
            <w:shd w:val="clear" w:color="auto" w:fill="F4B083" w:themeFill="accent2" w:themeFillTint="99"/>
          </w:tcPr>
          <w:p w14:paraId="0C3A7419"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398497E8" w14:textId="77777777" w:rsidR="009048EC" w:rsidRPr="005D71A4" w:rsidRDefault="009048EC" w:rsidP="00BB06A3">
            <w:pPr>
              <w:pStyle w:val="051Tabletext228pt"/>
              <w:rPr>
                <w:sz w:val="18"/>
                <w:szCs w:val="18"/>
              </w:rPr>
            </w:pPr>
            <w:r w:rsidRPr="005D71A4">
              <w:rPr>
                <w:sz w:val="18"/>
                <w:szCs w:val="18"/>
              </w:rPr>
              <w:t>No difference</w:t>
            </w:r>
          </w:p>
        </w:tc>
        <w:tc>
          <w:tcPr>
            <w:tcW w:w="1928" w:type="dxa"/>
            <w:tcBorders>
              <w:top w:val="nil"/>
              <w:bottom w:val="nil"/>
            </w:tcBorders>
          </w:tcPr>
          <w:p w14:paraId="2EC47B4B" w14:textId="77777777" w:rsidR="009048EC" w:rsidRPr="005D71A4" w:rsidRDefault="009048EC" w:rsidP="00BB06A3">
            <w:pPr>
              <w:pStyle w:val="051Tabletext228pt"/>
              <w:rPr>
                <w:sz w:val="18"/>
                <w:szCs w:val="18"/>
              </w:rPr>
            </w:pPr>
            <w:r w:rsidRPr="005D71A4">
              <w:rPr>
                <w:sz w:val="18"/>
                <w:szCs w:val="18"/>
              </w:rPr>
              <w:t>No difference</w:t>
            </w:r>
          </w:p>
        </w:tc>
      </w:tr>
      <w:tr w:rsidR="000B4EF5" w14:paraId="50C27370" w14:textId="77777777" w:rsidTr="00DB0BEE">
        <w:tc>
          <w:tcPr>
            <w:tcW w:w="1928" w:type="dxa"/>
            <w:tcBorders>
              <w:top w:val="nil"/>
              <w:bottom w:val="single" w:sz="4" w:space="0" w:color="auto"/>
            </w:tcBorders>
          </w:tcPr>
          <w:p w14:paraId="129E880C" w14:textId="77777777" w:rsidR="009048EC" w:rsidRPr="005D71A4" w:rsidRDefault="009048EC" w:rsidP="00BB06A3">
            <w:pPr>
              <w:pStyle w:val="051Tabletext228pt"/>
              <w:rPr>
                <w:sz w:val="18"/>
                <w:szCs w:val="18"/>
              </w:rPr>
            </w:pPr>
            <w:r w:rsidRPr="005D71A4">
              <w:rPr>
                <w:sz w:val="18"/>
                <w:szCs w:val="18"/>
              </w:rPr>
              <w:t>bowel injury</w:t>
            </w:r>
          </w:p>
        </w:tc>
        <w:tc>
          <w:tcPr>
            <w:tcW w:w="2212" w:type="dxa"/>
            <w:tcBorders>
              <w:top w:val="nil"/>
              <w:bottom w:val="single" w:sz="4" w:space="0" w:color="auto"/>
            </w:tcBorders>
            <w:shd w:val="clear" w:color="auto" w:fill="auto"/>
          </w:tcPr>
          <w:p w14:paraId="66D5E715" w14:textId="77777777" w:rsidR="009048EC" w:rsidRPr="005D71A4" w:rsidRDefault="009048EC" w:rsidP="00BB06A3">
            <w:pPr>
              <w:pStyle w:val="051Tabletext228pt"/>
              <w:rPr>
                <w:sz w:val="18"/>
                <w:szCs w:val="18"/>
              </w:rPr>
            </w:pPr>
            <w:r w:rsidRPr="005D71A4">
              <w:rPr>
                <w:sz w:val="18"/>
                <w:szCs w:val="18"/>
              </w:rPr>
              <w:t>1, N=72</w:t>
            </w:r>
          </w:p>
        </w:tc>
        <w:tc>
          <w:tcPr>
            <w:tcW w:w="1644" w:type="dxa"/>
            <w:tcBorders>
              <w:top w:val="nil"/>
              <w:bottom w:val="single" w:sz="4" w:space="0" w:color="auto"/>
            </w:tcBorders>
            <w:shd w:val="clear" w:color="auto" w:fill="F4B083" w:themeFill="accent2" w:themeFillTint="99"/>
          </w:tcPr>
          <w:p w14:paraId="370F0FB5"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single" w:sz="4" w:space="0" w:color="auto"/>
            </w:tcBorders>
          </w:tcPr>
          <w:p w14:paraId="57DA6EFD" w14:textId="77777777" w:rsidR="009048EC" w:rsidRPr="005D71A4" w:rsidRDefault="009048EC" w:rsidP="00BB06A3">
            <w:pPr>
              <w:pStyle w:val="051Tabletext228pt"/>
              <w:rPr>
                <w:sz w:val="18"/>
                <w:szCs w:val="18"/>
              </w:rPr>
            </w:pPr>
            <w:r w:rsidRPr="005D71A4">
              <w:rPr>
                <w:sz w:val="18"/>
                <w:szCs w:val="18"/>
              </w:rPr>
              <w:t>No difference</w:t>
            </w:r>
          </w:p>
        </w:tc>
        <w:tc>
          <w:tcPr>
            <w:tcW w:w="1928" w:type="dxa"/>
            <w:tcBorders>
              <w:top w:val="nil"/>
              <w:bottom w:val="single" w:sz="4" w:space="0" w:color="auto"/>
            </w:tcBorders>
          </w:tcPr>
          <w:p w14:paraId="71E0D0C0" w14:textId="77777777" w:rsidR="009048EC" w:rsidRPr="005D71A4" w:rsidRDefault="009048EC" w:rsidP="00BB06A3">
            <w:pPr>
              <w:pStyle w:val="051Tabletext228pt"/>
              <w:rPr>
                <w:sz w:val="18"/>
                <w:szCs w:val="18"/>
              </w:rPr>
            </w:pPr>
            <w:r w:rsidRPr="005D71A4">
              <w:rPr>
                <w:sz w:val="18"/>
                <w:szCs w:val="18"/>
              </w:rPr>
              <w:t>No difference</w:t>
            </w:r>
          </w:p>
        </w:tc>
      </w:tr>
      <w:tr w:rsidR="000B4EF5" w14:paraId="76EA0C31" w14:textId="77777777" w:rsidTr="00DB0BEE">
        <w:tc>
          <w:tcPr>
            <w:tcW w:w="1928" w:type="dxa"/>
            <w:tcBorders>
              <w:bottom w:val="nil"/>
            </w:tcBorders>
            <w:shd w:val="clear" w:color="auto" w:fill="E7E6E6" w:themeFill="background2"/>
          </w:tcPr>
          <w:p w14:paraId="3D1A2122" w14:textId="3CE4D1E3" w:rsidR="009048EC" w:rsidRPr="005D71A4" w:rsidRDefault="009048EC" w:rsidP="00BB06A3">
            <w:pPr>
              <w:pStyle w:val="051Tabletext228pt"/>
              <w:rPr>
                <w:b/>
                <w:bCs/>
                <w:sz w:val="18"/>
                <w:szCs w:val="18"/>
              </w:rPr>
            </w:pPr>
            <w:r w:rsidRPr="005D71A4">
              <w:rPr>
                <w:b/>
                <w:bCs/>
                <w:sz w:val="18"/>
                <w:szCs w:val="18"/>
              </w:rPr>
              <w:t>Complications</w:t>
            </w:r>
          </w:p>
        </w:tc>
        <w:tc>
          <w:tcPr>
            <w:tcW w:w="2212" w:type="dxa"/>
            <w:tcBorders>
              <w:bottom w:val="nil"/>
            </w:tcBorders>
            <w:shd w:val="clear" w:color="auto" w:fill="E7E6E6" w:themeFill="background2"/>
          </w:tcPr>
          <w:p w14:paraId="2E75EA79" w14:textId="77777777" w:rsidR="009048EC" w:rsidRPr="005D71A4" w:rsidRDefault="009048EC" w:rsidP="00BB06A3">
            <w:pPr>
              <w:pStyle w:val="051Tabletext228pt"/>
              <w:rPr>
                <w:sz w:val="18"/>
                <w:szCs w:val="18"/>
              </w:rPr>
            </w:pPr>
          </w:p>
        </w:tc>
        <w:tc>
          <w:tcPr>
            <w:tcW w:w="1644" w:type="dxa"/>
            <w:tcBorders>
              <w:bottom w:val="nil"/>
            </w:tcBorders>
            <w:shd w:val="clear" w:color="auto" w:fill="E7E6E6" w:themeFill="background2"/>
          </w:tcPr>
          <w:p w14:paraId="7CB0E49E" w14:textId="77777777" w:rsidR="009048EC" w:rsidRPr="005D71A4" w:rsidRDefault="009048EC" w:rsidP="00BB06A3">
            <w:pPr>
              <w:pStyle w:val="051Tabletext228pt"/>
              <w:rPr>
                <w:sz w:val="18"/>
                <w:szCs w:val="18"/>
              </w:rPr>
            </w:pPr>
          </w:p>
        </w:tc>
        <w:tc>
          <w:tcPr>
            <w:tcW w:w="1928" w:type="dxa"/>
            <w:tcBorders>
              <w:bottom w:val="nil"/>
            </w:tcBorders>
            <w:shd w:val="clear" w:color="auto" w:fill="E7E6E6" w:themeFill="background2"/>
          </w:tcPr>
          <w:p w14:paraId="293F783D" w14:textId="77777777" w:rsidR="009048EC" w:rsidRPr="005D71A4" w:rsidRDefault="009048EC" w:rsidP="00BB06A3">
            <w:pPr>
              <w:pStyle w:val="051Tabletext228pt"/>
              <w:rPr>
                <w:sz w:val="18"/>
                <w:szCs w:val="18"/>
              </w:rPr>
            </w:pPr>
          </w:p>
        </w:tc>
        <w:tc>
          <w:tcPr>
            <w:tcW w:w="1928" w:type="dxa"/>
            <w:tcBorders>
              <w:bottom w:val="nil"/>
            </w:tcBorders>
            <w:shd w:val="clear" w:color="auto" w:fill="E7E6E6" w:themeFill="background2"/>
          </w:tcPr>
          <w:p w14:paraId="02F472F0" w14:textId="77777777" w:rsidR="009048EC" w:rsidRPr="005D71A4" w:rsidRDefault="009048EC" w:rsidP="00BB06A3">
            <w:pPr>
              <w:pStyle w:val="051Tabletext228pt"/>
              <w:rPr>
                <w:sz w:val="18"/>
                <w:szCs w:val="18"/>
              </w:rPr>
            </w:pPr>
          </w:p>
        </w:tc>
      </w:tr>
      <w:tr w:rsidR="000B4EF5" w14:paraId="6D4931CB" w14:textId="77777777" w:rsidTr="00DB0BEE">
        <w:tc>
          <w:tcPr>
            <w:tcW w:w="1928" w:type="dxa"/>
            <w:tcBorders>
              <w:top w:val="nil"/>
              <w:bottom w:val="nil"/>
            </w:tcBorders>
          </w:tcPr>
          <w:p w14:paraId="0BE2BE0D" w14:textId="77777777" w:rsidR="009048EC" w:rsidRPr="005D71A4" w:rsidRDefault="009048EC" w:rsidP="00BB06A3">
            <w:pPr>
              <w:pStyle w:val="051Tabletext228pt"/>
              <w:rPr>
                <w:sz w:val="18"/>
                <w:szCs w:val="18"/>
              </w:rPr>
            </w:pPr>
            <w:r w:rsidRPr="005D71A4">
              <w:rPr>
                <w:sz w:val="18"/>
                <w:szCs w:val="18"/>
              </w:rPr>
              <w:t>infection</w:t>
            </w:r>
          </w:p>
        </w:tc>
        <w:tc>
          <w:tcPr>
            <w:tcW w:w="2212" w:type="dxa"/>
            <w:tcBorders>
              <w:top w:val="nil"/>
              <w:bottom w:val="nil"/>
            </w:tcBorders>
            <w:shd w:val="clear" w:color="auto" w:fill="auto"/>
          </w:tcPr>
          <w:p w14:paraId="14A1A1B6" w14:textId="77777777" w:rsidR="009048EC" w:rsidRPr="005D71A4" w:rsidRDefault="009048EC" w:rsidP="00BB06A3">
            <w:pPr>
              <w:pStyle w:val="051Tabletext228pt"/>
              <w:rPr>
                <w:sz w:val="18"/>
                <w:szCs w:val="18"/>
              </w:rPr>
            </w:pPr>
            <w:r w:rsidRPr="005D71A4">
              <w:rPr>
                <w:sz w:val="18"/>
                <w:szCs w:val="18"/>
              </w:rPr>
              <w:t>2, N=429 (S); 4, N=539 (M)</w:t>
            </w:r>
          </w:p>
        </w:tc>
        <w:tc>
          <w:tcPr>
            <w:tcW w:w="1644" w:type="dxa"/>
            <w:tcBorders>
              <w:top w:val="nil"/>
              <w:bottom w:val="nil"/>
            </w:tcBorders>
            <w:shd w:val="clear" w:color="auto" w:fill="F4B083" w:themeFill="accent2" w:themeFillTint="99"/>
          </w:tcPr>
          <w:p w14:paraId="17C5844F"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0F717F3A" w14:textId="77777777" w:rsidR="009048EC" w:rsidRPr="005D71A4" w:rsidRDefault="009048EC" w:rsidP="00BB06A3">
            <w:pPr>
              <w:pStyle w:val="051Tabletext228pt"/>
              <w:rPr>
                <w:sz w:val="18"/>
                <w:szCs w:val="18"/>
              </w:rPr>
            </w:pPr>
            <w:r w:rsidRPr="005D71A4">
              <w:rPr>
                <w:sz w:val="18"/>
                <w:szCs w:val="18"/>
              </w:rPr>
              <w:t>No difference (S, M)</w:t>
            </w:r>
          </w:p>
        </w:tc>
        <w:tc>
          <w:tcPr>
            <w:tcW w:w="1928" w:type="dxa"/>
            <w:tcBorders>
              <w:top w:val="nil"/>
              <w:bottom w:val="nil"/>
            </w:tcBorders>
          </w:tcPr>
          <w:p w14:paraId="102A9436" w14:textId="77777777" w:rsidR="009048EC" w:rsidRPr="005D71A4" w:rsidRDefault="009048EC" w:rsidP="00BB06A3">
            <w:pPr>
              <w:pStyle w:val="051Tabletext228pt"/>
              <w:rPr>
                <w:sz w:val="18"/>
                <w:szCs w:val="18"/>
              </w:rPr>
            </w:pPr>
            <w:r w:rsidRPr="005D71A4">
              <w:rPr>
                <w:sz w:val="18"/>
                <w:szCs w:val="18"/>
              </w:rPr>
              <w:t>No difference (S, M)</w:t>
            </w:r>
          </w:p>
        </w:tc>
      </w:tr>
      <w:tr w:rsidR="000B4EF5" w14:paraId="00319D45" w14:textId="77777777" w:rsidTr="00DB0BEE">
        <w:tc>
          <w:tcPr>
            <w:tcW w:w="1928" w:type="dxa"/>
            <w:tcBorders>
              <w:top w:val="nil"/>
              <w:bottom w:val="nil"/>
            </w:tcBorders>
          </w:tcPr>
          <w:p w14:paraId="173B3D52" w14:textId="77777777" w:rsidR="009048EC" w:rsidRPr="005D71A4" w:rsidRDefault="009048EC" w:rsidP="00BB06A3">
            <w:pPr>
              <w:pStyle w:val="051Tabletext228pt"/>
              <w:rPr>
                <w:sz w:val="18"/>
                <w:szCs w:val="18"/>
              </w:rPr>
            </w:pPr>
            <w:r w:rsidRPr="005D71A4">
              <w:rPr>
                <w:sz w:val="18"/>
                <w:szCs w:val="18"/>
              </w:rPr>
              <w:t>POP</w:t>
            </w:r>
          </w:p>
        </w:tc>
        <w:tc>
          <w:tcPr>
            <w:tcW w:w="2212" w:type="dxa"/>
            <w:tcBorders>
              <w:top w:val="nil"/>
              <w:bottom w:val="nil"/>
            </w:tcBorders>
            <w:shd w:val="clear" w:color="auto" w:fill="auto"/>
          </w:tcPr>
          <w:p w14:paraId="56AC339A" w14:textId="77777777" w:rsidR="009048EC" w:rsidRPr="005D71A4" w:rsidRDefault="009048EC" w:rsidP="00BB06A3">
            <w:pPr>
              <w:pStyle w:val="051Tabletext228pt"/>
              <w:rPr>
                <w:sz w:val="18"/>
                <w:szCs w:val="18"/>
              </w:rPr>
            </w:pPr>
            <w:r w:rsidRPr="005D71A4">
              <w:rPr>
                <w:sz w:val="18"/>
                <w:szCs w:val="18"/>
              </w:rPr>
              <w:t>2, N=302 (M)</w:t>
            </w:r>
          </w:p>
        </w:tc>
        <w:tc>
          <w:tcPr>
            <w:tcW w:w="1644" w:type="dxa"/>
            <w:tcBorders>
              <w:top w:val="nil"/>
              <w:bottom w:val="nil"/>
            </w:tcBorders>
            <w:shd w:val="clear" w:color="auto" w:fill="FFE599" w:themeFill="accent4" w:themeFillTint="66"/>
          </w:tcPr>
          <w:p w14:paraId="2744795B" w14:textId="77777777" w:rsidR="009048EC" w:rsidRPr="005D71A4" w:rsidRDefault="009048EC" w:rsidP="00BB06A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08F06CCE" w14:textId="77777777" w:rsidR="009048EC" w:rsidRPr="005D71A4" w:rsidRDefault="009048EC" w:rsidP="00BB06A3">
            <w:pPr>
              <w:pStyle w:val="051Tabletext228pt"/>
              <w:rPr>
                <w:sz w:val="18"/>
                <w:szCs w:val="18"/>
              </w:rPr>
            </w:pPr>
            <w:r w:rsidRPr="005D71A4">
              <w:rPr>
                <w:sz w:val="18"/>
                <w:szCs w:val="18"/>
              </w:rPr>
              <w:t>Favours MUS (M)</w:t>
            </w:r>
          </w:p>
        </w:tc>
        <w:tc>
          <w:tcPr>
            <w:tcW w:w="1928" w:type="dxa"/>
            <w:tcBorders>
              <w:top w:val="nil"/>
              <w:bottom w:val="nil"/>
            </w:tcBorders>
            <w:shd w:val="clear" w:color="auto" w:fill="C5E0B3" w:themeFill="accent6" w:themeFillTint="66"/>
          </w:tcPr>
          <w:p w14:paraId="0A8ADF06" w14:textId="77777777" w:rsidR="009048EC" w:rsidRPr="005D71A4" w:rsidRDefault="009048EC" w:rsidP="00BB06A3">
            <w:pPr>
              <w:pStyle w:val="051Tabletext228pt"/>
              <w:rPr>
                <w:sz w:val="18"/>
                <w:szCs w:val="18"/>
              </w:rPr>
            </w:pPr>
            <w:r w:rsidRPr="005D71A4">
              <w:rPr>
                <w:sz w:val="18"/>
                <w:szCs w:val="18"/>
              </w:rPr>
              <w:t>Favours MUS (M)</w:t>
            </w:r>
          </w:p>
        </w:tc>
      </w:tr>
      <w:tr w:rsidR="000B4EF5" w14:paraId="3A9D7BD8" w14:textId="77777777" w:rsidTr="00DB0BEE">
        <w:tc>
          <w:tcPr>
            <w:tcW w:w="1928" w:type="dxa"/>
            <w:tcBorders>
              <w:top w:val="nil"/>
              <w:bottom w:val="nil"/>
            </w:tcBorders>
          </w:tcPr>
          <w:p w14:paraId="2427D74E" w14:textId="77777777" w:rsidR="009048EC" w:rsidRPr="005D71A4" w:rsidRDefault="009048EC" w:rsidP="00BB06A3">
            <w:pPr>
              <w:pStyle w:val="051Tabletext228pt"/>
              <w:rPr>
                <w:sz w:val="18"/>
                <w:szCs w:val="18"/>
              </w:rPr>
            </w:pPr>
            <w:r w:rsidRPr="005D71A4">
              <w:rPr>
                <w:sz w:val="18"/>
                <w:szCs w:val="18"/>
              </w:rPr>
              <w:t>pain</w:t>
            </w:r>
          </w:p>
        </w:tc>
        <w:tc>
          <w:tcPr>
            <w:tcW w:w="2212" w:type="dxa"/>
            <w:tcBorders>
              <w:top w:val="nil"/>
              <w:bottom w:val="nil"/>
            </w:tcBorders>
            <w:shd w:val="clear" w:color="auto" w:fill="auto"/>
          </w:tcPr>
          <w:p w14:paraId="277BA062" w14:textId="77777777" w:rsidR="009048EC" w:rsidRPr="005D71A4" w:rsidRDefault="009048EC" w:rsidP="00BB06A3">
            <w:pPr>
              <w:pStyle w:val="051Tabletext228pt"/>
              <w:rPr>
                <w:sz w:val="18"/>
                <w:szCs w:val="18"/>
              </w:rPr>
            </w:pPr>
            <w:r w:rsidRPr="005D71A4">
              <w:rPr>
                <w:sz w:val="18"/>
                <w:szCs w:val="18"/>
              </w:rPr>
              <w:t>2, N=189 (S); 2, N=161 (M)</w:t>
            </w:r>
          </w:p>
        </w:tc>
        <w:tc>
          <w:tcPr>
            <w:tcW w:w="1644" w:type="dxa"/>
            <w:tcBorders>
              <w:top w:val="nil"/>
              <w:bottom w:val="nil"/>
            </w:tcBorders>
            <w:shd w:val="clear" w:color="auto" w:fill="F4B083" w:themeFill="accent2" w:themeFillTint="99"/>
          </w:tcPr>
          <w:p w14:paraId="4CC4894C"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2AD3FD34" w14:textId="77777777" w:rsidR="009048EC" w:rsidRPr="005D71A4" w:rsidRDefault="009048EC" w:rsidP="00BB06A3">
            <w:pPr>
              <w:pStyle w:val="051Tabletext228pt"/>
              <w:rPr>
                <w:sz w:val="18"/>
                <w:szCs w:val="18"/>
              </w:rPr>
            </w:pPr>
            <w:r w:rsidRPr="005D71A4">
              <w:rPr>
                <w:sz w:val="18"/>
                <w:szCs w:val="18"/>
              </w:rPr>
              <w:t>No difference (S, M)</w:t>
            </w:r>
          </w:p>
        </w:tc>
        <w:tc>
          <w:tcPr>
            <w:tcW w:w="1928" w:type="dxa"/>
            <w:tcBorders>
              <w:top w:val="nil"/>
              <w:bottom w:val="nil"/>
            </w:tcBorders>
          </w:tcPr>
          <w:p w14:paraId="21A59081" w14:textId="77777777" w:rsidR="009048EC" w:rsidRPr="005D71A4" w:rsidRDefault="009048EC" w:rsidP="00BB06A3">
            <w:pPr>
              <w:pStyle w:val="051Tabletext228pt"/>
              <w:rPr>
                <w:sz w:val="18"/>
                <w:szCs w:val="18"/>
              </w:rPr>
            </w:pPr>
            <w:r w:rsidRPr="005D71A4">
              <w:rPr>
                <w:sz w:val="18"/>
                <w:szCs w:val="18"/>
              </w:rPr>
              <w:t>No difference (S, M)</w:t>
            </w:r>
          </w:p>
        </w:tc>
      </w:tr>
      <w:tr w:rsidR="000B4EF5" w14:paraId="08341D0B" w14:textId="77777777" w:rsidTr="00DB0BEE">
        <w:tc>
          <w:tcPr>
            <w:tcW w:w="1928" w:type="dxa"/>
            <w:tcBorders>
              <w:top w:val="nil"/>
              <w:bottom w:val="nil"/>
            </w:tcBorders>
          </w:tcPr>
          <w:p w14:paraId="502631A7" w14:textId="77777777" w:rsidR="009048EC" w:rsidRPr="005D71A4" w:rsidRDefault="009048EC" w:rsidP="00BB06A3">
            <w:pPr>
              <w:pStyle w:val="051Tabletext228pt"/>
              <w:rPr>
                <w:sz w:val="18"/>
                <w:szCs w:val="18"/>
              </w:rPr>
            </w:pPr>
            <w:r w:rsidRPr="005D71A4">
              <w:rPr>
                <w:sz w:val="18"/>
                <w:szCs w:val="18"/>
              </w:rPr>
              <w:t>mesh extrusion</w:t>
            </w:r>
          </w:p>
        </w:tc>
        <w:tc>
          <w:tcPr>
            <w:tcW w:w="2212" w:type="dxa"/>
            <w:tcBorders>
              <w:top w:val="nil"/>
              <w:bottom w:val="nil"/>
            </w:tcBorders>
            <w:shd w:val="clear" w:color="auto" w:fill="auto"/>
          </w:tcPr>
          <w:p w14:paraId="644BAFC1" w14:textId="77777777" w:rsidR="009048EC" w:rsidRPr="005D71A4" w:rsidRDefault="009048EC" w:rsidP="00BB06A3">
            <w:pPr>
              <w:pStyle w:val="051Tabletext228pt"/>
              <w:rPr>
                <w:sz w:val="18"/>
                <w:szCs w:val="18"/>
              </w:rPr>
            </w:pPr>
            <w:r w:rsidRPr="005D71A4">
              <w:rPr>
                <w:sz w:val="18"/>
                <w:szCs w:val="18"/>
              </w:rPr>
              <w:t>2, N=429 (S); 5, N=598 (M)</w:t>
            </w:r>
          </w:p>
        </w:tc>
        <w:tc>
          <w:tcPr>
            <w:tcW w:w="1644" w:type="dxa"/>
            <w:tcBorders>
              <w:top w:val="nil"/>
              <w:bottom w:val="nil"/>
            </w:tcBorders>
            <w:shd w:val="clear" w:color="auto" w:fill="F4B083" w:themeFill="accent2" w:themeFillTint="99"/>
          </w:tcPr>
          <w:p w14:paraId="46A26205"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5E972AAA" w14:textId="77777777" w:rsidR="009048EC" w:rsidRPr="005D71A4" w:rsidRDefault="009048EC" w:rsidP="00BB06A3">
            <w:pPr>
              <w:pStyle w:val="051Tabletext228pt"/>
              <w:rPr>
                <w:sz w:val="18"/>
                <w:szCs w:val="18"/>
              </w:rPr>
            </w:pPr>
            <w:r w:rsidRPr="005D71A4">
              <w:rPr>
                <w:sz w:val="18"/>
                <w:szCs w:val="18"/>
              </w:rPr>
              <w:t>No difference (S, M)</w:t>
            </w:r>
          </w:p>
        </w:tc>
        <w:tc>
          <w:tcPr>
            <w:tcW w:w="1928" w:type="dxa"/>
            <w:tcBorders>
              <w:top w:val="nil"/>
              <w:bottom w:val="nil"/>
            </w:tcBorders>
          </w:tcPr>
          <w:p w14:paraId="684C9538" w14:textId="77777777" w:rsidR="009048EC" w:rsidRPr="005D71A4" w:rsidRDefault="009048EC" w:rsidP="00BB06A3">
            <w:pPr>
              <w:pStyle w:val="051Tabletext228pt"/>
              <w:rPr>
                <w:sz w:val="18"/>
                <w:szCs w:val="18"/>
              </w:rPr>
            </w:pPr>
            <w:r w:rsidRPr="005D71A4">
              <w:rPr>
                <w:sz w:val="18"/>
                <w:szCs w:val="18"/>
              </w:rPr>
              <w:t>No difference (S, M)</w:t>
            </w:r>
          </w:p>
        </w:tc>
      </w:tr>
      <w:tr w:rsidR="000B4EF5" w14:paraId="407E9D34" w14:textId="77777777" w:rsidTr="00DB0BEE">
        <w:tc>
          <w:tcPr>
            <w:tcW w:w="1928" w:type="dxa"/>
            <w:tcBorders>
              <w:top w:val="nil"/>
              <w:bottom w:val="nil"/>
            </w:tcBorders>
          </w:tcPr>
          <w:p w14:paraId="372EE58D" w14:textId="77777777" w:rsidR="009048EC" w:rsidRPr="005D71A4" w:rsidRDefault="009048EC" w:rsidP="00BB06A3">
            <w:pPr>
              <w:pStyle w:val="051Tabletext228pt"/>
              <w:rPr>
                <w:sz w:val="18"/>
                <w:szCs w:val="18"/>
              </w:rPr>
            </w:pPr>
            <w:r w:rsidRPr="005D71A4">
              <w:rPr>
                <w:sz w:val="18"/>
                <w:szCs w:val="18"/>
              </w:rPr>
              <w:t>need for catheterisation</w:t>
            </w:r>
          </w:p>
        </w:tc>
        <w:tc>
          <w:tcPr>
            <w:tcW w:w="2212" w:type="dxa"/>
            <w:tcBorders>
              <w:top w:val="nil"/>
              <w:bottom w:val="nil"/>
            </w:tcBorders>
            <w:shd w:val="clear" w:color="auto" w:fill="auto"/>
          </w:tcPr>
          <w:p w14:paraId="1D291E94" w14:textId="77777777" w:rsidR="009048EC" w:rsidRPr="005D71A4" w:rsidRDefault="009048EC" w:rsidP="00BB06A3">
            <w:pPr>
              <w:pStyle w:val="051Tabletext228pt"/>
              <w:rPr>
                <w:sz w:val="18"/>
                <w:szCs w:val="18"/>
              </w:rPr>
            </w:pPr>
            <w:r w:rsidRPr="005D71A4">
              <w:rPr>
                <w:sz w:val="18"/>
                <w:szCs w:val="18"/>
              </w:rPr>
              <w:t>3, N=289 (S); 3, N=502 (M)</w:t>
            </w:r>
          </w:p>
        </w:tc>
        <w:tc>
          <w:tcPr>
            <w:tcW w:w="1644" w:type="dxa"/>
            <w:tcBorders>
              <w:top w:val="nil"/>
              <w:bottom w:val="nil"/>
            </w:tcBorders>
            <w:shd w:val="clear" w:color="auto" w:fill="F4B083" w:themeFill="accent2" w:themeFillTint="99"/>
          </w:tcPr>
          <w:p w14:paraId="4D86CAC3"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471D811E" w14:textId="77777777" w:rsidR="009048EC" w:rsidRPr="005D71A4" w:rsidRDefault="009048EC" w:rsidP="00BB06A3">
            <w:pPr>
              <w:pStyle w:val="051Tabletext228pt"/>
              <w:rPr>
                <w:sz w:val="18"/>
                <w:szCs w:val="18"/>
              </w:rPr>
            </w:pPr>
            <w:r w:rsidRPr="005D71A4">
              <w:rPr>
                <w:sz w:val="18"/>
                <w:szCs w:val="18"/>
              </w:rPr>
              <w:t>No difference (S, M)</w:t>
            </w:r>
          </w:p>
        </w:tc>
        <w:tc>
          <w:tcPr>
            <w:tcW w:w="1928" w:type="dxa"/>
            <w:tcBorders>
              <w:top w:val="nil"/>
              <w:bottom w:val="nil"/>
            </w:tcBorders>
          </w:tcPr>
          <w:p w14:paraId="51EF336A" w14:textId="77777777" w:rsidR="009048EC" w:rsidRPr="005D71A4" w:rsidRDefault="009048EC" w:rsidP="00BB06A3">
            <w:pPr>
              <w:pStyle w:val="051Tabletext228pt"/>
              <w:rPr>
                <w:sz w:val="18"/>
                <w:szCs w:val="18"/>
              </w:rPr>
            </w:pPr>
            <w:r w:rsidRPr="005D71A4">
              <w:rPr>
                <w:sz w:val="18"/>
                <w:szCs w:val="18"/>
              </w:rPr>
              <w:t>No difference (S, M)</w:t>
            </w:r>
          </w:p>
        </w:tc>
      </w:tr>
      <w:tr w:rsidR="000B4EF5" w14:paraId="22C42B38" w14:textId="77777777" w:rsidTr="00DB0BEE">
        <w:tc>
          <w:tcPr>
            <w:tcW w:w="1928" w:type="dxa"/>
            <w:tcBorders>
              <w:top w:val="nil"/>
              <w:bottom w:val="nil"/>
            </w:tcBorders>
          </w:tcPr>
          <w:p w14:paraId="33CE74A9" w14:textId="77777777" w:rsidR="009048EC" w:rsidRPr="005D71A4" w:rsidRDefault="009048EC" w:rsidP="00BB06A3">
            <w:pPr>
              <w:pStyle w:val="051Tabletext228pt"/>
              <w:rPr>
                <w:sz w:val="18"/>
                <w:szCs w:val="18"/>
              </w:rPr>
            </w:pPr>
            <w:r w:rsidRPr="005D71A4">
              <w:rPr>
                <w:sz w:val="18"/>
                <w:szCs w:val="18"/>
              </w:rPr>
              <w:t>de novo urgency</w:t>
            </w:r>
          </w:p>
        </w:tc>
        <w:tc>
          <w:tcPr>
            <w:tcW w:w="2212" w:type="dxa"/>
            <w:tcBorders>
              <w:top w:val="nil"/>
              <w:bottom w:val="nil"/>
            </w:tcBorders>
            <w:shd w:val="clear" w:color="auto" w:fill="auto"/>
          </w:tcPr>
          <w:p w14:paraId="125E3A02" w14:textId="77777777" w:rsidR="009048EC" w:rsidRPr="005D71A4" w:rsidRDefault="009048EC" w:rsidP="00BB06A3">
            <w:pPr>
              <w:pStyle w:val="051Tabletext228pt"/>
              <w:rPr>
                <w:sz w:val="18"/>
                <w:szCs w:val="18"/>
              </w:rPr>
            </w:pPr>
            <w:r w:rsidRPr="005D71A4">
              <w:rPr>
                <w:sz w:val="18"/>
                <w:szCs w:val="18"/>
              </w:rPr>
              <w:t>1, N=87 (S); 3, N=338 (M)</w:t>
            </w:r>
          </w:p>
        </w:tc>
        <w:tc>
          <w:tcPr>
            <w:tcW w:w="1644" w:type="dxa"/>
            <w:tcBorders>
              <w:top w:val="nil"/>
              <w:bottom w:val="nil"/>
            </w:tcBorders>
            <w:shd w:val="clear" w:color="auto" w:fill="F4B083" w:themeFill="accent2" w:themeFillTint="99"/>
          </w:tcPr>
          <w:p w14:paraId="43E4248F"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225B66E1" w14:textId="77777777" w:rsidR="009048EC" w:rsidRPr="005D71A4" w:rsidRDefault="009048EC" w:rsidP="00BB06A3">
            <w:pPr>
              <w:pStyle w:val="051Tabletext228pt"/>
              <w:rPr>
                <w:sz w:val="18"/>
                <w:szCs w:val="18"/>
              </w:rPr>
            </w:pPr>
            <w:r w:rsidRPr="005D71A4">
              <w:rPr>
                <w:sz w:val="18"/>
                <w:szCs w:val="18"/>
              </w:rPr>
              <w:t>No difference (S, M)</w:t>
            </w:r>
          </w:p>
        </w:tc>
        <w:tc>
          <w:tcPr>
            <w:tcW w:w="1928" w:type="dxa"/>
            <w:tcBorders>
              <w:top w:val="nil"/>
              <w:bottom w:val="nil"/>
            </w:tcBorders>
          </w:tcPr>
          <w:p w14:paraId="278692EB" w14:textId="77777777" w:rsidR="009048EC" w:rsidRPr="005D71A4" w:rsidRDefault="009048EC" w:rsidP="00BB06A3">
            <w:pPr>
              <w:pStyle w:val="051Tabletext228pt"/>
              <w:rPr>
                <w:sz w:val="18"/>
                <w:szCs w:val="18"/>
              </w:rPr>
            </w:pPr>
            <w:r w:rsidRPr="005D71A4">
              <w:rPr>
                <w:sz w:val="18"/>
                <w:szCs w:val="18"/>
              </w:rPr>
              <w:t>No difference (S, M)</w:t>
            </w:r>
          </w:p>
        </w:tc>
      </w:tr>
      <w:tr w:rsidR="000B4EF5" w14:paraId="5097039F" w14:textId="77777777" w:rsidTr="00DB0BEE">
        <w:tc>
          <w:tcPr>
            <w:tcW w:w="1928" w:type="dxa"/>
            <w:tcBorders>
              <w:top w:val="nil"/>
              <w:bottom w:val="nil"/>
            </w:tcBorders>
          </w:tcPr>
          <w:p w14:paraId="6948348D" w14:textId="77777777" w:rsidR="009048EC" w:rsidRPr="005D71A4" w:rsidRDefault="009048EC" w:rsidP="00BB06A3">
            <w:pPr>
              <w:pStyle w:val="051Tabletext228pt"/>
              <w:rPr>
                <w:sz w:val="18"/>
                <w:szCs w:val="18"/>
              </w:rPr>
            </w:pPr>
            <w:r w:rsidRPr="005D71A4">
              <w:rPr>
                <w:sz w:val="18"/>
                <w:szCs w:val="18"/>
              </w:rPr>
              <w:t>de novo urge incontinence</w:t>
            </w:r>
          </w:p>
        </w:tc>
        <w:tc>
          <w:tcPr>
            <w:tcW w:w="2212" w:type="dxa"/>
            <w:tcBorders>
              <w:top w:val="nil"/>
              <w:bottom w:val="nil"/>
            </w:tcBorders>
            <w:shd w:val="clear" w:color="auto" w:fill="auto"/>
          </w:tcPr>
          <w:p w14:paraId="1215073A" w14:textId="77777777" w:rsidR="009048EC" w:rsidRPr="005D71A4" w:rsidRDefault="009048EC" w:rsidP="00BB06A3">
            <w:pPr>
              <w:pStyle w:val="051Tabletext228pt"/>
              <w:rPr>
                <w:sz w:val="18"/>
                <w:szCs w:val="18"/>
              </w:rPr>
            </w:pPr>
            <w:r w:rsidRPr="005D71A4">
              <w:rPr>
                <w:sz w:val="18"/>
                <w:szCs w:val="18"/>
              </w:rPr>
              <w:t>2, N=155 (S); 3, N=315 (M)</w:t>
            </w:r>
          </w:p>
        </w:tc>
        <w:tc>
          <w:tcPr>
            <w:tcW w:w="1644" w:type="dxa"/>
            <w:tcBorders>
              <w:top w:val="nil"/>
              <w:bottom w:val="nil"/>
            </w:tcBorders>
            <w:shd w:val="clear" w:color="auto" w:fill="F4B083" w:themeFill="accent2" w:themeFillTint="99"/>
          </w:tcPr>
          <w:p w14:paraId="4BC2F52A"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114435D6" w14:textId="77777777" w:rsidR="009048EC" w:rsidRPr="005D71A4" w:rsidRDefault="009048EC" w:rsidP="00BB06A3">
            <w:pPr>
              <w:pStyle w:val="051Tabletext228pt"/>
              <w:rPr>
                <w:sz w:val="18"/>
                <w:szCs w:val="18"/>
              </w:rPr>
            </w:pPr>
            <w:r w:rsidRPr="005D71A4">
              <w:rPr>
                <w:sz w:val="18"/>
                <w:szCs w:val="18"/>
              </w:rPr>
              <w:t>No difference (S, M)</w:t>
            </w:r>
          </w:p>
        </w:tc>
        <w:tc>
          <w:tcPr>
            <w:tcW w:w="1928" w:type="dxa"/>
            <w:tcBorders>
              <w:top w:val="nil"/>
              <w:bottom w:val="nil"/>
            </w:tcBorders>
          </w:tcPr>
          <w:p w14:paraId="00D2039A" w14:textId="77777777" w:rsidR="009048EC" w:rsidRPr="005D71A4" w:rsidRDefault="009048EC" w:rsidP="00BB06A3">
            <w:pPr>
              <w:pStyle w:val="051Tabletext228pt"/>
              <w:rPr>
                <w:sz w:val="18"/>
                <w:szCs w:val="18"/>
              </w:rPr>
            </w:pPr>
            <w:r w:rsidRPr="005D71A4">
              <w:rPr>
                <w:sz w:val="18"/>
                <w:szCs w:val="18"/>
              </w:rPr>
              <w:t>No difference (S, M)</w:t>
            </w:r>
          </w:p>
        </w:tc>
      </w:tr>
      <w:tr w:rsidR="000B4EF5" w14:paraId="2B9B034F" w14:textId="77777777" w:rsidTr="00DB0BEE">
        <w:tc>
          <w:tcPr>
            <w:tcW w:w="1928" w:type="dxa"/>
            <w:tcBorders>
              <w:top w:val="nil"/>
              <w:bottom w:val="nil"/>
            </w:tcBorders>
          </w:tcPr>
          <w:p w14:paraId="317A4CAC" w14:textId="77777777" w:rsidR="009048EC" w:rsidRPr="005D71A4" w:rsidRDefault="009048EC" w:rsidP="00BB06A3">
            <w:pPr>
              <w:pStyle w:val="051Tabletext228pt"/>
              <w:rPr>
                <w:sz w:val="18"/>
                <w:szCs w:val="18"/>
              </w:rPr>
            </w:pPr>
            <w:r w:rsidRPr="005D71A4">
              <w:rPr>
                <w:sz w:val="18"/>
                <w:szCs w:val="18"/>
              </w:rPr>
              <w:t>fistula</w:t>
            </w:r>
          </w:p>
        </w:tc>
        <w:tc>
          <w:tcPr>
            <w:tcW w:w="2212" w:type="dxa"/>
            <w:tcBorders>
              <w:top w:val="nil"/>
              <w:bottom w:val="nil"/>
            </w:tcBorders>
            <w:shd w:val="clear" w:color="auto" w:fill="auto"/>
          </w:tcPr>
          <w:p w14:paraId="3BDC2F19" w14:textId="77777777" w:rsidR="009048EC" w:rsidRPr="005D71A4" w:rsidRDefault="009048EC" w:rsidP="00BB06A3">
            <w:pPr>
              <w:pStyle w:val="051Tabletext228pt"/>
              <w:rPr>
                <w:sz w:val="18"/>
                <w:szCs w:val="18"/>
              </w:rPr>
            </w:pPr>
            <w:r w:rsidRPr="005D71A4">
              <w:rPr>
                <w:sz w:val="18"/>
                <w:szCs w:val="18"/>
              </w:rPr>
              <w:t>1, N=90 (M)</w:t>
            </w:r>
          </w:p>
        </w:tc>
        <w:tc>
          <w:tcPr>
            <w:tcW w:w="1644" w:type="dxa"/>
            <w:tcBorders>
              <w:top w:val="nil"/>
              <w:bottom w:val="nil"/>
            </w:tcBorders>
            <w:shd w:val="clear" w:color="auto" w:fill="FFE599" w:themeFill="accent4" w:themeFillTint="66"/>
          </w:tcPr>
          <w:p w14:paraId="0907B4A7" w14:textId="77777777" w:rsidR="009048EC" w:rsidRPr="005D71A4" w:rsidRDefault="009048EC" w:rsidP="00BB06A3">
            <w:pPr>
              <w:pStyle w:val="051Tabletext228pt"/>
              <w:rPr>
                <w:sz w:val="18"/>
                <w:szCs w:val="18"/>
              </w:rPr>
            </w:pPr>
            <w:r w:rsidRPr="005D71A4">
              <w:rPr>
                <w:sz w:val="18"/>
                <w:szCs w:val="18"/>
              </w:rPr>
              <w:t>Low</w:t>
            </w:r>
          </w:p>
        </w:tc>
        <w:tc>
          <w:tcPr>
            <w:tcW w:w="1928" w:type="dxa"/>
            <w:tcBorders>
              <w:top w:val="nil"/>
              <w:bottom w:val="nil"/>
            </w:tcBorders>
          </w:tcPr>
          <w:p w14:paraId="07AA2F4E" w14:textId="77777777" w:rsidR="009048EC" w:rsidRPr="005D71A4" w:rsidRDefault="009048EC" w:rsidP="00BB06A3">
            <w:pPr>
              <w:pStyle w:val="051Tabletext228pt"/>
              <w:rPr>
                <w:sz w:val="18"/>
                <w:szCs w:val="18"/>
              </w:rPr>
            </w:pPr>
            <w:r w:rsidRPr="005D71A4">
              <w:rPr>
                <w:sz w:val="18"/>
                <w:szCs w:val="18"/>
              </w:rPr>
              <w:t>No events</w:t>
            </w:r>
          </w:p>
        </w:tc>
        <w:tc>
          <w:tcPr>
            <w:tcW w:w="1928" w:type="dxa"/>
            <w:tcBorders>
              <w:top w:val="nil"/>
              <w:bottom w:val="nil"/>
            </w:tcBorders>
          </w:tcPr>
          <w:p w14:paraId="26E58580" w14:textId="77777777" w:rsidR="009048EC" w:rsidRPr="005D71A4" w:rsidRDefault="009048EC" w:rsidP="00BB06A3">
            <w:pPr>
              <w:pStyle w:val="051Tabletext228pt"/>
              <w:rPr>
                <w:sz w:val="18"/>
                <w:szCs w:val="18"/>
              </w:rPr>
            </w:pPr>
            <w:r w:rsidRPr="005D71A4">
              <w:rPr>
                <w:sz w:val="18"/>
                <w:szCs w:val="18"/>
              </w:rPr>
              <w:t>No events</w:t>
            </w:r>
          </w:p>
        </w:tc>
      </w:tr>
      <w:tr w:rsidR="000B4EF5" w14:paraId="0A6D8166" w14:textId="77777777" w:rsidTr="00DB0BEE">
        <w:tc>
          <w:tcPr>
            <w:tcW w:w="1928" w:type="dxa"/>
            <w:tcBorders>
              <w:top w:val="nil"/>
              <w:bottom w:val="single" w:sz="4" w:space="0" w:color="auto"/>
            </w:tcBorders>
          </w:tcPr>
          <w:p w14:paraId="6BCF78C1" w14:textId="77777777" w:rsidR="009048EC" w:rsidRPr="005D71A4" w:rsidRDefault="009048EC" w:rsidP="00BB06A3">
            <w:pPr>
              <w:pStyle w:val="051Tabletext228pt"/>
              <w:rPr>
                <w:sz w:val="18"/>
                <w:szCs w:val="18"/>
              </w:rPr>
            </w:pPr>
            <w:r w:rsidRPr="005D71A4">
              <w:rPr>
                <w:sz w:val="18"/>
                <w:szCs w:val="18"/>
              </w:rPr>
              <w:t>wound complications</w:t>
            </w:r>
          </w:p>
        </w:tc>
        <w:tc>
          <w:tcPr>
            <w:tcW w:w="2212" w:type="dxa"/>
            <w:tcBorders>
              <w:top w:val="nil"/>
              <w:bottom w:val="single" w:sz="4" w:space="0" w:color="auto"/>
            </w:tcBorders>
            <w:shd w:val="clear" w:color="auto" w:fill="auto"/>
          </w:tcPr>
          <w:p w14:paraId="11587568" w14:textId="77777777" w:rsidR="009048EC" w:rsidRPr="005D71A4" w:rsidRDefault="009048EC" w:rsidP="00BB06A3">
            <w:pPr>
              <w:pStyle w:val="051Tabletext228pt"/>
              <w:rPr>
                <w:sz w:val="18"/>
                <w:szCs w:val="18"/>
              </w:rPr>
            </w:pPr>
            <w:r w:rsidRPr="005D71A4">
              <w:rPr>
                <w:sz w:val="18"/>
                <w:szCs w:val="18"/>
              </w:rPr>
              <w:t>1, N=90 (M)</w:t>
            </w:r>
          </w:p>
        </w:tc>
        <w:tc>
          <w:tcPr>
            <w:tcW w:w="1644" w:type="dxa"/>
            <w:tcBorders>
              <w:top w:val="nil"/>
              <w:bottom w:val="single" w:sz="4" w:space="0" w:color="auto"/>
            </w:tcBorders>
            <w:shd w:val="clear" w:color="auto" w:fill="FFE599" w:themeFill="accent4" w:themeFillTint="66"/>
          </w:tcPr>
          <w:p w14:paraId="099CE2D6" w14:textId="77777777" w:rsidR="009048EC" w:rsidRPr="005D71A4" w:rsidRDefault="009048EC" w:rsidP="00BB06A3">
            <w:pPr>
              <w:pStyle w:val="051Tabletext228pt"/>
              <w:rPr>
                <w:sz w:val="18"/>
                <w:szCs w:val="18"/>
              </w:rPr>
            </w:pPr>
            <w:r w:rsidRPr="005D71A4">
              <w:rPr>
                <w:sz w:val="18"/>
                <w:szCs w:val="18"/>
              </w:rPr>
              <w:t>Low</w:t>
            </w:r>
          </w:p>
        </w:tc>
        <w:tc>
          <w:tcPr>
            <w:tcW w:w="1928" w:type="dxa"/>
            <w:tcBorders>
              <w:top w:val="nil"/>
              <w:bottom w:val="single" w:sz="4" w:space="0" w:color="auto"/>
            </w:tcBorders>
          </w:tcPr>
          <w:p w14:paraId="62B6ED3A" w14:textId="77777777" w:rsidR="009048EC" w:rsidRPr="005D71A4" w:rsidRDefault="009048EC" w:rsidP="00BB06A3">
            <w:pPr>
              <w:pStyle w:val="051Tabletext228pt"/>
              <w:rPr>
                <w:sz w:val="18"/>
                <w:szCs w:val="18"/>
              </w:rPr>
            </w:pPr>
            <w:r w:rsidRPr="005D71A4">
              <w:rPr>
                <w:sz w:val="18"/>
                <w:szCs w:val="18"/>
              </w:rPr>
              <w:t>No events</w:t>
            </w:r>
          </w:p>
        </w:tc>
        <w:tc>
          <w:tcPr>
            <w:tcW w:w="1928" w:type="dxa"/>
            <w:tcBorders>
              <w:top w:val="nil"/>
              <w:bottom w:val="single" w:sz="4" w:space="0" w:color="auto"/>
            </w:tcBorders>
          </w:tcPr>
          <w:p w14:paraId="1EB7C0D6" w14:textId="77777777" w:rsidR="009048EC" w:rsidRPr="005D71A4" w:rsidRDefault="009048EC" w:rsidP="00BB06A3">
            <w:pPr>
              <w:pStyle w:val="051Tabletext228pt"/>
              <w:rPr>
                <w:sz w:val="18"/>
                <w:szCs w:val="18"/>
              </w:rPr>
            </w:pPr>
            <w:r w:rsidRPr="005D71A4">
              <w:rPr>
                <w:sz w:val="18"/>
                <w:szCs w:val="18"/>
              </w:rPr>
              <w:t>No events</w:t>
            </w:r>
          </w:p>
        </w:tc>
      </w:tr>
      <w:tr w:rsidR="000B4EF5" w14:paraId="32154F8C" w14:textId="77777777" w:rsidTr="00DB0BEE">
        <w:tc>
          <w:tcPr>
            <w:tcW w:w="1928" w:type="dxa"/>
            <w:tcBorders>
              <w:bottom w:val="nil"/>
            </w:tcBorders>
            <w:shd w:val="clear" w:color="auto" w:fill="E7E6E6" w:themeFill="background2"/>
          </w:tcPr>
          <w:p w14:paraId="41195C05" w14:textId="77777777" w:rsidR="009048EC" w:rsidRPr="005D71A4" w:rsidRDefault="009048EC" w:rsidP="00BB06A3">
            <w:pPr>
              <w:pStyle w:val="051Tabletext228pt"/>
              <w:rPr>
                <w:b/>
                <w:bCs/>
                <w:sz w:val="18"/>
                <w:szCs w:val="18"/>
              </w:rPr>
            </w:pPr>
            <w:r w:rsidRPr="005D71A4">
              <w:rPr>
                <w:b/>
                <w:bCs/>
                <w:sz w:val="18"/>
                <w:szCs w:val="18"/>
              </w:rPr>
              <w:lastRenderedPageBreak/>
              <w:t>Repeat surgery</w:t>
            </w:r>
          </w:p>
        </w:tc>
        <w:tc>
          <w:tcPr>
            <w:tcW w:w="2212" w:type="dxa"/>
            <w:tcBorders>
              <w:bottom w:val="nil"/>
            </w:tcBorders>
            <w:shd w:val="clear" w:color="auto" w:fill="E7E6E6" w:themeFill="background2"/>
          </w:tcPr>
          <w:p w14:paraId="04EBF52D" w14:textId="77777777" w:rsidR="009048EC" w:rsidRPr="005D71A4" w:rsidRDefault="009048EC" w:rsidP="00BB06A3">
            <w:pPr>
              <w:pStyle w:val="051Tabletext228pt"/>
              <w:rPr>
                <w:sz w:val="18"/>
                <w:szCs w:val="18"/>
                <w:highlight w:val="yellow"/>
              </w:rPr>
            </w:pPr>
          </w:p>
        </w:tc>
        <w:tc>
          <w:tcPr>
            <w:tcW w:w="1644" w:type="dxa"/>
            <w:tcBorders>
              <w:bottom w:val="nil"/>
            </w:tcBorders>
            <w:shd w:val="clear" w:color="auto" w:fill="E7E6E6" w:themeFill="background2"/>
          </w:tcPr>
          <w:p w14:paraId="6B296C27" w14:textId="77777777" w:rsidR="009048EC" w:rsidRPr="005D71A4" w:rsidRDefault="009048EC" w:rsidP="00BB06A3">
            <w:pPr>
              <w:pStyle w:val="051Tabletext228pt"/>
              <w:rPr>
                <w:sz w:val="18"/>
                <w:szCs w:val="18"/>
                <w:highlight w:val="yellow"/>
              </w:rPr>
            </w:pPr>
          </w:p>
        </w:tc>
        <w:tc>
          <w:tcPr>
            <w:tcW w:w="1928" w:type="dxa"/>
            <w:tcBorders>
              <w:bottom w:val="nil"/>
            </w:tcBorders>
            <w:shd w:val="clear" w:color="auto" w:fill="E7E6E6" w:themeFill="background2"/>
          </w:tcPr>
          <w:p w14:paraId="2F2705D6" w14:textId="77777777" w:rsidR="009048EC" w:rsidRPr="005D71A4" w:rsidRDefault="009048EC" w:rsidP="00BB06A3">
            <w:pPr>
              <w:pStyle w:val="051Tabletext228pt"/>
              <w:rPr>
                <w:sz w:val="18"/>
                <w:szCs w:val="18"/>
                <w:highlight w:val="yellow"/>
              </w:rPr>
            </w:pPr>
          </w:p>
        </w:tc>
        <w:tc>
          <w:tcPr>
            <w:tcW w:w="1928" w:type="dxa"/>
            <w:tcBorders>
              <w:bottom w:val="nil"/>
            </w:tcBorders>
            <w:shd w:val="clear" w:color="auto" w:fill="E7E6E6" w:themeFill="background2"/>
          </w:tcPr>
          <w:p w14:paraId="0717AB5A" w14:textId="77777777" w:rsidR="009048EC" w:rsidRPr="005D71A4" w:rsidRDefault="009048EC" w:rsidP="00BB06A3">
            <w:pPr>
              <w:pStyle w:val="051Tabletext228pt"/>
              <w:rPr>
                <w:sz w:val="18"/>
                <w:szCs w:val="18"/>
                <w:highlight w:val="yellow"/>
              </w:rPr>
            </w:pPr>
          </w:p>
        </w:tc>
      </w:tr>
      <w:tr w:rsidR="000B4EF5" w14:paraId="6E5E4E9C" w14:textId="77777777" w:rsidTr="00DB0BEE">
        <w:tc>
          <w:tcPr>
            <w:tcW w:w="1928" w:type="dxa"/>
            <w:tcBorders>
              <w:top w:val="nil"/>
              <w:bottom w:val="nil"/>
            </w:tcBorders>
          </w:tcPr>
          <w:p w14:paraId="76997C02" w14:textId="77777777" w:rsidR="009048EC" w:rsidRPr="005D71A4" w:rsidRDefault="009048EC" w:rsidP="00BB06A3">
            <w:pPr>
              <w:pStyle w:val="051Tabletext228pt"/>
              <w:rPr>
                <w:sz w:val="18"/>
                <w:szCs w:val="18"/>
              </w:rPr>
            </w:pPr>
            <w:r w:rsidRPr="005D71A4">
              <w:rPr>
                <w:sz w:val="18"/>
                <w:szCs w:val="18"/>
              </w:rPr>
              <w:t>for any reason</w:t>
            </w:r>
          </w:p>
        </w:tc>
        <w:tc>
          <w:tcPr>
            <w:tcW w:w="2212" w:type="dxa"/>
            <w:tcBorders>
              <w:top w:val="nil"/>
              <w:bottom w:val="nil"/>
            </w:tcBorders>
            <w:shd w:val="clear" w:color="auto" w:fill="auto"/>
          </w:tcPr>
          <w:p w14:paraId="793743DF" w14:textId="77777777" w:rsidR="009048EC" w:rsidRPr="005D71A4" w:rsidRDefault="009048EC" w:rsidP="00BB06A3">
            <w:pPr>
              <w:pStyle w:val="051Tabletext228pt"/>
              <w:rPr>
                <w:sz w:val="18"/>
                <w:szCs w:val="18"/>
                <w:highlight w:val="yellow"/>
              </w:rPr>
            </w:pPr>
            <w:r w:rsidRPr="005D71A4">
              <w:rPr>
                <w:sz w:val="18"/>
                <w:szCs w:val="18"/>
              </w:rPr>
              <w:t xml:space="preserve">2, N=168 (S) </w:t>
            </w:r>
          </w:p>
        </w:tc>
        <w:tc>
          <w:tcPr>
            <w:tcW w:w="1644" w:type="dxa"/>
            <w:tcBorders>
              <w:top w:val="nil"/>
              <w:bottom w:val="nil"/>
            </w:tcBorders>
            <w:shd w:val="clear" w:color="auto" w:fill="F4B083" w:themeFill="accent2" w:themeFillTint="99"/>
          </w:tcPr>
          <w:p w14:paraId="5833B89F"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533E9A48" w14:textId="77777777" w:rsidR="009048EC" w:rsidRPr="005D71A4" w:rsidRDefault="009048EC" w:rsidP="00BB06A3">
            <w:pPr>
              <w:pStyle w:val="051Tabletext228pt"/>
              <w:rPr>
                <w:sz w:val="18"/>
                <w:szCs w:val="18"/>
                <w:highlight w:val="yellow"/>
              </w:rPr>
            </w:pPr>
            <w:r w:rsidRPr="005D71A4">
              <w:rPr>
                <w:sz w:val="18"/>
                <w:szCs w:val="18"/>
              </w:rPr>
              <w:t>No difference (S)</w:t>
            </w:r>
          </w:p>
        </w:tc>
        <w:tc>
          <w:tcPr>
            <w:tcW w:w="1928" w:type="dxa"/>
            <w:tcBorders>
              <w:top w:val="nil"/>
              <w:bottom w:val="nil"/>
            </w:tcBorders>
          </w:tcPr>
          <w:p w14:paraId="23B192ED" w14:textId="77777777" w:rsidR="009048EC" w:rsidRPr="005D71A4" w:rsidRDefault="009048EC" w:rsidP="00BB06A3">
            <w:pPr>
              <w:pStyle w:val="051Tabletext228pt"/>
              <w:rPr>
                <w:sz w:val="18"/>
                <w:szCs w:val="18"/>
              </w:rPr>
            </w:pPr>
            <w:r w:rsidRPr="005D71A4">
              <w:rPr>
                <w:sz w:val="18"/>
                <w:szCs w:val="18"/>
              </w:rPr>
              <w:t>No difference (S)</w:t>
            </w:r>
          </w:p>
        </w:tc>
      </w:tr>
      <w:tr w:rsidR="000B4EF5" w14:paraId="65C87A79" w14:textId="77777777" w:rsidTr="00DB0BEE">
        <w:tc>
          <w:tcPr>
            <w:tcW w:w="1928" w:type="dxa"/>
            <w:tcBorders>
              <w:top w:val="nil"/>
              <w:bottom w:val="nil"/>
            </w:tcBorders>
          </w:tcPr>
          <w:p w14:paraId="32FA9F93" w14:textId="77777777" w:rsidR="009048EC" w:rsidRPr="005D71A4" w:rsidRDefault="009048EC" w:rsidP="00BB06A3">
            <w:pPr>
              <w:pStyle w:val="051Tabletext228pt"/>
              <w:rPr>
                <w:sz w:val="18"/>
                <w:szCs w:val="18"/>
              </w:rPr>
            </w:pPr>
          </w:p>
        </w:tc>
        <w:tc>
          <w:tcPr>
            <w:tcW w:w="2212" w:type="dxa"/>
            <w:tcBorders>
              <w:top w:val="nil"/>
              <w:bottom w:val="nil"/>
            </w:tcBorders>
            <w:shd w:val="clear" w:color="auto" w:fill="auto"/>
          </w:tcPr>
          <w:p w14:paraId="53C88944" w14:textId="77777777" w:rsidR="009048EC" w:rsidRPr="005D71A4" w:rsidRDefault="009048EC" w:rsidP="00BB06A3">
            <w:pPr>
              <w:pStyle w:val="051Tabletext228pt"/>
              <w:rPr>
                <w:sz w:val="18"/>
                <w:szCs w:val="18"/>
                <w:highlight w:val="yellow"/>
              </w:rPr>
            </w:pPr>
            <w:r w:rsidRPr="005D71A4">
              <w:rPr>
                <w:sz w:val="18"/>
                <w:szCs w:val="18"/>
              </w:rPr>
              <w:t>1, N=316 (M)</w:t>
            </w:r>
          </w:p>
        </w:tc>
        <w:tc>
          <w:tcPr>
            <w:tcW w:w="1644" w:type="dxa"/>
            <w:tcBorders>
              <w:top w:val="nil"/>
              <w:bottom w:val="nil"/>
            </w:tcBorders>
            <w:shd w:val="clear" w:color="auto" w:fill="FFE599" w:themeFill="accent4" w:themeFillTint="66"/>
          </w:tcPr>
          <w:p w14:paraId="4F46DEC1" w14:textId="77777777" w:rsidR="009048EC" w:rsidRPr="005D71A4" w:rsidRDefault="009048EC" w:rsidP="00BB06A3">
            <w:pPr>
              <w:pStyle w:val="051Tabletext228pt"/>
              <w:rPr>
                <w:sz w:val="18"/>
                <w:szCs w:val="18"/>
              </w:rPr>
            </w:pPr>
            <w:r w:rsidRPr="005D71A4">
              <w:rPr>
                <w:sz w:val="18"/>
                <w:szCs w:val="18"/>
              </w:rPr>
              <w:t>Low</w:t>
            </w:r>
          </w:p>
        </w:tc>
        <w:tc>
          <w:tcPr>
            <w:tcW w:w="1928" w:type="dxa"/>
            <w:tcBorders>
              <w:top w:val="nil"/>
              <w:bottom w:val="nil"/>
            </w:tcBorders>
            <w:shd w:val="clear" w:color="auto" w:fill="C5E0B3" w:themeFill="accent6" w:themeFillTint="66"/>
          </w:tcPr>
          <w:p w14:paraId="6CDC5EEA" w14:textId="77777777" w:rsidR="009048EC" w:rsidRPr="005D71A4" w:rsidRDefault="009048EC" w:rsidP="00BB06A3">
            <w:pPr>
              <w:pStyle w:val="051Tabletext228pt"/>
              <w:rPr>
                <w:sz w:val="18"/>
                <w:szCs w:val="18"/>
                <w:highlight w:val="yellow"/>
              </w:rPr>
            </w:pPr>
            <w:r w:rsidRPr="005D71A4">
              <w:rPr>
                <w:sz w:val="18"/>
                <w:szCs w:val="18"/>
              </w:rPr>
              <w:t>Favours MUS (M)</w:t>
            </w:r>
          </w:p>
        </w:tc>
        <w:tc>
          <w:tcPr>
            <w:tcW w:w="1928" w:type="dxa"/>
            <w:tcBorders>
              <w:top w:val="nil"/>
              <w:bottom w:val="nil"/>
            </w:tcBorders>
            <w:shd w:val="clear" w:color="auto" w:fill="C5E0B3" w:themeFill="accent6" w:themeFillTint="66"/>
          </w:tcPr>
          <w:p w14:paraId="5D3217D0" w14:textId="77777777" w:rsidR="009048EC" w:rsidRPr="005D71A4" w:rsidRDefault="009048EC" w:rsidP="00BB06A3">
            <w:pPr>
              <w:pStyle w:val="051Tabletext228pt"/>
              <w:rPr>
                <w:sz w:val="18"/>
                <w:szCs w:val="18"/>
              </w:rPr>
            </w:pPr>
            <w:r w:rsidRPr="005D71A4">
              <w:rPr>
                <w:sz w:val="18"/>
                <w:szCs w:val="18"/>
              </w:rPr>
              <w:t>Favours MUS (M)</w:t>
            </w:r>
          </w:p>
        </w:tc>
      </w:tr>
      <w:tr w:rsidR="000B4EF5" w14:paraId="6470580E" w14:textId="77777777" w:rsidTr="00DB0BEE">
        <w:tc>
          <w:tcPr>
            <w:tcW w:w="1928" w:type="dxa"/>
            <w:tcBorders>
              <w:top w:val="nil"/>
              <w:bottom w:val="nil"/>
            </w:tcBorders>
          </w:tcPr>
          <w:p w14:paraId="570F7415" w14:textId="77777777" w:rsidR="009048EC" w:rsidRPr="005D71A4" w:rsidRDefault="009048EC" w:rsidP="00BB06A3">
            <w:pPr>
              <w:pStyle w:val="051Tabletext228pt"/>
              <w:rPr>
                <w:sz w:val="18"/>
                <w:szCs w:val="18"/>
              </w:rPr>
            </w:pPr>
            <w:r w:rsidRPr="005D71A4">
              <w:rPr>
                <w:sz w:val="18"/>
                <w:szCs w:val="18"/>
              </w:rPr>
              <w:t>for SUI</w:t>
            </w:r>
          </w:p>
        </w:tc>
        <w:tc>
          <w:tcPr>
            <w:tcW w:w="2212" w:type="dxa"/>
            <w:tcBorders>
              <w:top w:val="nil"/>
              <w:bottom w:val="nil"/>
            </w:tcBorders>
            <w:shd w:val="clear" w:color="auto" w:fill="auto"/>
          </w:tcPr>
          <w:p w14:paraId="06E53AB3" w14:textId="77777777" w:rsidR="009048EC" w:rsidRPr="005D71A4" w:rsidRDefault="009048EC" w:rsidP="00BB06A3">
            <w:pPr>
              <w:pStyle w:val="051Tabletext228pt"/>
              <w:rPr>
                <w:sz w:val="18"/>
                <w:szCs w:val="18"/>
                <w:highlight w:val="yellow"/>
              </w:rPr>
            </w:pPr>
            <w:r w:rsidRPr="005D71A4">
              <w:rPr>
                <w:sz w:val="18"/>
                <w:szCs w:val="18"/>
              </w:rPr>
              <w:t>2, N=166 (M); 1, N=53 (L)</w:t>
            </w:r>
          </w:p>
        </w:tc>
        <w:tc>
          <w:tcPr>
            <w:tcW w:w="1644" w:type="dxa"/>
            <w:tcBorders>
              <w:top w:val="nil"/>
              <w:bottom w:val="nil"/>
            </w:tcBorders>
            <w:shd w:val="clear" w:color="auto" w:fill="F4B083" w:themeFill="accent2" w:themeFillTint="99"/>
          </w:tcPr>
          <w:p w14:paraId="23099C2D"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nil"/>
            </w:tcBorders>
          </w:tcPr>
          <w:p w14:paraId="42B93833" w14:textId="77777777" w:rsidR="009048EC" w:rsidRPr="005D71A4" w:rsidRDefault="009048EC" w:rsidP="00BB06A3">
            <w:pPr>
              <w:pStyle w:val="051Tabletext228pt"/>
              <w:rPr>
                <w:sz w:val="18"/>
                <w:szCs w:val="18"/>
                <w:highlight w:val="yellow"/>
              </w:rPr>
            </w:pPr>
            <w:r w:rsidRPr="005D71A4">
              <w:rPr>
                <w:sz w:val="18"/>
                <w:szCs w:val="18"/>
              </w:rPr>
              <w:t>No difference (M, L)</w:t>
            </w:r>
          </w:p>
        </w:tc>
        <w:tc>
          <w:tcPr>
            <w:tcW w:w="1928" w:type="dxa"/>
            <w:tcBorders>
              <w:top w:val="nil"/>
              <w:bottom w:val="nil"/>
            </w:tcBorders>
          </w:tcPr>
          <w:p w14:paraId="56ADCBCD" w14:textId="77777777" w:rsidR="009048EC" w:rsidRPr="005D71A4" w:rsidRDefault="009048EC" w:rsidP="00BB06A3">
            <w:pPr>
              <w:pStyle w:val="051Tabletext228pt"/>
              <w:rPr>
                <w:sz w:val="18"/>
                <w:szCs w:val="18"/>
              </w:rPr>
            </w:pPr>
            <w:r w:rsidRPr="005D71A4">
              <w:rPr>
                <w:sz w:val="18"/>
                <w:szCs w:val="18"/>
              </w:rPr>
              <w:t>No difference (M, L)</w:t>
            </w:r>
          </w:p>
        </w:tc>
      </w:tr>
      <w:tr w:rsidR="000B4EF5" w14:paraId="00BA66E9" w14:textId="77777777" w:rsidTr="00DB0BEE">
        <w:tc>
          <w:tcPr>
            <w:tcW w:w="1928" w:type="dxa"/>
            <w:tcBorders>
              <w:top w:val="nil"/>
              <w:bottom w:val="single" w:sz="4" w:space="0" w:color="auto"/>
            </w:tcBorders>
          </w:tcPr>
          <w:p w14:paraId="44EEF018" w14:textId="77777777" w:rsidR="009048EC" w:rsidRPr="005D71A4" w:rsidRDefault="009048EC" w:rsidP="00BB06A3">
            <w:pPr>
              <w:pStyle w:val="051Tabletext228pt"/>
              <w:rPr>
                <w:sz w:val="18"/>
                <w:szCs w:val="18"/>
              </w:rPr>
            </w:pPr>
            <w:r w:rsidRPr="005D71A4">
              <w:rPr>
                <w:sz w:val="18"/>
                <w:szCs w:val="18"/>
              </w:rPr>
              <w:t>for mesh complications</w:t>
            </w:r>
          </w:p>
        </w:tc>
        <w:tc>
          <w:tcPr>
            <w:tcW w:w="2212" w:type="dxa"/>
            <w:tcBorders>
              <w:top w:val="nil"/>
              <w:bottom w:val="single" w:sz="4" w:space="0" w:color="auto"/>
            </w:tcBorders>
            <w:shd w:val="clear" w:color="auto" w:fill="auto"/>
          </w:tcPr>
          <w:p w14:paraId="1D7DAED9" w14:textId="77777777" w:rsidR="009048EC" w:rsidRPr="005D71A4" w:rsidRDefault="009048EC" w:rsidP="00BB06A3">
            <w:pPr>
              <w:pStyle w:val="051Tabletext228pt"/>
              <w:rPr>
                <w:sz w:val="18"/>
                <w:szCs w:val="18"/>
              </w:rPr>
            </w:pPr>
            <w:r w:rsidRPr="005D71A4">
              <w:rPr>
                <w:sz w:val="18"/>
                <w:szCs w:val="18"/>
              </w:rPr>
              <w:t>1, N=68 (S); 1, N=72 (L)</w:t>
            </w:r>
          </w:p>
        </w:tc>
        <w:tc>
          <w:tcPr>
            <w:tcW w:w="1644" w:type="dxa"/>
            <w:tcBorders>
              <w:top w:val="nil"/>
              <w:bottom w:val="single" w:sz="4" w:space="0" w:color="auto"/>
            </w:tcBorders>
            <w:shd w:val="clear" w:color="auto" w:fill="F4B083" w:themeFill="accent2" w:themeFillTint="99"/>
          </w:tcPr>
          <w:p w14:paraId="79A98469" w14:textId="77777777" w:rsidR="009048EC" w:rsidRPr="005D71A4" w:rsidRDefault="009048EC" w:rsidP="00BB06A3">
            <w:pPr>
              <w:pStyle w:val="051Tabletext228pt"/>
              <w:rPr>
                <w:sz w:val="18"/>
                <w:szCs w:val="18"/>
              </w:rPr>
            </w:pPr>
            <w:r w:rsidRPr="005D71A4">
              <w:rPr>
                <w:sz w:val="18"/>
                <w:szCs w:val="18"/>
              </w:rPr>
              <w:t>Very low</w:t>
            </w:r>
          </w:p>
        </w:tc>
        <w:tc>
          <w:tcPr>
            <w:tcW w:w="1928" w:type="dxa"/>
            <w:tcBorders>
              <w:top w:val="nil"/>
              <w:bottom w:val="single" w:sz="4" w:space="0" w:color="auto"/>
            </w:tcBorders>
          </w:tcPr>
          <w:p w14:paraId="77499838" w14:textId="77777777" w:rsidR="009048EC" w:rsidRPr="005D71A4" w:rsidRDefault="009048EC" w:rsidP="00BB06A3">
            <w:pPr>
              <w:pStyle w:val="051Tabletext228pt"/>
              <w:rPr>
                <w:sz w:val="18"/>
                <w:szCs w:val="18"/>
                <w:highlight w:val="yellow"/>
              </w:rPr>
            </w:pPr>
            <w:r w:rsidRPr="005D71A4">
              <w:rPr>
                <w:sz w:val="18"/>
                <w:szCs w:val="18"/>
              </w:rPr>
              <w:t>No difference (S, L)</w:t>
            </w:r>
          </w:p>
        </w:tc>
        <w:tc>
          <w:tcPr>
            <w:tcW w:w="1928" w:type="dxa"/>
            <w:tcBorders>
              <w:top w:val="nil"/>
              <w:bottom w:val="single" w:sz="4" w:space="0" w:color="auto"/>
            </w:tcBorders>
          </w:tcPr>
          <w:p w14:paraId="5D6181B8" w14:textId="77777777" w:rsidR="009048EC" w:rsidRPr="005D71A4" w:rsidRDefault="009048EC" w:rsidP="00BB06A3">
            <w:pPr>
              <w:pStyle w:val="051Tabletext228pt"/>
              <w:rPr>
                <w:sz w:val="18"/>
                <w:szCs w:val="18"/>
              </w:rPr>
            </w:pPr>
            <w:r w:rsidRPr="005D71A4">
              <w:rPr>
                <w:sz w:val="18"/>
                <w:szCs w:val="18"/>
              </w:rPr>
              <w:t>No difference (S, L)</w:t>
            </w:r>
          </w:p>
        </w:tc>
      </w:tr>
    </w:tbl>
    <w:p w14:paraId="2B2CCB97" w14:textId="4E2860E8" w:rsidR="00453055" w:rsidRPr="00CC152B" w:rsidRDefault="00453055" w:rsidP="00CC152B">
      <w:pPr>
        <w:pStyle w:val="101Tablefootnotes8pt"/>
      </w:pPr>
      <w:r w:rsidRPr="00CC152B">
        <w:t xml:space="preserve">Source: based on data from NICE Evidence review </w:t>
      </w:r>
      <w:r w:rsidR="00245CE2" w:rsidRPr="00CC152B">
        <w:t>(NICE 2019b)</w:t>
      </w:r>
    </w:p>
    <w:p w14:paraId="0A0A9DD0" w14:textId="639D78B6" w:rsidR="009048EC" w:rsidRPr="00CC152B" w:rsidRDefault="009048EC" w:rsidP="00CC152B">
      <w:pPr>
        <w:pStyle w:val="101Tablefootnotes8pt"/>
      </w:pPr>
      <w:r w:rsidRPr="00CC152B">
        <w:t xml:space="preserve">Abbreviations: </w:t>
      </w:r>
      <w:proofErr w:type="spellStart"/>
      <w:r w:rsidR="00011166" w:rsidRPr="00CC152B">
        <w:t>HRQoL</w:t>
      </w:r>
      <w:proofErr w:type="spellEnd"/>
      <w:r w:rsidR="00011166" w:rsidRPr="00CC152B">
        <w:t>, health-related quality of life;</w:t>
      </w:r>
      <w:r w:rsidRPr="00CC152B">
        <w:t xml:space="preserve"> L, long-term; M, medium-term; MUS, mid-urethral sling; </w:t>
      </w:r>
      <w:r w:rsidR="007B1378" w:rsidRPr="00CC152B">
        <w:t xml:space="preserve">No., number; </w:t>
      </w:r>
      <w:r w:rsidRPr="00CC152B">
        <w:t xml:space="preserve">POP, pelvic organ prolapse; RP, retropubic; S, short-term; SUI, stress urinary incontinence; TO, </w:t>
      </w:r>
      <w:proofErr w:type="spellStart"/>
      <w:r w:rsidRPr="00CC152B">
        <w:t>transobturator</w:t>
      </w:r>
      <w:proofErr w:type="spellEnd"/>
    </w:p>
    <w:p w14:paraId="73FCED1E" w14:textId="77777777" w:rsidR="005B28DD" w:rsidRPr="00CC152B" w:rsidRDefault="005B28DD" w:rsidP="00CC152B">
      <w:pPr>
        <w:pStyle w:val="101Tablefootnotes8pt"/>
      </w:pPr>
      <w:r w:rsidRPr="00CC152B">
        <w:rPr>
          <w:vertAlign w:val="superscript"/>
        </w:rPr>
        <w:t>1</w:t>
      </w:r>
      <w:r w:rsidRPr="00CC152B">
        <w:t xml:space="preserve"> NICE defined clinically important </w:t>
      </w:r>
      <w:proofErr w:type="gramStart"/>
      <w:r w:rsidRPr="00CC152B">
        <w:t>outcomes</w:t>
      </w:r>
      <w:proofErr w:type="gramEnd"/>
      <w:r w:rsidRPr="00CC152B">
        <w:t xml:space="preserve"> based on published literature and consultation with the Guideline Committee. If no published or acceptable minimally important difference (MID) was identified, the committee considered whether to use GRADE defaults.</w:t>
      </w:r>
    </w:p>
    <w:p w14:paraId="126900F0" w14:textId="26BB1153" w:rsidR="00083412" w:rsidRPr="00CC152B" w:rsidRDefault="00884579" w:rsidP="00CC152B">
      <w:pPr>
        <w:pStyle w:val="111Tablefootnoteslast-nostick8pt"/>
      </w:pPr>
      <w:r w:rsidRPr="00CC152B">
        <w:t xml:space="preserve">Key: orange = very </w:t>
      </w:r>
      <w:proofErr w:type="gramStart"/>
      <w:r w:rsidRPr="00CC152B">
        <w:t>low quality</w:t>
      </w:r>
      <w:proofErr w:type="gramEnd"/>
      <w:r w:rsidRPr="00CC152B">
        <w:t xml:space="preserve"> evidence; yellow = low quality evidence; green = </w:t>
      </w:r>
      <w:proofErr w:type="spellStart"/>
      <w:r w:rsidRPr="00CC152B">
        <w:t>favours</w:t>
      </w:r>
      <w:proofErr w:type="spellEnd"/>
      <w:r w:rsidRPr="00CC152B">
        <w:t xml:space="preserve"> MUS; blue = </w:t>
      </w:r>
      <w:proofErr w:type="spellStart"/>
      <w:r w:rsidRPr="00CC152B">
        <w:t>favours</w:t>
      </w:r>
      <w:proofErr w:type="spellEnd"/>
      <w:r w:rsidRPr="00CC152B">
        <w:t xml:space="preserve"> </w:t>
      </w:r>
      <w:proofErr w:type="spellStart"/>
      <w:r w:rsidRPr="00CC152B">
        <w:t>colposuspension</w:t>
      </w:r>
      <w:proofErr w:type="spellEnd"/>
      <w:r w:rsidRPr="00CC152B">
        <w:t>.</w:t>
      </w:r>
    </w:p>
    <w:p w14:paraId="2BDE0315" w14:textId="332FC0AA" w:rsidR="009048EC" w:rsidRDefault="000177CC" w:rsidP="00B4170F">
      <w:pPr>
        <w:pStyle w:val="Heading3"/>
      </w:pPr>
      <w:bookmarkStart w:id="162" w:name="_Ref165620485"/>
      <w:bookmarkStart w:id="163" w:name="_Toc165627849"/>
      <w:r>
        <w:t>A</w:t>
      </w:r>
      <w:r w:rsidR="002A025C">
        <w:t xml:space="preserve">utologous rectus </w:t>
      </w:r>
      <w:r w:rsidR="002A025C" w:rsidRPr="00B4170F">
        <w:t>fascial</w:t>
      </w:r>
      <w:r w:rsidR="002A025C">
        <w:t xml:space="preserve"> sling (pubovaginal sling)</w:t>
      </w:r>
      <w:r w:rsidRPr="000177CC">
        <w:t xml:space="preserve"> </w:t>
      </w:r>
      <w:r>
        <w:t>versus mid-urethral sling</w:t>
      </w:r>
      <w:bookmarkEnd w:id="162"/>
      <w:bookmarkEnd w:id="163"/>
    </w:p>
    <w:p w14:paraId="7B2EC85E" w14:textId="53E57599" w:rsidR="002A025C" w:rsidRPr="00AA2394" w:rsidRDefault="002A025C" w:rsidP="002A025C">
      <w:pPr>
        <w:pStyle w:val="BodyText"/>
      </w:pPr>
      <w:r>
        <w:t xml:space="preserve">The findings by outcome and follow-up time for MUS compared to autologous rectus fascial sling are summarised in </w:t>
      </w:r>
      <w:r w:rsidR="000177CC" w:rsidRPr="00E122CA">
        <w:rPr>
          <w:b/>
          <w:bCs/>
        </w:rPr>
        <w:fldChar w:fldCharType="begin"/>
      </w:r>
      <w:r w:rsidR="000177CC" w:rsidRPr="00E122CA">
        <w:rPr>
          <w:b/>
          <w:bCs/>
        </w:rPr>
        <w:instrText xml:space="preserve"> REF _Ref133501262 \h </w:instrText>
      </w:r>
      <w:r w:rsidR="00E122CA">
        <w:rPr>
          <w:b/>
          <w:bCs/>
        </w:rPr>
        <w:instrText xml:space="preserve"> \* MERGEFORMAT </w:instrText>
      </w:r>
      <w:r w:rsidR="000177CC" w:rsidRPr="00E122CA">
        <w:rPr>
          <w:b/>
          <w:bCs/>
        </w:rPr>
      </w:r>
      <w:r w:rsidR="000177CC" w:rsidRPr="00E122CA">
        <w:rPr>
          <w:b/>
          <w:bCs/>
        </w:rPr>
        <w:fldChar w:fldCharType="separate"/>
      </w:r>
      <w:r w:rsidR="007105D3" w:rsidRPr="007105D3">
        <w:rPr>
          <w:b/>
          <w:bCs/>
        </w:rPr>
        <w:t xml:space="preserve">Table </w:t>
      </w:r>
      <w:r w:rsidR="007105D3" w:rsidRPr="007105D3">
        <w:rPr>
          <w:b/>
          <w:bCs/>
          <w:noProof/>
        </w:rPr>
        <w:t>33</w:t>
      </w:r>
      <w:r w:rsidR="000177CC" w:rsidRPr="00E122CA">
        <w:rPr>
          <w:b/>
          <w:bCs/>
        </w:rPr>
        <w:fldChar w:fldCharType="end"/>
      </w:r>
      <w:r>
        <w:t>, including the number of RCTs and participants, and the quality of the evidence (where available).</w:t>
      </w:r>
    </w:p>
    <w:p w14:paraId="5BFBA997" w14:textId="2685B0F6" w:rsidR="002A025C" w:rsidRPr="00B0485F" w:rsidRDefault="002A025C" w:rsidP="002A025C">
      <w:pPr>
        <w:pStyle w:val="Caption"/>
      </w:pPr>
      <w:bookmarkStart w:id="164" w:name="_Ref133501262"/>
      <w:bookmarkStart w:id="165" w:name="_Toc165627901"/>
      <w:r>
        <w:t xml:space="preserve">Table </w:t>
      </w:r>
      <w:fldSimple w:instr=" SEQ Table \* ARABIC ">
        <w:r w:rsidR="007105D3">
          <w:rPr>
            <w:noProof/>
          </w:rPr>
          <w:t>33</w:t>
        </w:r>
      </w:fldSimple>
      <w:bookmarkEnd w:id="164"/>
      <w:r>
        <w:tab/>
        <w:t>Summary of findings for autologous rectus fascial sling versus MUS based on relevant studies from NICE review</w:t>
      </w:r>
      <w:bookmarkEnd w:id="165"/>
    </w:p>
    <w:tbl>
      <w:tblPr>
        <w:tblStyle w:val="TableGrid"/>
        <w:tblW w:w="4853" w:type="pct"/>
        <w:tblLook w:val="04A0" w:firstRow="1" w:lastRow="0" w:firstColumn="1" w:lastColumn="0" w:noHBand="0" w:noVBand="1"/>
        <w:tblCaption w:val="Summary of findings for autologous rectus fascial sling versus MUS based on relevant studies from NICE review"/>
        <w:tblDescription w:val="This table shows the number of randomised controlled trials, number of participants, quality of evidence, and statistical significance and clinical importance of the findings for autologous rectus fascial sling versus mid-urethral sling, by outcome."/>
      </w:tblPr>
      <w:tblGrid>
        <w:gridCol w:w="1871"/>
        <w:gridCol w:w="2270"/>
        <w:gridCol w:w="1472"/>
        <w:gridCol w:w="1871"/>
        <w:gridCol w:w="1871"/>
      </w:tblGrid>
      <w:tr w:rsidR="00F055E8" w14:paraId="1ACCEBD2" w14:textId="77777777" w:rsidTr="00131BFE">
        <w:trPr>
          <w:cnfStyle w:val="100000000000" w:firstRow="1" w:lastRow="0" w:firstColumn="0" w:lastColumn="0" w:oddVBand="0" w:evenVBand="0" w:oddHBand="0" w:evenHBand="0" w:firstRowFirstColumn="0" w:firstRowLastColumn="0" w:lastRowFirstColumn="0" w:lastRowLastColumn="0"/>
        </w:trPr>
        <w:tc>
          <w:tcPr>
            <w:tcW w:w="1000" w:type="pct"/>
          </w:tcPr>
          <w:p w14:paraId="60A5E8AF" w14:textId="77777777" w:rsidR="002A025C" w:rsidRPr="005D71A4" w:rsidRDefault="002A025C" w:rsidP="00BB06A3">
            <w:pPr>
              <w:pStyle w:val="011TableHeading8pt"/>
              <w:rPr>
                <w:sz w:val="18"/>
                <w:szCs w:val="18"/>
              </w:rPr>
            </w:pPr>
            <w:r w:rsidRPr="005D71A4">
              <w:rPr>
                <w:sz w:val="18"/>
                <w:szCs w:val="18"/>
              </w:rPr>
              <w:t>Outcome</w:t>
            </w:r>
          </w:p>
        </w:tc>
        <w:tc>
          <w:tcPr>
            <w:tcW w:w="1213" w:type="pct"/>
          </w:tcPr>
          <w:p w14:paraId="57DC71D1" w14:textId="77777777" w:rsidR="002A025C" w:rsidRPr="005D71A4" w:rsidRDefault="002A025C" w:rsidP="00BB06A3">
            <w:pPr>
              <w:pStyle w:val="011TableHeading8pt"/>
              <w:rPr>
                <w:sz w:val="18"/>
                <w:szCs w:val="18"/>
              </w:rPr>
            </w:pPr>
            <w:r w:rsidRPr="005D71A4">
              <w:rPr>
                <w:sz w:val="18"/>
                <w:szCs w:val="18"/>
              </w:rPr>
              <w:t>No. of RCTs, No. participants</w:t>
            </w:r>
          </w:p>
        </w:tc>
        <w:tc>
          <w:tcPr>
            <w:tcW w:w="787" w:type="pct"/>
          </w:tcPr>
          <w:p w14:paraId="3F073C83" w14:textId="77777777" w:rsidR="002A025C" w:rsidRPr="005D71A4" w:rsidRDefault="002A025C" w:rsidP="00BB06A3">
            <w:pPr>
              <w:pStyle w:val="011TableHeading8pt"/>
              <w:rPr>
                <w:sz w:val="18"/>
                <w:szCs w:val="18"/>
              </w:rPr>
            </w:pPr>
            <w:r w:rsidRPr="005D71A4">
              <w:rPr>
                <w:sz w:val="18"/>
                <w:szCs w:val="18"/>
              </w:rPr>
              <w:t>Quality of evidence</w:t>
            </w:r>
          </w:p>
        </w:tc>
        <w:tc>
          <w:tcPr>
            <w:tcW w:w="1000" w:type="pct"/>
          </w:tcPr>
          <w:p w14:paraId="13A94269" w14:textId="77777777" w:rsidR="002A025C" w:rsidRPr="005D71A4" w:rsidRDefault="002A025C" w:rsidP="00BB06A3">
            <w:pPr>
              <w:pStyle w:val="011TableHeading8pt"/>
              <w:rPr>
                <w:sz w:val="18"/>
                <w:szCs w:val="18"/>
              </w:rPr>
            </w:pPr>
            <w:r w:rsidRPr="005D71A4">
              <w:rPr>
                <w:sz w:val="18"/>
                <w:szCs w:val="18"/>
              </w:rPr>
              <w:t>Statistical significance</w:t>
            </w:r>
          </w:p>
        </w:tc>
        <w:tc>
          <w:tcPr>
            <w:tcW w:w="1000" w:type="pct"/>
          </w:tcPr>
          <w:p w14:paraId="5F65814C" w14:textId="422DE57F" w:rsidR="002A025C" w:rsidRPr="00083412" w:rsidRDefault="002A025C" w:rsidP="00BB06A3">
            <w:pPr>
              <w:pStyle w:val="011TableHeading8pt"/>
              <w:rPr>
                <w:sz w:val="18"/>
                <w:szCs w:val="18"/>
                <w:vertAlign w:val="superscript"/>
              </w:rPr>
            </w:pPr>
            <w:r w:rsidRPr="005D71A4">
              <w:rPr>
                <w:sz w:val="18"/>
                <w:szCs w:val="18"/>
              </w:rPr>
              <w:t>Clinical importance</w:t>
            </w:r>
            <w:r w:rsidR="005B28DD">
              <w:rPr>
                <w:sz w:val="18"/>
                <w:szCs w:val="18"/>
                <w:vertAlign w:val="superscript"/>
              </w:rPr>
              <w:t>3</w:t>
            </w:r>
          </w:p>
        </w:tc>
      </w:tr>
      <w:tr w:rsidR="009E485D" w14:paraId="1404A9D4" w14:textId="77777777" w:rsidTr="00131BFE">
        <w:tc>
          <w:tcPr>
            <w:tcW w:w="1000" w:type="pct"/>
            <w:tcBorders>
              <w:bottom w:val="nil"/>
            </w:tcBorders>
            <w:shd w:val="clear" w:color="auto" w:fill="E7E6E6" w:themeFill="background2"/>
          </w:tcPr>
          <w:p w14:paraId="22FA932A" w14:textId="77777777" w:rsidR="002A025C" w:rsidRPr="005D71A4" w:rsidRDefault="002A025C" w:rsidP="00BB06A3">
            <w:pPr>
              <w:pStyle w:val="051Tabletext228pt"/>
              <w:rPr>
                <w:b/>
                <w:bCs/>
                <w:sz w:val="18"/>
                <w:szCs w:val="18"/>
              </w:rPr>
            </w:pPr>
            <w:r w:rsidRPr="005D71A4">
              <w:rPr>
                <w:b/>
                <w:bCs/>
                <w:sz w:val="18"/>
                <w:szCs w:val="18"/>
              </w:rPr>
              <w:t>Change in continence status</w:t>
            </w:r>
          </w:p>
        </w:tc>
        <w:tc>
          <w:tcPr>
            <w:tcW w:w="1213" w:type="pct"/>
            <w:tcBorders>
              <w:bottom w:val="nil"/>
            </w:tcBorders>
            <w:shd w:val="clear" w:color="auto" w:fill="E7E6E6" w:themeFill="background2"/>
          </w:tcPr>
          <w:p w14:paraId="01EC83C9" w14:textId="77777777" w:rsidR="002A025C" w:rsidRPr="005D71A4" w:rsidRDefault="002A025C" w:rsidP="00BB06A3">
            <w:pPr>
              <w:pStyle w:val="051Tabletext228pt"/>
              <w:rPr>
                <w:sz w:val="18"/>
                <w:szCs w:val="18"/>
                <w:highlight w:val="yellow"/>
              </w:rPr>
            </w:pPr>
          </w:p>
        </w:tc>
        <w:tc>
          <w:tcPr>
            <w:tcW w:w="787" w:type="pct"/>
            <w:tcBorders>
              <w:bottom w:val="nil"/>
            </w:tcBorders>
            <w:shd w:val="clear" w:color="auto" w:fill="E7E6E6" w:themeFill="background2"/>
          </w:tcPr>
          <w:p w14:paraId="69885B1B" w14:textId="77777777" w:rsidR="002A025C" w:rsidRPr="005D71A4" w:rsidRDefault="002A025C" w:rsidP="00BB06A3">
            <w:pPr>
              <w:pStyle w:val="051Tabletext228pt"/>
              <w:rPr>
                <w:sz w:val="18"/>
                <w:szCs w:val="18"/>
                <w:highlight w:val="yellow"/>
              </w:rPr>
            </w:pPr>
          </w:p>
        </w:tc>
        <w:tc>
          <w:tcPr>
            <w:tcW w:w="1000" w:type="pct"/>
            <w:tcBorders>
              <w:bottom w:val="nil"/>
            </w:tcBorders>
            <w:shd w:val="clear" w:color="auto" w:fill="E7E6E6" w:themeFill="background2"/>
          </w:tcPr>
          <w:p w14:paraId="2F1C17A5" w14:textId="77777777" w:rsidR="002A025C" w:rsidRPr="005D71A4" w:rsidRDefault="002A025C" w:rsidP="00BB06A3">
            <w:pPr>
              <w:pStyle w:val="051Tabletext228pt"/>
              <w:rPr>
                <w:sz w:val="18"/>
                <w:szCs w:val="18"/>
                <w:highlight w:val="yellow"/>
              </w:rPr>
            </w:pPr>
          </w:p>
        </w:tc>
        <w:tc>
          <w:tcPr>
            <w:tcW w:w="1000" w:type="pct"/>
            <w:tcBorders>
              <w:bottom w:val="nil"/>
            </w:tcBorders>
            <w:shd w:val="clear" w:color="auto" w:fill="E7E6E6" w:themeFill="background2"/>
          </w:tcPr>
          <w:p w14:paraId="63C3D095" w14:textId="77777777" w:rsidR="002A025C" w:rsidRPr="005D71A4" w:rsidRDefault="002A025C" w:rsidP="00BB06A3">
            <w:pPr>
              <w:pStyle w:val="051Tabletext228pt"/>
              <w:rPr>
                <w:sz w:val="18"/>
                <w:szCs w:val="18"/>
                <w:highlight w:val="yellow"/>
              </w:rPr>
            </w:pPr>
          </w:p>
        </w:tc>
      </w:tr>
      <w:tr w:rsidR="00932F8A" w14:paraId="2A9D1370" w14:textId="77777777" w:rsidTr="00131BFE">
        <w:tc>
          <w:tcPr>
            <w:tcW w:w="1000" w:type="pct"/>
            <w:tcBorders>
              <w:top w:val="nil"/>
              <w:bottom w:val="nil"/>
            </w:tcBorders>
          </w:tcPr>
          <w:p w14:paraId="4853FDF8" w14:textId="77777777" w:rsidR="002A025C" w:rsidRPr="005D71A4" w:rsidRDefault="002A025C" w:rsidP="00BB06A3">
            <w:pPr>
              <w:pStyle w:val="051Tabletext228pt"/>
              <w:rPr>
                <w:sz w:val="18"/>
                <w:szCs w:val="18"/>
              </w:rPr>
            </w:pPr>
            <w:r w:rsidRPr="005D71A4">
              <w:rPr>
                <w:sz w:val="18"/>
                <w:szCs w:val="18"/>
              </w:rPr>
              <w:t>subjective cure</w:t>
            </w:r>
          </w:p>
        </w:tc>
        <w:tc>
          <w:tcPr>
            <w:tcW w:w="1213" w:type="pct"/>
            <w:tcBorders>
              <w:top w:val="nil"/>
              <w:bottom w:val="nil"/>
            </w:tcBorders>
            <w:shd w:val="clear" w:color="auto" w:fill="auto"/>
          </w:tcPr>
          <w:p w14:paraId="5942E3CA" w14:textId="77777777" w:rsidR="002A025C" w:rsidRPr="005D71A4" w:rsidRDefault="002A025C" w:rsidP="00BB06A3">
            <w:pPr>
              <w:pStyle w:val="051Tabletext228pt"/>
              <w:rPr>
                <w:sz w:val="18"/>
                <w:szCs w:val="18"/>
                <w:vertAlign w:val="superscript"/>
              </w:rPr>
            </w:pPr>
            <w:r w:rsidRPr="005D71A4">
              <w:rPr>
                <w:sz w:val="18"/>
                <w:szCs w:val="18"/>
              </w:rPr>
              <w:t>2, N=197 (S)</w:t>
            </w:r>
            <w:r w:rsidRPr="005D71A4">
              <w:rPr>
                <w:sz w:val="18"/>
                <w:szCs w:val="18"/>
                <w:vertAlign w:val="superscript"/>
              </w:rPr>
              <w:t>1</w:t>
            </w:r>
          </w:p>
        </w:tc>
        <w:tc>
          <w:tcPr>
            <w:tcW w:w="787" w:type="pct"/>
            <w:tcBorders>
              <w:top w:val="nil"/>
              <w:bottom w:val="nil"/>
            </w:tcBorders>
            <w:shd w:val="clear" w:color="auto" w:fill="F4B083" w:themeFill="accent2" w:themeFillTint="99"/>
          </w:tcPr>
          <w:p w14:paraId="7629AE45"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F1ECF4"/>
          </w:tcPr>
          <w:p w14:paraId="380F90DE" w14:textId="77777777" w:rsidR="002A025C" w:rsidRPr="005D71A4" w:rsidRDefault="002A025C" w:rsidP="00BB06A3">
            <w:pPr>
              <w:pStyle w:val="051Tabletext228pt"/>
              <w:rPr>
                <w:sz w:val="18"/>
                <w:szCs w:val="18"/>
                <w:vertAlign w:val="superscript"/>
              </w:rPr>
            </w:pPr>
            <w:r w:rsidRPr="005D71A4">
              <w:rPr>
                <w:sz w:val="18"/>
                <w:szCs w:val="18"/>
              </w:rPr>
              <w:t>Borderline favours RP-MUS (S)</w:t>
            </w:r>
            <w:r w:rsidRPr="005D71A4">
              <w:rPr>
                <w:sz w:val="18"/>
                <w:szCs w:val="18"/>
                <w:vertAlign w:val="superscript"/>
              </w:rPr>
              <w:t>1</w:t>
            </w:r>
          </w:p>
        </w:tc>
        <w:tc>
          <w:tcPr>
            <w:tcW w:w="1000" w:type="pct"/>
            <w:tcBorders>
              <w:top w:val="nil"/>
              <w:bottom w:val="nil"/>
            </w:tcBorders>
            <w:shd w:val="clear" w:color="auto" w:fill="E5DDEB"/>
          </w:tcPr>
          <w:p w14:paraId="48355B9B" w14:textId="77777777" w:rsidR="002A025C" w:rsidRPr="005D71A4" w:rsidRDefault="002A025C" w:rsidP="00BB06A3">
            <w:pPr>
              <w:pStyle w:val="051Tabletext228pt"/>
              <w:rPr>
                <w:sz w:val="18"/>
                <w:szCs w:val="18"/>
                <w:vertAlign w:val="superscript"/>
              </w:rPr>
            </w:pPr>
            <w:r w:rsidRPr="005D71A4">
              <w:rPr>
                <w:sz w:val="18"/>
                <w:szCs w:val="18"/>
              </w:rPr>
              <w:t>Favours RP-MUS (S)</w:t>
            </w:r>
            <w:r w:rsidRPr="005D71A4">
              <w:rPr>
                <w:sz w:val="18"/>
                <w:szCs w:val="18"/>
                <w:vertAlign w:val="superscript"/>
              </w:rPr>
              <w:t>1</w:t>
            </w:r>
          </w:p>
        </w:tc>
      </w:tr>
      <w:tr w:rsidR="00F055E8" w14:paraId="1BAD4B0D" w14:textId="77777777" w:rsidTr="00131BFE">
        <w:tc>
          <w:tcPr>
            <w:tcW w:w="1000" w:type="pct"/>
            <w:tcBorders>
              <w:top w:val="nil"/>
              <w:bottom w:val="nil"/>
            </w:tcBorders>
          </w:tcPr>
          <w:p w14:paraId="4D4D5992" w14:textId="77777777" w:rsidR="002A025C" w:rsidRPr="005D71A4" w:rsidRDefault="002A025C" w:rsidP="00BB06A3">
            <w:pPr>
              <w:pStyle w:val="051Tabletext228pt"/>
              <w:rPr>
                <w:sz w:val="18"/>
                <w:szCs w:val="18"/>
              </w:rPr>
            </w:pPr>
          </w:p>
        </w:tc>
        <w:tc>
          <w:tcPr>
            <w:tcW w:w="1213" w:type="pct"/>
            <w:tcBorders>
              <w:top w:val="nil"/>
              <w:bottom w:val="nil"/>
            </w:tcBorders>
            <w:shd w:val="clear" w:color="auto" w:fill="auto"/>
          </w:tcPr>
          <w:p w14:paraId="2B7218F2" w14:textId="77777777" w:rsidR="002A025C" w:rsidRPr="005D71A4" w:rsidRDefault="002A025C" w:rsidP="00BB06A3">
            <w:pPr>
              <w:pStyle w:val="051Tabletext228pt"/>
              <w:rPr>
                <w:sz w:val="18"/>
                <w:szCs w:val="18"/>
              </w:rPr>
            </w:pPr>
            <w:r w:rsidRPr="005D71A4">
              <w:rPr>
                <w:sz w:val="18"/>
                <w:szCs w:val="18"/>
              </w:rPr>
              <w:t>1, N=41 (M)</w:t>
            </w:r>
          </w:p>
        </w:tc>
        <w:tc>
          <w:tcPr>
            <w:tcW w:w="787" w:type="pct"/>
            <w:tcBorders>
              <w:top w:val="nil"/>
              <w:bottom w:val="nil"/>
            </w:tcBorders>
            <w:shd w:val="clear" w:color="auto" w:fill="F4B083" w:themeFill="accent2" w:themeFillTint="99"/>
          </w:tcPr>
          <w:p w14:paraId="5333CCC3"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nil"/>
            </w:tcBorders>
          </w:tcPr>
          <w:p w14:paraId="05432E4F" w14:textId="77777777" w:rsidR="002A025C" w:rsidRPr="005D71A4" w:rsidRDefault="002A025C" w:rsidP="00BB06A3">
            <w:pPr>
              <w:pStyle w:val="051Tabletext228pt"/>
              <w:rPr>
                <w:sz w:val="18"/>
                <w:szCs w:val="18"/>
              </w:rPr>
            </w:pPr>
            <w:r w:rsidRPr="005D71A4">
              <w:rPr>
                <w:sz w:val="18"/>
                <w:szCs w:val="18"/>
              </w:rPr>
              <w:t>No difference (M)</w:t>
            </w:r>
          </w:p>
        </w:tc>
        <w:tc>
          <w:tcPr>
            <w:tcW w:w="1000" w:type="pct"/>
            <w:tcBorders>
              <w:top w:val="nil"/>
              <w:bottom w:val="nil"/>
            </w:tcBorders>
          </w:tcPr>
          <w:p w14:paraId="7D543B87" w14:textId="77777777" w:rsidR="002A025C" w:rsidRPr="005D71A4" w:rsidRDefault="002A025C" w:rsidP="00BB06A3">
            <w:pPr>
              <w:pStyle w:val="051Tabletext228pt"/>
              <w:rPr>
                <w:sz w:val="18"/>
                <w:szCs w:val="18"/>
              </w:rPr>
            </w:pPr>
            <w:r w:rsidRPr="005D71A4">
              <w:rPr>
                <w:sz w:val="18"/>
                <w:szCs w:val="18"/>
              </w:rPr>
              <w:t>No difference (M)</w:t>
            </w:r>
          </w:p>
        </w:tc>
      </w:tr>
      <w:tr w:rsidR="00F055E8" w14:paraId="63225964" w14:textId="77777777" w:rsidTr="00131BFE">
        <w:tc>
          <w:tcPr>
            <w:tcW w:w="1000" w:type="pct"/>
            <w:tcBorders>
              <w:top w:val="nil"/>
              <w:bottom w:val="nil"/>
            </w:tcBorders>
          </w:tcPr>
          <w:p w14:paraId="7DE183FB" w14:textId="77777777" w:rsidR="002A025C" w:rsidRPr="005D71A4" w:rsidRDefault="002A025C" w:rsidP="00BB06A3">
            <w:pPr>
              <w:pStyle w:val="051Tabletext228pt"/>
              <w:rPr>
                <w:sz w:val="18"/>
                <w:szCs w:val="18"/>
              </w:rPr>
            </w:pPr>
          </w:p>
        </w:tc>
        <w:tc>
          <w:tcPr>
            <w:tcW w:w="1213" w:type="pct"/>
            <w:tcBorders>
              <w:top w:val="nil"/>
              <w:bottom w:val="nil"/>
            </w:tcBorders>
            <w:shd w:val="clear" w:color="auto" w:fill="auto"/>
          </w:tcPr>
          <w:p w14:paraId="4F9137E8" w14:textId="77777777" w:rsidR="002A025C" w:rsidRPr="005D71A4" w:rsidRDefault="002A025C" w:rsidP="00BB06A3">
            <w:pPr>
              <w:pStyle w:val="051Tabletext228pt"/>
              <w:rPr>
                <w:sz w:val="18"/>
                <w:szCs w:val="18"/>
              </w:rPr>
            </w:pPr>
            <w:r w:rsidRPr="005D71A4">
              <w:rPr>
                <w:sz w:val="18"/>
                <w:szCs w:val="18"/>
              </w:rPr>
              <w:t>1, N=156 (L)</w:t>
            </w:r>
          </w:p>
        </w:tc>
        <w:tc>
          <w:tcPr>
            <w:tcW w:w="787" w:type="pct"/>
            <w:tcBorders>
              <w:top w:val="nil"/>
              <w:bottom w:val="nil"/>
            </w:tcBorders>
            <w:shd w:val="clear" w:color="auto" w:fill="F4B083" w:themeFill="accent2" w:themeFillTint="99"/>
          </w:tcPr>
          <w:p w14:paraId="111AA5B6"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nil"/>
            </w:tcBorders>
          </w:tcPr>
          <w:p w14:paraId="4653F635" w14:textId="77777777" w:rsidR="002A025C" w:rsidRPr="005D71A4" w:rsidRDefault="002A025C" w:rsidP="00BB06A3">
            <w:pPr>
              <w:pStyle w:val="051Tabletext228pt"/>
              <w:rPr>
                <w:sz w:val="18"/>
                <w:szCs w:val="18"/>
              </w:rPr>
            </w:pPr>
            <w:r w:rsidRPr="005D71A4">
              <w:rPr>
                <w:sz w:val="18"/>
                <w:szCs w:val="18"/>
              </w:rPr>
              <w:t>No difference (L)</w:t>
            </w:r>
          </w:p>
        </w:tc>
        <w:tc>
          <w:tcPr>
            <w:tcW w:w="1000" w:type="pct"/>
            <w:tcBorders>
              <w:top w:val="nil"/>
              <w:bottom w:val="nil"/>
            </w:tcBorders>
          </w:tcPr>
          <w:p w14:paraId="1E1926D9" w14:textId="77777777" w:rsidR="002A025C" w:rsidRPr="005D71A4" w:rsidRDefault="002A025C" w:rsidP="00BB06A3">
            <w:pPr>
              <w:pStyle w:val="051Tabletext228pt"/>
              <w:rPr>
                <w:sz w:val="18"/>
                <w:szCs w:val="18"/>
              </w:rPr>
            </w:pPr>
            <w:r w:rsidRPr="005D71A4">
              <w:rPr>
                <w:sz w:val="18"/>
                <w:szCs w:val="18"/>
              </w:rPr>
              <w:t>No difference (L)</w:t>
            </w:r>
          </w:p>
        </w:tc>
      </w:tr>
      <w:tr w:rsidR="003137DF" w14:paraId="71864668" w14:textId="77777777" w:rsidTr="00131BFE">
        <w:tc>
          <w:tcPr>
            <w:tcW w:w="1000" w:type="pct"/>
            <w:tcBorders>
              <w:top w:val="nil"/>
              <w:bottom w:val="nil"/>
            </w:tcBorders>
          </w:tcPr>
          <w:p w14:paraId="3F941FFF" w14:textId="77777777" w:rsidR="002A025C" w:rsidRPr="005D71A4" w:rsidRDefault="002A025C" w:rsidP="00BB06A3">
            <w:pPr>
              <w:pStyle w:val="051Tabletext228pt"/>
              <w:rPr>
                <w:sz w:val="18"/>
                <w:szCs w:val="18"/>
                <w:highlight w:val="yellow"/>
              </w:rPr>
            </w:pPr>
            <w:r w:rsidRPr="005D71A4">
              <w:rPr>
                <w:sz w:val="18"/>
                <w:szCs w:val="18"/>
              </w:rPr>
              <w:t>objective cure</w:t>
            </w:r>
          </w:p>
        </w:tc>
        <w:tc>
          <w:tcPr>
            <w:tcW w:w="1213" w:type="pct"/>
            <w:tcBorders>
              <w:top w:val="nil"/>
              <w:bottom w:val="nil"/>
            </w:tcBorders>
            <w:shd w:val="clear" w:color="auto" w:fill="auto"/>
          </w:tcPr>
          <w:p w14:paraId="309C62FD" w14:textId="77777777" w:rsidR="002A025C" w:rsidRPr="005D71A4" w:rsidRDefault="002A025C" w:rsidP="00BB06A3">
            <w:pPr>
              <w:pStyle w:val="051Tabletext228pt"/>
              <w:rPr>
                <w:sz w:val="18"/>
                <w:szCs w:val="18"/>
              </w:rPr>
            </w:pPr>
            <w:r w:rsidRPr="005D71A4">
              <w:rPr>
                <w:sz w:val="18"/>
                <w:szCs w:val="18"/>
              </w:rPr>
              <w:t>3, N=192 (S)</w:t>
            </w:r>
          </w:p>
        </w:tc>
        <w:tc>
          <w:tcPr>
            <w:tcW w:w="787" w:type="pct"/>
            <w:tcBorders>
              <w:top w:val="nil"/>
              <w:bottom w:val="nil"/>
            </w:tcBorders>
          </w:tcPr>
          <w:p w14:paraId="7A8E4638"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3F28C908" w14:textId="77777777" w:rsidR="002A025C" w:rsidRPr="005D71A4" w:rsidRDefault="002A025C" w:rsidP="00BB06A3">
            <w:pPr>
              <w:pStyle w:val="051Tabletext228pt"/>
              <w:rPr>
                <w:sz w:val="18"/>
                <w:szCs w:val="18"/>
              </w:rPr>
            </w:pPr>
            <w:r w:rsidRPr="005D71A4">
              <w:rPr>
                <w:sz w:val="18"/>
                <w:szCs w:val="18"/>
              </w:rPr>
              <w:t>No difference (S)</w:t>
            </w:r>
          </w:p>
        </w:tc>
        <w:tc>
          <w:tcPr>
            <w:tcW w:w="1000" w:type="pct"/>
            <w:tcBorders>
              <w:top w:val="nil"/>
              <w:bottom w:val="nil"/>
            </w:tcBorders>
          </w:tcPr>
          <w:p w14:paraId="1AB506F5"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F055E8" w14:paraId="1437D9AA" w14:textId="77777777" w:rsidTr="00862172">
        <w:tc>
          <w:tcPr>
            <w:tcW w:w="1000" w:type="pct"/>
            <w:tcBorders>
              <w:top w:val="nil"/>
              <w:bottom w:val="single" w:sz="4" w:space="0" w:color="auto"/>
            </w:tcBorders>
          </w:tcPr>
          <w:p w14:paraId="6CFEEE95" w14:textId="77777777" w:rsidR="002A025C" w:rsidRPr="005D71A4" w:rsidRDefault="002A025C" w:rsidP="00BB06A3">
            <w:pPr>
              <w:pStyle w:val="051Tabletext228pt"/>
              <w:rPr>
                <w:sz w:val="18"/>
                <w:szCs w:val="18"/>
              </w:rPr>
            </w:pPr>
          </w:p>
        </w:tc>
        <w:tc>
          <w:tcPr>
            <w:tcW w:w="1213" w:type="pct"/>
            <w:tcBorders>
              <w:top w:val="nil"/>
              <w:bottom w:val="single" w:sz="4" w:space="0" w:color="auto"/>
            </w:tcBorders>
            <w:shd w:val="clear" w:color="auto" w:fill="auto"/>
          </w:tcPr>
          <w:p w14:paraId="0B13AF23" w14:textId="77777777" w:rsidR="002A025C" w:rsidRPr="005D71A4" w:rsidRDefault="002A025C" w:rsidP="00BB06A3">
            <w:pPr>
              <w:pStyle w:val="051Tabletext228pt"/>
              <w:rPr>
                <w:sz w:val="18"/>
                <w:szCs w:val="18"/>
              </w:rPr>
            </w:pPr>
            <w:r w:rsidRPr="005D71A4">
              <w:rPr>
                <w:sz w:val="18"/>
                <w:szCs w:val="18"/>
              </w:rPr>
              <w:t>3, N=187 (M)</w:t>
            </w:r>
          </w:p>
        </w:tc>
        <w:tc>
          <w:tcPr>
            <w:tcW w:w="787" w:type="pct"/>
            <w:tcBorders>
              <w:top w:val="nil"/>
              <w:bottom w:val="single" w:sz="4" w:space="0" w:color="auto"/>
            </w:tcBorders>
            <w:shd w:val="clear" w:color="auto" w:fill="F4B083" w:themeFill="accent2" w:themeFillTint="99"/>
          </w:tcPr>
          <w:p w14:paraId="0D327F80"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6552044D" w14:textId="77777777" w:rsidR="002A025C" w:rsidRPr="005D71A4" w:rsidRDefault="002A025C" w:rsidP="00BB06A3">
            <w:pPr>
              <w:pStyle w:val="051Tabletext228pt"/>
              <w:rPr>
                <w:sz w:val="18"/>
                <w:szCs w:val="18"/>
              </w:rPr>
            </w:pPr>
            <w:r w:rsidRPr="005D71A4">
              <w:rPr>
                <w:sz w:val="18"/>
                <w:szCs w:val="18"/>
              </w:rPr>
              <w:t>No difference (M)</w:t>
            </w:r>
          </w:p>
        </w:tc>
        <w:tc>
          <w:tcPr>
            <w:tcW w:w="1000" w:type="pct"/>
            <w:tcBorders>
              <w:top w:val="nil"/>
              <w:bottom w:val="single" w:sz="4" w:space="0" w:color="auto"/>
            </w:tcBorders>
          </w:tcPr>
          <w:p w14:paraId="167BDDA9" w14:textId="77777777" w:rsidR="002A025C" w:rsidRPr="005D71A4" w:rsidRDefault="002A025C" w:rsidP="00BB06A3">
            <w:pPr>
              <w:pStyle w:val="051Tabletext228pt"/>
              <w:rPr>
                <w:sz w:val="18"/>
                <w:szCs w:val="18"/>
              </w:rPr>
            </w:pPr>
            <w:r w:rsidRPr="005D71A4">
              <w:rPr>
                <w:sz w:val="18"/>
                <w:szCs w:val="18"/>
              </w:rPr>
              <w:t>No difference (M)</w:t>
            </w:r>
          </w:p>
        </w:tc>
      </w:tr>
      <w:tr w:rsidR="00F07569" w14:paraId="5CFCBCA0" w14:textId="77777777" w:rsidTr="00AA3D9A">
        <w:tc>
          <w:tcPr>
            <w:tcW w:w="1000" w:type="pct"/>
            <w:tcBorders>
              <w:top w:val="single" w:sz="4" w:space="0" w:color="auto"/>
              <w:bottom w:val="nil"/>
            </w:tcBorders>
            <w:shd w:val="clear" w:color="auto" w:fill="D9D9D9" w:themeFill="background1" w:themeFillShade="D9"/>
          </w:tcPr>
          <w:p w14:paraId="20334A15" w14:textId="77777777" w:rsidR="00F07569" w:rsidRPr="005D71A4" w:rsidRDefault="00F07569" w:rsidP="00BB06A3">
            <w:pPr>
              <w:pStyle w:val="051Tabletext228pt"/>
              <w:rPr>
                <w:b/>
                <w:bCs/>
                <w:sz w:val="18"/>
                <w:szCs w:val="18"/>
              </w:rPr>
            </w:pPr>
            <w:r w:rsidRPr="005D71A4">
              <w:rPr>
                <w:b/>
                <w:bCs/>
                <w:sz w:val="18"/>
                <w:szCs w:val="18"/>
              </w:rPr>
              <w:t>Patient-reported outcomes</w:t>
            </w:r>
          </w:p>
        </w:tc>
        <w:tc>
          <w:tcPr>
            <w:tcW w:w="1213" w:type="pct"/>
            <w:tcBorders>
              <w:top w:val="single" w:sz="4" w:space="0" w:color="auto"/>
              <w:bottom w:val="nil"/>
            </w:tcBorders>
            <w:shd w:val="clear" w:color="auto" w:fill="D9D9D9" w:themeFill="background1" w:themeFillShade="D9"/>
          </w:tcPr>
          <w:p w14:paraId="6AADC777" w14:textId="77777777" w:rsidR="00F07569" w:rsidRPr="005D71A4" w:rsidRDefault="00F07569" w:rsidP="00BB06A3">
            <w:pPr>
              <w:pStyle w:val="051Tabletext228pt"/>
              <w:rPr>
                <w:sz w:val="18"/>
                <w:szCs w:val="18"/>
              </w:rPr>
            </w:pPr>
          </w:p>
        </w:tc>
        <w:tc>
          <w:tcPr>
            <w:tcW w:w="787" w:type="pct"/>
            <w:tcBorders>
              <w:top w:val="single" w:sz="4" w:space="0" w:color="auto"/>
              <w:bottom w:val="nil"/>
            </w:tcBorders>
            <w:shd w:val="clear" w:color="auto" w:fill="D9D9D9" w:themeFill="background1" w:themeFillShade="D9"/>
          </w:tcPr>
          <w:p w14:paraId="27CA1725" w14:textId="77777777" w:rsidR="00F07569" w:rsidRPr="005D71A4" w:rsidRDefault="00F07569" w:rsidP="00BB06A3">
            <w:pPr>
              <w:pStyle w:val="051Tabletext228pt"/>
              <w:rPr>
                <w:sz w:val="18"/>
                <w:szCs w:val="18"/>
              </w:rPr>
            </w:pPr>
          </w:p>
        </w:tc>
        <w:tc>
          <w:tcPr>
            <w:tcW w:w="1000" w:type="pct"/>
            <w:tcBorders>
              <w:top w:val="single" w:sz="4" w:space="0" w:color="auto"/>
              <w:bottom w:val="nil"/>
            </w:tcBorders>
            <w:shd w:val="clear" w:color="auto" w:fill="D9D9D9" w:themeFill="background1" w:themeFillShade="D9"/>
          </w:tcPr>
          <w:p w14:paraId="0EE6A409" w14:textId="77777777" w:rsidR="00F07569" w:rsidRPr="005D71A4" w:rsidRDefault="00F07569" w:rsidP="00BB06A3">
            <w:pPr>
              <w:pStyle w:val="051Tabletext228pt"/>
              <w:rPr>
                <w:sz w:val="18"/>
                <w:szCs w:val="18"/>
              </w:rPr>
            </w:pPr>
          </w:p>
        </w:tc>
        <w:tc>
          <w:tcPr>
            <w:tcW w:w="1000" w:type="pct"/>
            <w:tcBorders>
              <w:top w:val="single" w:sz="4" w:space="0" w:color="auto"/>
              <w:bottom w:val="nil"/>
            </w:tcBorders>
            <w:shd w:val="clear" w:color="auto" w:fill="D9D9D9" w:themeFill="background1" w:themeFillShade="D9"/>
          </w:tcPr>
          <w:p w14:paraId="412FAC96" w14:textId="77777777" w:rsidR="00F07569" w:rsidRPr="005D71A4" w:rsidRDefault="00F07569" w:rsidP="00BB06A3">
            <w:pPr>
              <w:pStyle w:val="051Tabletext228pt"/>
              <w:rPr>
                <w:sz w:val="18"/>
                <w:szCs w:val="18"/>
              </w:rPr>
            </w:pPr>
          </w:p>
        </w:tc>
      </w:tr>
      <w:tr w:rsidR="00F07569" w14:paraId="2FA007ED" w14:textId="77777777" w:rsidTr="00AA3D9A">
        <w:tc>
          <w:tcPr>
            <w:tcW w:w="1000" w:type="pct"/>
            <w:tcBorders>
              <w:top w:val="nil"/>
              <w:bottom w:val="nil"/>
            </w:tcBorders>
          </w:tcPr>
          <w:p w14:paraId="66DD2090" w14:textId="39E16EBC" w:rsidR="00F07569" w:rsidRPr="005D71A4" w:rsidRDefault="00F07569" w:rsidP="00BB06A3">
            <w:pPr>
              <w:pStyle w:val="051Tabletext228pt"/>
              <w:rPr>
                <w:sz w:val="18"/>
                <w:szCs w:val="18"/>
              </w:rPr>
            </w:pPr>
            <w:r w:rsidRPr="005D71A4">
              <w:rPr>
                <w:sz w:val="18"/>
                <w:szCs w:val="18"/>
              </w:rPr>
              <w:t>patient-satisfaction/patient-reported improvement</w:t>
            </w:r>
          </w:p>
        </w:tc>
        <w:tc>
          <w:tcPr>
            <w:tcW w:w="1213" w:type="pct"/>
            <w:tcBorders>
              <w:top w:val="nil"/>
              <w:bottom w:val="nil"/>
            </w:tcBorders>
            <w:shd w:val="clear" w:color="auto" w:fill="auto"/>
          </w:tcPr>
          <w:p w14:paraId="4C37175E" w14:textId="77777777" w:rsidR="00F07569" w:rsidRPr="005D71A4" w:rsidRDefault="00F07569" w:rsidP="00BB06A3">
            <w:pPr>
              <w:pStyle w:val="051Tabletext228pt"/>
              <w:rPr>
                <w:sz w:val="18"/>
                <w:szCs w:val="18"/>
              </w:rPr>
            </w:pPr>
            <w:r w:rsidRPr="005D71A4">
              <w:rPr>
                <w:sz w:val="18"/>
                <w:szCs w:val="18"/>
              </w:rPr>
              <w:t>2, N=65 (M)</w:t>
            </w:r>
          </w:p>
        </w:tc>
        <w:tc>
          <w:tcPr>
            <w:tcW w:w="787" w:type="pct"/>
            <w:tcBorders>
              <w:top w:val="nil"/>
              <w:bottom w:val="nil"/>
            </w:tcBorders>
            <w:shd w:val="clear" w:color="auto" w:fill="auto"/>
          </w:tcPr>
          <w:p w14:paraId="78884FEE" w14:textId="77777777" w:rsidR="00F07569" w:rsidRPr="005D71A4" w:rsidRDefault="00F07569"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206F550C" w14:textId="77777777" w:rsidR="00F07569" w:rsidRPr="005D71A4" w:rsidRDefault="00F07569" w:rsidP="00BB06A3">
            <w:pPr>
              <w:pStyle w:val="051Tabletext228pt"/>
              <w:rPr>
                <w:sz w:val="18"/>
                <w:szCs w:val="18"/>
              </w:rPr>
            </w:pPr>
            <w:r w:rsidRPr="005D71A4">
              <w:rPr>
                <w:sz w:val="18"/>
                <w:szCs w:val="18"/>
              </w:rPr>
              <w:t>No difference (M)</w:t>
            </w:r>
          </w:p>
        </w:tc>
        <w:tc>
          <w:tcPr>
            <w:tcW w:w="1000" w:type="pct"/>
            <w:tcBorders>
              <w:top w:val="nil"/>
              <w:bottom w:val="nil"/>
            </w:tcBorders>
          </w:tcPr>
          <w:p w14:paraId="6A1E834D" w14:textId="77777777" w:rsidR="00F07569" w:rsidRPr="005D71A4" w:rsidRDefault="00F07569"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47463C" w14:paraId="6DA2288D" w14:textId="77777777" w:rsidTr="00DE5FB2">
        <w:tc>
          <w:tcPr>
            <w:tcW w:w="1000" w:type="pct"/>
            <w:tcBorders>
              <w:bottom w:val="nil"/>
            </w:tcBorders>
            <w:shd w:val="clear" w:color="auto" w:fill="E7E6E6" w:themeFill="background2"/>
          </w:tcPr>
          <w:p w14:paraId="20B22CDC" w14:textId="1E4EFB2E" w:rsidR="0047463C" w:rsidRPr="005D71A4" w:rsidRDefault="00711C76" w:rsidP="00BB06A3">
            <w:pPr>
              <w:pStyle w:val="051Tabletext228pt"/>
              <w:rPr>
                <w:b/>
                <w:bCs/>
                <w:sz w:val="18"/>
                <w:szCs w:val="18"/>
              </w:rPr>
            </w:pPr>
            <w:r w:rsidRPr="005D71A4">
              <w:rPr>
                <w:b/>
                <w:bCs/>
                <w:sz w:val="18"/>
                <w:szCs w:val="18"/>
              </w:rPr>
              <w:t>Adverse events</w:t>
            </w:r>
          </w:p>
        </w:tc>
        <w:tc>
          <w:tcPr>
            <w:tcW w:w="1213" w:type="pct"/>
            <w:tcBorders>
              <w:bottom w:val="nil"/>
            </w:tcBorders>
            <w:shd w:val="clear" w:color="auto" w:fill="E7E6E6" w:themeFill="background2"/>
          </w:tcPr>
          <w:p w14:paraId="6E6FB628" w14:textId="77777777" w:rsidR="0047463C" w:rsidRPr="005D71A4" w:rsidRDefault="0047463C" w:rsidP="00BB06A3">
            <w:pPr>
              <w:pStyle w:val="051Tabletext228pt"/>
              <w:rPr>
                <w:color w:val="D9D9D9" w:themeColor="background1" w:themeShade="D9"/>
                <w:sz w:val="18"/>
                <w:szCs w:val="18"/>
              </w:rPr>
            </w:pPr>
          </w:p>
        </w:tc>
        <w:tc>
          <w:tcPr>
            <w:tcW w:w="787" w:type="pct"/>
            <w:tcBorders>
              <w:bottom w:val="nil"/>
            </w:tcBorders>
            <w:shd w:val="clear" w:color="auto" w:fill="E7E6E6" w:themeFill="background2"/>
          </w:tcPr>
          <w:p w14:paraId="4EAC0C40" w14:textId="77777777" w:rsidR="0047463C" w:rsidRPr="005D71A4" w:rsidRDefault="0047463C" w:rsidP="00BB06A3">
            <w:pPr>
              <w:pStyle w:val="051Tabletext228pt"/>
              <w:rPr>
                <w:color w:val="D9D9D9" w:themeColor="background1" w:themeShade="D9"/>
                <w:sz w:val="18"/>
                <w:szCs w:val="18"/>
              </w:rPr>
            </w:pPr>
          </w:p>
        </w:tc>
        <w:tc>
          <w:tcPr>
            <w:tcW w:w="1000" w:type="pct"/>
            <w:tcBorders>
              <w:bottom w:val="nil"/>
            </w:tcBorders>
            <w:shd w:val="clear" w:color="auto" w:fill="E7E6E6" w:themeFill="background2"/>
          </w:tcPr>
          <w:p w14:paraId="395EC67F" w14:textId="77777777" w:rsidR="0047463C" w:rsidRPr="005D71A4" w:rsidRDefault="0047463C" w:rsidP="00BB06A3">
            <w:pPr>
              <w:pStyle w:val="051Tabletext228pt"/>
              <w:rPr>
                <w:color w:val="D9D9D9" w:themeColor="background1" w:themeShade="D9"/>
                <w:sz w:val="18"/>
                <w:szCs w:val="18"/>
              </w:rPr>
            </w:pPr>
          </w:p>
        </w:tc>
        <w:tc>
          <w:tcPr>
            <w:tcW w:w="1000" w:type="pct"/>
            <w:tcBorders>
              <w:bottom w:val="nil"/>
            </w:tcBorders>
            <w:shd w:val="clear" w:color="auto" w:fill="E7E6E6" w:themeFill="background2"/>
          </w:tcPr>
          <w:p w14:paraId="03F1C869" w14:textId="77777777" w:rsidR="0047463C" w:rsidRPr="005D71A4" w:rsidRDefault="0047463C" w:rsidP="00BB06A3">
            <w:pPr>
              <w:pStyle w:val="051Tabletext228pt"/>
              <w:rPr>
                <w:color w:val="D9D9D9" w:themeColor="background1" w:themeShade="D9"/>
                <w:sz w:val="18"/>
                <w:szCs w:val="18"/>
              </w:rPr>
            </w:pPr>
          </w:p>
        </w:tc>
      </w:tr>
      <w:tr w:rsidR="00F055E8" w14:paraId="352A8456" w14:textId="77777777" w:rsidTr="00862172">
        <w:tc>
          <w:tcPr>
            <w:tcW w:w="1000" w:type="pct"/>
            <w:tcBorders>
              <w:top w:val="nil"/>
              <w:bottom w:val="nil"/>
            </w:tcBorders>
          </w:tcPr>
          <w:p w14:paraId="1909D2A9" w14:textId="1861EAAE" w:rsidR="002A025C" w:rsidRPr="005D71A4" w:rsidRDefault="008C75D0" w:rsidP="00BB06A3">
            <w:pPr>
              <w:pStyle w:val="051Tabletext228pt"/>
              <w:rPr>
                <w:b/>
                <w:bCs/>
                <w:sz w:val="18"/>
                <w:szCs w:val="18"/>
                <w:highlight w:val="yellow"/>
              </w:rPr>
            </w:pPr>
            <w:r w:rsidRPr="005D71A4">
              <w:rPr>
                <w:sz w:val="18"/>
                <w:szCs w:val="18"/>
              </w:rPr>
              <w:t>a</w:t>
            </w:r>
            <w:r w:rsidR="00711C76" w:rsidRPr="005D71A4">
              <w:rPr>
                <w:sz w:val="18"/>
                <w:szCs w:val="18"/>
              </w:rPr>
              <w:t>ny</w:t>
            </w:r>
          </w:p>
        </w:tc>
        <w:tc>
          <w:tcPr>
            <w:tcW w:w="1213" w:type="pct"/>
            <w:tcBorders>
              <w:top w:val="nil"/>
              <w:bottom w:val="nil"/>
            </w:tcBorders>
            <w:shd w:val="clear" w:color="auto" w:fill="auto"/>
          </w:tcPr>
          <w:p w14:paraId="28E3627B" w14:textId="77777777" w:rsidR="002A025C" w:rsidRPr="005D71A4" w:rsidRDefault="002A025C" w:rsidP="00BB06A3">
            <w:pPr>
              <w:pStyle w:val="051Tabletext228pt"/>
              <w:rPr>
                <w:sz w:val="18"/>
                <w:szCs w:val="18"/>
              </w:rPr>
            </w:pPr>
            <w:r w:rsidRPr="005D71A4">
              <w:rPr>
                <w:sz w:val="18"/>
                <w:szCs w:val="18"/>
              </w:rPr>
              <w:t>3, N=192 (S)</w:t>
            </w:r>
          </w:p>
        </w:tc>
        <w:tc>
          <w:tcPr>
            <w:tcW w:w="787" w:type="pct"/>
            <w:tcBorders>
              <w:top w:val="nil"/>
              <w:bottom w:val="nil"/>
            </w:tcBorders>
            <w:shd w:val="clear" w:color="auto" w:fill="auto"/>
          </w:tcPr>
          <w:p w14:paraId="3645CE4B"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2F07E345" w14:textId="77777777" w:rsidR="002A025C" w:rsidRPr="005D71A4" w:rsidRDefault="002A025C" w:rsidP="00BB06A3">
            <w:pPr>
              <w:pStyle w:val="051Tabletext228pt"/>
              <w:rPr>
                <w:sz w:val="18"/>
                <w:szCs w:val="18"/>
              </w:rPr>
            </w:pPr>
            <w:r w:rsidRPr="005D71A4">
              <w:rPr>
                <w:sz w:val="18"/>
                <w:szCs w:val="18"/>
              </w:rPr>
              <w:t>No difference (S)</w:t>
            </w:r>
          </w:p>
        </w:tc>
        <w:tc>
          <w:tcPr>
            <w:tcW w:w="1000" w:type="pct"/>
            <w:tcBorders>
              <w:top w:val="nil"/>
              <w:bottom w:val="nil"/>
            </w:tcBorders>
          </w:tcPr>
          <w:p w14:paraId="5CA6A79B"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F055E8" w14:paraId="4DE948D5" w14:textId="77777777" w:rsidTr="00131BFE">
        <w:tc>
          <w:tcPr>
            <w:tcW w:w="1000" w:type="pct"/>
            <w:tcBorders>
              <w:top w:val="nil"/>
              <w:bottom w:val="single" w:sz="4" w:space="0" w:color="auto"/>
            </w:tcBorders>
          </w:tcPr>
          <w:p w14:paraId="33A30278" w14:textId="2CDC96D1" w:rsidR="002A025C" w:rsidRPr="005D71A4" w:rsidRDefault="002A025C" w:rsidP="00BB06A3">
            <w:pPr>
              <w:pStyle w:val="051Tabletext228pt"/>
              <w:rPr>
                <w:sz w:val="18"/>
                <w:szCs w:val="18"/>
                <w:highlight w:val="yellow"/>
              </w:rPr>
            </w:pPr>
          </w:p>
        </w:tc>
        <w:tc>
          <w:tcPr>
            <w:tcW w:w="1213" w:type="pct"/>
            <w:tcBorders>
              <w:top w:val="nil"/>
              <w:bottom w:val="single" w:sz="4" w:space="0" w:color="auto"/>
            </w:tcBorders>
            <w:shd w:val="clear" w:color="auto" w:fill="auto"/>
          </w:tcPr>
          <w:p w14:paraId="0FA28253" w14:textId="77777777" w:rsidR="002A025C" w:rsidRPr="005D71A4" w:rsidRDefault="002A025C" w:rsidP="00BB06A3">
            <w:pPr>
              <w:pStyle w:val="051Tabletext228pt"/>
              <w:rPr>
                <w:sz w:val="18"/>
                <w:szCs w:val="18"/>
              </w:rPr>
            </w:pPr>
            <w:r w:rsidRPr="005D71A4">
              <w:rPr>
                <w:sz w:val="18"/>
                <w:szCs w:val="18"/>
              </w:rPr>
              <w:t>3, N=187 (M)</w:t>
            </w:r>
          </w:p>
        </w:tc>
        <w:tc>
          <w:tcPr>
            <w:tcW w:w="787" w:type="pct"/>
            <w:tcBorders>
              <w:top w:val="nil"/>
              <w:bottom w:val="single" w:sz="4" w:space="0" w:color="auto"/>
            </w:tcBorders>
            <w:shd w:val="clear" w:color="auto" w:fill="auto"/>
          </w:tcPr>
          <w:p w14:paraId="686E6921" w14:textId="77777777" w:rsidR="002A025C" w:rsidRPr="005D71A4" w:rsidRDefault="002A025C" w:rsidP="00BB06A3">
            <w:pPr>
              <w:pStyle w:val="051Tabletext228pt"/>
              <w:rPr>
                <w:sz w:val="18"/>
                <w:szCs w:val="18"/>
                <w:vertAlign w:val="superscript"/>
              </w:rPr>
            </w:pPr>
            <w:r w:rsidRPr="005D71A4">
              <w:rPr>
                <w:sz w:val="18"/>
                <w:szCs w:val="18"/>
              </w:rPr>
              <w:t>NR</w:t>
            </w:r>
          </w:p>
        </w:tc>
        <w:tc>
          <w:tcPr>
            <w:tcW w:w="1000" w:type="pct"/>
            <w:tcBorders>
              <w:top w:val="nil"/>
              <w:bottom w:val="single" w:sz="4" w:space="0" w:color="auto"/>
            </w:tcBorders>
          </w:tcPr>
          <w:p w14:paraId="6EC3F74E" w14:textId="77777777" w:rsidR="002A025C" w:rsidRPr="005D71A4" w:rsidRDefault="002A025C" w:rsidP="00BB06A3">
            <w:pPr>
              <w:pStyle w:val="051Tabletext228pt"/>
              <w:rPr>
                <w:sz w:val="18"/>
                <w:szCs w:val="18"/>
              </w:rPr>
            </w:pPr>
            <w:r w:rsidRPr="005D71A4">
              <w:rPr>
                <w:sz w:val="18"/>
                <w:szCs w:val="18"/>
              </w:rPr>
              <w:t>No difference (M)</w:t>
            </w:r>
          </w:p>
        </w:tc>
        <w:tc>
          <w:tcPr>
            <w:tcW w:w="1000" w:type="pct"/>
            <w:tcBorders>
              <w:top w:val="nil"/>
              <w:bottom w:val="single" w:sz="4" w:space="0" w:color="auto"/>
            </w:tcBorders>
          </w:tcPr>
          <w:p w14:paraId="6EF36B76" w14:textId="77777777" w:rsidR="002A025C" w:rsidRPr="005D71A4" w:rsidRDefault="002A025C" w:rsidP="00BB06A3">
            <w:pPr>
              <w:pStyle w:val="051Tabletext228pt"/>
              <w:rPr>
                <w:sz w:val="18"/>
                <w:szCs w:val="18"/>
                <w:vertAlign w:val="superscript"/>
              </w:rPr>
            </w:pPr>
            <w:r w:rsidRPr="005D71A4">
              <w:rPr>
                <w:sz w:val="18"/>
                <w:szCs w:val="18"/>
              </w:rPr>
              <w:t>NR</w:t>
            </w:r>
          </w:p>
        </w:tc>
      </w:tr>
      <w:tr w:rsidR="009E485D" w14:paraId="391667B8" w14:textId="77777777" w:rsidTr="00131BFE">
        <w:tc>
          <w:tcPr>
            <w:tcW w:w="1000" w:type="pct"/>
            <w:tcBorders>
              <w:bottom w:val="nil"/>
            </w:tcBorders>
            <w:shd w:val="clear" w:color="auto" w:fill="E7E6E6" w:themeFill="background2"/>
          </w:tcPr>
          <w:p w14:paraId="290E3427" w14:textId="382DF217" w:rsidR="002A025C" w:rsidRPr="005D71A4" w:rsidRDefault="002A025C" w:rsidP="00BB06A3">
            <w:pPr>
              <w:pStyle w:val="051Tabletext228pt"/>
              <w:rPr>
                <w:b/>
                <w:bCs/>
                <w:sz w:val="18"/>
                <w:szCs w:val="18"/>
                <w:highlight w:val="yellow"/>
              </w:rPr>
            </w:pPr>
            <w:r w:rsidRPr="005D71A4">
              <w:rPr>
                <w:b/>
                <w:bCs/>
                <w:sz w:val="18"/>
                <w:szCs w:val="18"/>
              </w:rPr>
              <w:t>Complications</w:t>
            </w:r>
          </w:p>
        </w:tc>
        <w:tc>
          <w:tcPr>
            <w:tcW w:w="1213" w:type="pct"/>
            <w:tcBorders>
              <w:bottom w:val="nil"/>
            </w:tcBorders>
            <w:shd w:val="clear" w:color="auto" w:fill="E7E6E6" w:themeFill="background2"/>
          </w:tcPr>
          <w:p w14:paraId="20F388BF" w14:textId="77777777" w:rsidR="002A025C" w:rsidRPr="005D71A4" w:rsidRDefault="002A025C" w:rsidP="00BB06A3">
            <w:pPr>
              <w:pStyle w:val="051Tabletext228pt"/>
              <w:rPr>
                <w:sz w:val="18"/>
                <w:szCs w:val="18"/>
              </w:rPr>
            </w:pPr>
          </w:p>
        </w:tc>
        <w:tc>
          <w:tcPr>
            <w:tcW w:w="787" w:type="pct"/>
            <w:tcBorders>
              <w:bottom w:val="nil"/>
            </w:tcBorders>
            <w:shd w:val="clear" w:color="auto" w:fill="E7E6E6" w:themeFill="background2"/>
          </w:tcPr>
          <w:p w14:paraId="39D1D34A" w14:textId="77777777" w:rsidR="002A025C" w:rsidRPr="005D71A4" w:rsidRDefault="002A025C" w:rsidP="00BB06A3">
            <w:pPr>
              <w:pStyle w:val="051Tabletext228pt"/>
              <w:rPr>
                <w:sz w:val="18"/>
                <w:szCs w:val="18"/>
              </w:rPr>
            </w:pPr>
          </w:p>
        </w:tc>
        <w:tc>
          <w:tcPr>
            <w:tcW w:w="1000" w:type="pct"/>
            <w:tcBorders>
              <w:bottom w:val="nil"/>
            </w:tcBorders>
            <w:shd w:val="clear" w:color="auto" w:fill="E7E6E6" w:themeFill="background2"/>
          </w:tcPr>
          <w:p w14:paraId="41A397CC" w14:textId="77777777" w:rsidR="002A025C" w:rsidRPr="005D71A4" w:rsidRDefault="002A025C" w:rsidP="00BB06A3">
            <w:pPr>
              <w:pStyle w:val="051Tabletext228pt"/>
              <w:rPr>
                <w:sz w:val="18"/>
                <w:szCs w:val="18"/>
              </w:rPr>
            </w:pPr>
          </w:p>
        </w:tc>
        <w:tc>
          <w:tcPr>
            <w:tcW w:w="1000" w:type="pct"/>
            <w:tcBorders>
              <w:bottom w:val="nil"/>
            </w:tcBorders>
            <w:shd w:val="clear" w:color="auto" w:fill="E7E6E6" w:themeFill="background2"/>
          </w:tcPr>
          <w:p w14:paraId="3C0345C0" w14:textId="77777777" w:rsidR="002A025C" w:rsidRPr="005D71A4" w:rsidRDefault="002A025C" w:rsidP="00BB06A3">
            <w:pPr>
              <w:pStyle w:val="051Tabletext228pt"/>
              <w:rPr>
                <w:sz w:val="18"/>
                <w:szCs w:val="18"/>
              </w:rPr>
            </w:pPr>
          </w:p>
        </w:tc>
      </w:tr>
      <w:tr w:rsidR="003137DF" w14:paraId="444AF533" w14:textId="77777777" w:rsidTr="00131BFE">
        <w:tc>
          <w:tcPr>
            <w:tcW w:w="1000" w:type="pct"/>
            <w:tcBorders>
              <w:top w:val="nil"/>
              <w:bottom w:val="nil"/>
            </w:tcBorders>
          </w:tcPr>
          <w:p w14:paraId="29AF0A6B" w14:textId="77777777" w:rsidR="002A025C" w:rsidRPr="005D71A4" w:rsidRDefault="002A025C" w:rsidP="00BB06A3">
            <w:pPr>
              <w:pStyle w:val="051Tabletext228pt"/>
              <w:rPr>
                <w:sz w:val="18"/>
                <w:szCs w:val="18"/>
              </w:rPr>
            </w:pPr>
            <w:r w:rsidRPr="005D71A4">
              <w:rPr>
                <w:sz w:val="18"/>
                <w:szCs w:val="18"/>
              </w:rPr>
              <w:t>pain</w:t>
            </w:r>
          </w:p>
        </w:tc>
        <w:tc>
          <w:tcPr>
            <w:tcW w:w="1213" w:type="pct"/>
            <w:tcBorders>
              <w:top w:val="nil"/>
              <w:bottom w:val="nil"/>
            </w:tcBorders>
            <w:shd w:val="clear" w:color="auto" w:fill="auto"/>
          </w:tcPr>
          <w:p w14:paraId="3B2F731A" w14:textId="77777777" w:rsidR="002A025C" w:rsidRPr="005D71A4" w:rsidRDefault="002A025C" w:rsidP="00BB06A3">
            <w:pPr>
              <w:pStyle w:val="051Tabletext228pt"/>
              <w:rPr>
                <w:sz w:val="18"/>
                <w:szCs w:val="18"/>
              </w:rPr>
            </w:pPr>
            <w:r w:rsidRPr="005D71A4">
              <w:rPr>
                <w:sz w:val="18"/>
                <w:szCs w:val="18"/>
              </w:rPr>
              <w:t>2, N=133 (S)</w:t>
            </w:r>
          </w:p>
        </w:tc>
        <w:tc>
          <w:tcPr>
            <w:tcW w:w="787" w:type="pct"/>
            <w:tcBorders>
              <w:top w:val="nil"/>
              <w:bottom w:val="nil"/>
            </w:tcBorders>
          </w:tcPr>
          <w:p w14:paraId="265F8A2F"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3A44E978" w14:textId="77777777" w:rsidR="002A025C" w:rsidRPr="005D71A4" w:rsidRDefault="002A025C" w:rsidP="00BB06A3">
            <w:pPr>
              <w:pStyle w:val="051Tabletext228pt"/>
              <w:rPr>
                <w:sz w:val="18"/>
                <w:szCs w:val="18"/>
              </w:rPr>
            </w:pPr>
            <w:r w:rsidRPr="005D71A4">
              <w:rPr>
                <w:sz w:val="18"/>
                <w:szCs w:val="18"/>
              </w:rPr>
              <w:t>No difference (S)</w:t>
            </w:r>
          </w:p>
        </w:tc>
        <w:tc>
          <w:tcPr>
            <w:tcW w:w="1000" w:type="pct"/>
            <w:tcBorders>
              <w:top w:val="nil"/>
              <w:bottom w:val="nil"/>
            </w:tcBorders>
          </w:tcPr>
          <w:p w14:paraId="00BD6382"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F055E8" w14:paraId="35F1D923" w14:textId="77777777" w:rsidTr="00131BFE">
        <w:tc>
          <w:tcPr>
            <w:tcW w:w="1000" w:type="pct"/>
            <w:tcBorders>
              <w:top w:val="nil"/>
              <w:bottom w:val="nil"/>
            </w:tcBorders>
          </w:tcPr>
          <w:p w14:paraId="01A40E7D" w14:textId="77777777" w:rsidR="002A025C" w:rsidRPr="005D71A4" w:rsidRDefault="002A025C" w:rsidP="00BB06A3">
            <w:pPr>
              <w:pStyle w:val="051Tabletext228pt"/>
              <w:rPr>
                <w:sz w:val="18"/>
                <w:szCs w:val="18"/>
              </w:rPr>
            </w:pPr>
          </w:p>
        </w:tc>
        <w:tc>
          <w:tcPr>
            <w:tcW w:w="1213" w:type="pct"/>
            <w:tcBorders>
              <w:top w:val="nil"/>
              <w:bottom w:val="nil"/>
            </w:tcBorders>
            <w:shd w:val="clear" w:color="auto" w:fill="auto"/>
          </w:tcPr>
          <w:p w14:paraId="0DCC8557" w14:textId="77777777" w:rsidR="002A025C" w:rsidRPr="005D71A4" w:rsidRDefault="002A025C" w:rsidP="00BB06A3">
            <w:pPr>
              <w:pStyle w:val="051Tabletext228pt"/>
              <w:rPr>
                <w:sz w:val="18"/>
                <w:szCs w:val="18"/>
                <w:vertAlign w:val="superscript"/>
              </w:rPr>
            </w:pPr>
            <w:r w:rsidRPr="005D71A4">
              <w:rPr>
                <w:sz w:val="18"/>
                <w:szCs w:val="18"/>
              </w:rPr>
              <w:t>1, N=53 (S)</w:t>
            </w:r>
            <w:r w:rsidRPr="005D71A4">
              <w:rPr>
                <w:sz w:val="18"/>
                <w:szCs w:val="18"/>
                <w:vertAlign w:val="superscript"/>
              </w:rPr>
              <w:t>1</w:t>
            </w:r>
          </w:p>
        </w:tc>
        <w:tc>
          <w:tcPr>
            <w:tcW w:w="787" w:type="pct"/>
            <w:tcBorders>
              <w:top w:val="nil"/>
              <w:bottom w:val="nil"/>
            </w:tcBorders>
            <w:shd w:val="clear" w:color="auto" w:fill="F4B083" w:themeFill="accent2" w:themeFillTint="99"/>
          </w:tcPr>
          <w:p w14:paraId="7A24095C"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nil"/>
            </w:tcBorders>
          </w:tcPr>
          <w:p w14:paraId="538800F3" w14:textId="77777777" w:rsidR="002A025C" w:rsidRPr="005D71A4" w:rsidRDefault="002A025C" w:rsidP="00BB06A3">
            <w:pPr>
              <w:pStyle w:val="051Tabletext228pt"/>
              <w:rPr>
                <w:sz w:val="18"/>
                <w:szCs w:val="18"/>
                <w:vertAlign w:val="superscript"/>
              </w:rPr>
            </w:pPr>
            <w:r w:rsidRPr="005D71A4">
              <w:rPr>
                <w:sz w:val="18"/>
                <w:szCs w:val="18"/>
              </w:rPr>
              <w:t>No difference (S)</w:t>
            </w:r>
            <w:r w:rsidRPr="005D71A4">
              <w:rPr>
                <w:sz w:val="18"/>
                <w:szCs w:val="18"/>
                <w:vertAlign w:val="superscript"/>
              </w:rPr>
              <w:t>1</w:t>
            </w:r>
          </w:p>
        </w:tc>
        <w:tc>
          <w:tcPr>
            <w:tcW w:w="1000" w:type="pct"/>
            <w:tcBorders>
              <w:top w:val="nil"/>
              <w:bottom w:val="nil"/>
            </w:tcBorders>
            <w:shd w:val="clear" w:color="auto" w:fill="F1ECF4"/>
          </w:tcPr>
          <w:p w14:paraId="23994983" w14:textId="77777777" w:rsidR="002A025C" w:rsidRPr="005D71A4" w:rsidRDefault="002A025C" w:rsidP="00BB06A3">
            <w:pPr>
              <w:pStyle w:val="051Tabletext228pt"/>
              <w:rPr>
                <w:sz w:val="18"/>
                <w:szCs w:val="18"/>
              </w:rPr>
            </w:pPr>
            <w:r w:rsidRPr="005D71A4">
              <w:rPr>
                <w:sz w:val="18"/>
                <w:szCs w:val="18"/>
              </w:rPr>
              <w:t>May favour RP-MUS</w:t>
            </w:r>
          </w:p>
        </w:tc>
      </w:tr>
      <w:tr w:rsidR="00F055E8" w14:paraId="16292A57" w14:textId="77777777" w:rsidTr="00131BFE">
        <w:tc>
          <w:tcPr>
            <w:tcW w:w="1000" w:type="pct"/>
            <w:tcBorders>
              <w:top w:val="nil"/>
              <w:bottom w:val="nil"/>
            </w:tcBorders>
          </w:tcPr>
          <w:p w14:paraId="5CA4F68E" w14:textId="77777777" w:rsidR="002A025C" w:rsidRPr="005D71A4" w:rsidRDefault="002A025C" w:rsidP="00BB06A3">
            <w:pPr>
              <w:pStyle w:val="051Tabletext228pt"/>
              <w:rPr>
                <w:sz w:val="18"/>
                <w:szCs w:val="18"/>
              </w:rPr>
            </w:pPr>
          </w:p>
        </w:tc>
        <w:tc>
          <w:tcPr>
            <w:tcW w:w="1213" w:type="pct"/>
            <w:tcBorders>
              <w:top w:val="nil"/>
              <w:bottom w:val="nil"/>
            </w:tcBorders>
            <w:shd w:val="clear" w:color="auto" w:fill="auto"/>
          </w:tcPr>
          <w:p w14:paraId="3F938EC9" w14:textId="77777777" w:rsidR="002A025C" w:rsidRPr="005D71A4" w:rsidRDefault="002A025C" w:rsidP="00BB06A3">
            <w:pPr>
              <w:pStyle w:val="051Tabletext228pt"/>
              <w:rPr>
                <w:sz w:val="18"/>
                <w:szCs w:val="18"/>
              </w:rPr>
            </w:pPr>
            <w:r w:rsidRPr="005D71A4">
              <w:rPr>
                <w:sz w:val="18"/>
                <w:szCs w:val="18"/>
              </w:rPr>
              <w:t>2, N=193 (L)</w:t>
            </w:r>
          </w:p>
        </w:tc>
        <w:tc>
          <w:tcPr>
            <w:tcW w:w="787" w:type="pct"/>
            <w:tcBorders>
              <w:top w:val="nil"/>
              <w:bottom w:val="nil"/>
            </w:tcBorders>
            <w:shd w:val="clear" w:color="auto" w:fill="F4B083" w:themeFill="accent2" w:themeFillTint="99"/>
          </w:tcPr>
          <w:p w14:paraId="1AD98FC3"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nil"/>
            </w:tcBorders>
          </w:tcPr>
          <w:p w14:paraId="276CDE0B" w14:textId="77777777" w:rsidR="002A025C" w:rsidRPr="005D71A4" w:rsidRDefault="002A025C" w:rsidP="00BB06A3">
            <w:pPr>
              <w:pStyle w:val="051Tabletext228pt"/>
              <w:rPr>
                <w:sz w:val="18"/>
                <w:szCs w:val="18"/>
              </w:rPr>
            </w:pPr>
            <w:r w:rsidRPr="005D71A4">
              <w:rPr>
                <w:sz w:val="18"/>
                <w:szCs w:val="18"/>
              </w:rPr>
              <w:t>No difference (L)</w:t>
            </w:r>
          </w:p>
        </w:tc>
        <w:tc>
          <w:tcPr>
            <w:tcW w:w="1000" w:type="pct"/>
            <w:tcBorders>
              <w:top w:val="nil"/>
              <w:bottom w:val="nil"/>
            </w:tcBorders>
          </w:tcPr>
          <w:p w14:paraId="168F1A4D" w14:textId="77777777" w:rsidR="002A025C" w:rsidRPr="005D71A4" w:rsidRDefault="002A025C" w:rsidP="00BB06A3">
            <w:pPr>
              <w:pStyle w:val="051Tabletext228pt"/>
              <w:rPr>
                <w:sz w:val="18"/>
                <w:szCs w:val="18"/>
              </w:rPr>
            </w:pPr>
            <w:r w:rsidRPr="005D71A4">
              <w:rPr>
                <w:sz w:val="18"/>
                <w:szCs w:val="18"/>
              </w:rPr>
              <w:t>No difference (L)</w:t>
            </w:r>
          </w:p>
        </w:tc>
      </w:tr>
      <w:tr w:rsidR="003137DF" w14:paraId="6FE3FC44" w14:textId="77777777" w:rsidTr="00131BFE">
        <w:tc>
          <w:tcPr>
            <w:tcW w:w="1000" w:type="pct"/>
            <w:tcBorders>
              <w:top w:val="nil"/>
              <w:bottom w:val="nil"/>
            </w:tcBorders>
          </w:tcPr>
          <w:p w14:paraId="4D768CBC" w14:textId="77777777" w:rsidR="002A025C" w:rsidRPr="005D71A4" w:rsidRDefault="002A025C" w:rsidP="00BB06A3">
            <w:pPr>
              <w:pStyle w:val="051Tabletext228pt"/>
              <w:rPr>
                <w:sz w:val="18"/>
                <w:szCs w:val="18"/>
              </w:rPr>
            </w:pPr>
            <w:r w:rsidRPr="005D71A4">
              <w:rPr>
                <w:sz w:val="18"/>
                <w:szCs w:val="18"/>
              </w:rPr>
              <w:t>mesh extrusion</w:t>
            </w:r>
          </w:p>
        </w:tc>
        <w:tc>
          <w:tcPr>
            <w:tcW w:w="1213" w:type="pct"/>
            <w:tcBorders>
              <w:top w:val="nil"/>
              <w:bottom w:val="nil"/>
            </w:tcBorders>
            <w:shd w:val="clear" w:color="auto" w:fill="auto"/>
          </w:tcPr>
          <w:p w14:paraId="5801E98D" w14:textId="77777777" w:rsidR="002A025C" w:rsidRPr="005D71A4" w:rsidRDefault="002A025C" w:rsidP="00BB06A3">
            <w:pPr>
              <w:pStyle w:val="051Tabletext228pt"/>
              <w:rPr>
                <w:sz w:val="18"/>
                <w:szCs w:val="18"/>
              </w:rPr>
            </w:pPr>
            <w:r w:rsidRPr="005D71A4">
              <w:rPr>
                <w:sz w:val="18"/>
                <w:szCs w:val="18"/>
              </w:rPr>
              <w:t>1, N=63 (M)</w:t>
            </w:r>
          </w:p>
        </w:tc>
        <w:tc>
          <w:tcPr>
            <w:tcW w:w="787" w:type="pct"/>
            <w:tcBorders>
              <w:top w:val="nil"/>
              <w:bottom w:val="nil"/>
            </w:tcBorders>
          </w:tcPr>
          <w:p w14:paraId="5C69BD95"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5F9AE487" w14:textId="77777777" w:rsidR="002A025C" w:rsidRPr="005D71A4" w:rsidRDefault="002A025C" w:rsidP="00BB06A3">
            <w:pPr>
              <w:pStyle w:val="051Tabletext228pt"/>
              <w:rPr>
                <w:sz w:val="18"/>
                <w:szCs w:val="18"/>
              </w:rPr>
            </w:pPr>
            <w:r w:rsidRPr="005D71A4">
              <w:rPr>
                <w:sz w:val="18"/>
                <w:szCs w:val="18"/>
              </w:rPr>
              <w:t>No difference (M)</w:t>
            </w:r>
          </w:p>
        </w:tc>
        <w:tc>
          <w:tcPr>
            <w:tcW w:w="1000" w:type="pct"/>
            <w:tcBorders>
              <w:top w:val="nil"/>
              <w:bottom w:val="nil"/>
            </w:tcBorders>
          </w:tcPr>
          <w:p w14:paraId="543E025B"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F055E8" w14:paraId="470F5E55" w14:textId="77777777" w:rsidTr="00131BFE">
        <w:tc>
          <w:tcPr>
            <w:tcW w:w="1000" w:type="pct"/>
            <w:tcBorders>
              <w:top w:val="nil"/>
              <w:bottom w:val="nil"/>
            </w:tcBorders>
          </w:tcPr>
          <w:p w14:paraId="4F81E325" w14:textId="77777777" w:rsidR="002A025C" w:rsidRPr="005D71A4" w:rsidRDefault="002A025C" w:rsidP="00BB06A3">
            <w:pPr>
              <w:pStyle w:val="051Tabletext228pt"/>
              <w:rPr>
                <w:sz w:val="18"/>
                <w:szCs w:val="18"/>
              </w:rPr>
            </w:pPr>
          </w:p>
        </w:tc>
        <w:tc>
          <w:tcPr>
            <w:tcW w:w="1213" w:type="pct"/>
            <w:tcBorders>
              <w:top w:val="nil"/>
              <w:bottom w:val="nil"/>
            </w:tcBorders>
            <w:shd w:val="clear" w:color="auto" w:fill="auto"/>
          </w:tcPr>
          <w:p w14:paraId="44F3DCF4" w14:textId="77777777" w:rsidR="002A025C" w:rsidRPr="005D71A4" w:rsidRDefault="002A025C" w:rsidP="00BB06A3">
            <w:pPr>
              <w:pStyle w:val="051Tabletext228pt"/>
              <w:rPr>
                <w:sz w:val="18"/>
                <w:szCs w:val="18"/>
              </w:rPr>
            </w:pPr>
            <w:r w:rsidRPr="005D71A4">
              <w:rPr>
                <w:sz w:val="18"/>
                <w:szCs w:val="18"/>
              </w:rPr>
              <w:t>2, N=193 (L)</w:t>
            </w:r>
          </w:p>
        </w:tc>
        <w:tc>
          <w:tcPr>
            <w:tcW w:w="787" w:type="pct"/>
            <w:tcBorders>
              <w:top w:val="nil"/>
              <w:bottom w:val="nil"/>
            </w:tcBorders>
            <w:shd w:val="clear" w:color="auto" w:fill="F4B083" w:themeFill="accent2" w:themeFillTint="99"/>
          </w:tcPr>
          <w:p w14:paraId="5A7066AA"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nil"/>
            </w:tcBorders>
          </w:tcPr>
          <w:p w14:paraId="251F626C" w14:textId="77777777" w:rsidR="002A025C" w:rsidRPr="005D71A4" w:rsidRDefault="002A025C" w:rsidP="00BB06A3">
            <w:pPr>
              <w:pStyle w:val="051Tabletext228pt"/>
              <w:rPr>
                <w:sz w:val="18"/>
                <w:szCs w:val="18"/>
              </w:rPr>
            </w:pPr>
            <w:r w:rsidRPr="005D71A4">
              <w:rPr>
                <w:sz w:val="18"/>
                <w:szCs w:val="18"/>
              </w:rPr>
              <w:t>No difference (L)</w:t>
            </w:r>
          </w:p>
        </w:tc>
        <w:tc>
          <w:tcPr>
            <w:tcW w:w="1000" w:type="pct"/>
            <w:tcBorders>
              <w:top w:val="nil"/>
              <w:bottom w:val="nil"/>
            </w:tcBorders>
          </w:tcPr>
          <w:p w14:paraId="400F9AD5" w14:textId="77777777" w:rsidR="002A025C" w:rsidRPr="005D71A4" w:rsidRDefault="002A025C" w:rsidP="00BB06A3">
            <w:pPr>
              <w:pStyle w:val="051Tabletext228pt"/>
              <w:rPr>
                <w:sz w:val="18"/>
                <w:szCs w:val="18"/>
              </w:rPr>
            </w:pPr>
            <w:r w:rsidRPr="005D71A4">
              <w:rPr>
                <w:sz w:val="18"/>
                <w:szCs w:val="18"/>
              </w:rPr>
              <w:t>No difference (L)</w:t>
            </w:r>
          </w:p>
        </w:tc>
      </w:tr>
      <w:tr w:rsidR="003137DF" w14:paraId="35F9AE45" w14:textId="77777777" w:rsidTr="00131BFE">
        <w:tc>
          <w:tcPr>
            <w:tcW w:w="1000" w:type="pct"/>
            <w:tcBorders>
              <w:top w:val="nil"/>
              <w:bottom w:val="nil"/>
            </w:tcBorders>
          </w:tcPr>
          <w:p w14:paraId="556C1DD1" w14:textId="77777777" w:rsidR="002A025C" w:rsidRPr="005D71A4" w:rsidRDefault="002A025C" w:rsidP="00BB06A3">
            <w:pPr>
              <w:pStyle w:val="051Tabletext228pt"/>
              <w:rPr>
                <w:sz w:val="18"/>
                <w:szCs w:val="18"/>
              </w:rPr>
            </w:pPr>
            <w:r w:rsidRPr="005D71A4">
              <w:rPr>
                <w:sz w:val="18"/>
                <w:szCs w:val="18"/>
              </w:rPr>
              <w:t>need for catheterisation</w:t>
            </w:r>
          </w:p>
        </w:tc>
        <w:tc>
          <w:tcPr>
            <w:tcW w:w="1213" w:type="pct"/>
            <w:tcBorders>
              <w:top w:val="nil"/>
              <w:bottom w:val="nil"/>
            </w:tcBorders>
            <w:shd w:val="clear" w:color="auto" w:fill="auto"/>
          </w:tcPr>
          <w:p w14:paraId="2FC0CCAB" w14:textId="77777777" w:rsidR="002A025C" w:rsidRPr="005D71A4" w:rsidRDefault="002A025C" w:rsidP="00BB06A3">
            <w:pPr>
              <w:pStyle w:val="051Tabletext228pt"/>
              <w:rPr>
                <w:sz w:val="18"/>
                <w:szCs w:val="18"/>
              </w:rPr>
            </w:pPr>
            <w:r w:rsidRPr="005D71A4">
              <w:rPr>
                <w:sz w:val="18"/>
                <w:szCs w:val="18"/>
              </w:rPr>
              <w:t>4, N=320 (S)</w:t>
            </w:r>
          </w:p>
        </w:tc>
        <w:tc>
          <w:tcPr>
            <w:tcW w:w="787" w:type="pct"/>
            <w:tcBorders>
              <w:top w:val="nil"/>
              <w:bottom w:val="nil"/>
            </w:tcBorders>
          </w:tcPr>
          <w:p w14:paraId="12788BA0"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c>
          <w:tcPr>
            <w:tcW w:w="1000" w:type="pct"/>
            <w:tcBorders>
              <w:top w:val="nil"/>
              <w:bottom w:val="nil"/>
            </w:tcBorders>
          </w:tcPr>
          <w:p w14:paraId="359121E3" w14:textId="77777777" w:rsidR="002A025C" w:rsidRPr="005D71A4" w:rsidRDefault="002A025C" w:rsidP="00BB06A3">
            <w:pPr>
              <w:pStyle w:val="051Tabletext228pt"/>
              <w:rPr>
                <w:sz w:val="18"/>
                <w:szCs w:val="18"/>
              </w:rPr>
            </w:pPr>
            <w:r w:rsidRPr="005D71A4">
              <w:rPr>
                <w:sz w:val="18"/>
                <w:szCs w:val="18"/>
              </w:rPr>
              <w:t>No difference (S)</w:t>
            </w:r>
          </w:p>
        </w:tc>
        <w:tc>
          <w:tcPr>
            <w:tcW w:w="1000" w:type="pct"/>
            <w:tcBorders>
              <w:top w:val="nil"/>
              <w:bottom w:val="nil"/>
            </w:tcBorders>
          </w:tcPr>
          <w:p w14:paraId="1BCDD41D" w14:textId="77777777" w:rsidR="002A025C" w:rsidRPr="005D71A4" w:rsidRDefault="002A025C" w:rsidP="00BB06A3">
            <w:pPr>
              <w:pStyle w:val="051Tabletext228pt"/>
              <w:rPr>
                <w:sz w:val="18"/>
                <w:szCs w:val="18"/>
                <w:vertAlign w:val="superscript"/>
              </w:rPr>
            </w:pPr>
            <w:r w:rsidRPr="005D71A4">
              <w:rPr>
                <w:sz w:val="18"/>
                <w:szCs w:val="18"/>
              </w:rPr>
              <w:t>NR</w:t>
            </w:r>
            <w:r w:rsidRPr="005D71A4">
              <w:rPr>
                <w:sz w:val="18"/>
                <w:szCs w:val="18"/>
                <w:vertAlign w:val="superscript"/>
              </w:rPr>
              <w:t>2</w:t>
            </w:r>
          </w:p>
        </w:tc>
      </w:tr>
      <w:tr w:rsidR="00F055E8" w14:paraId="059AEE57" w14:textId="77777777" w:rsidTr="00131BFE">
        <w:tc>
          <w:tcPr>
            <w:tcW w:w="1000" w:type="pct"/>
            <w:tcBorders>
              <w:top w:val="nil"/>
              <w:bottom w:val="nil"/>
            </w:tcBorders>
          </w:tcPr>
          <w:p w14:paraId="70289D9C" w14:textId="77777777" w:rsidR="002A025C" w:rsidRPr="005D71A4" w:rsidRDefault="002A025C" w:rsidP="00BB06A3">
            <w:pPr>
              <w:pStyle w:val="051Tabletext228pt"/>
              <w:rPr>
                <w:sz w:val="18"/>
                <w:szCs w:val="18"/>
              </w:rPr>
            </w:pPr>
          </w:p>
        </w:tc>
        <w:tc>
          <w:tcPr>
            <w:tcW w:w="1213" w:type="pct"/>
            <w:tcBorders>
              <w:top w:val="nil"/>
              <w:bottom w:val="nil"/>
            </w:tcBorders>
            <w:shd w:val="clear" w:color="auto" w:fill="auto"/>
          </w:tcPr>
          <w:p w14:paraId="613360A8" w14:textId="77777777" w:rsidR="002A025C" w:rsidRPr="005D71A4" w:rsidRDefault="002A025C" w:rsidP="00BB06A3">
            <w:pPr>
              <w:pStyle w:val="051Tabletext228pt"/>
              <w:rPr>
                <w:sz w:val="18"/>
                <w:szCs w:val="18"/>
              </w:rPr>
            </w:pPr>
            <w:r w:rsidRPr="005D71A4">
              <w:rPr>
                <w:sz w:val="18"/>
                <w:szCs w:val="18"/>
              </w:rPr>
              <w:t>1, N=124 (L)</w:t>
            </w:r>
          </w:p>
        </w:tc>
        <w:tc>
          <w:tcPr>
            <w:tcW w:w="787" w:type="pct"/>
            <w:tcBorders>
              <w:top w:val="nil"/>
              <w:bottom w:val="nil"/>
            </w:tcBorders>
            <w:shd w:val="clear" w:color="auto" w:fill="F4B083" w:themeFill="accent2" w:themeFillTint="99"/>
          </w:tcPr>
          <w:p w14:paraId="0B0FF7F5"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nil"/>
            </w:tcBorders>
          </w:tcPr>
          <w:p w14:paraId="7EA82D32" w14:textId="77777777" w:rsidR="002A025C" w:rsidRPr="005D71A4" w:rsidRDefault="002A025C" w:rsidP="00BB06A3">
            <w:pPr>
              <w:pStyle w:val="051Tabletext228pt"/>
              <w:rPr>
                <w:sz w:val="18"/>
                <w:szCs w:val="18"/>
              </w:rPr>
            </w:pPr>
            <w:r w:rsidRPr="005D71A4">
              <w:rPr>
                <w:sz w:val="18"/>
                <w:szCs w:val="18"/>
              </w:rPr>
              <w:t>No difference (L)</w:t>
            </w:r>
          </w:p>
        </w:tc>
        <w:tc>
          <w:tcPr>
            <w:tcW w:w="1000" w:type="pct"/>
            <w:tcBorders>
              <w:top w:val="nil"/>
              <w:bottom w:val="nil"/>
            </w:tcBorders>
          </w:tcPr>
          <w:p w14:paraId="14DAC40A" w14:textId="77777777" w:rsidR="002A025C" w:rsidRPr="005D71A4" w:rsidRDefault="002A025C" w:rsidP="00BB06A3">
            <w:pPr>
              <w:pStyle w:val="051Tabletext228pt"/>
              <w:rPr>
                <w:sz w:val="18"/>
                <w:szCs w:val="18"/>
              </w:rPr>
            </w:pPr>
            <w:r w:rsidRPr="005D71A4">
              <w:rPr>
                <w:sz w:val="18"/>
                <w:szCs w:val="18"/>
              </w:rPr>
              <w:t>No difference (L)</w:t>
            </w:r>
          </w:p>
        </w:tc>
      </w:tr>
      <w:tr w:rsidR="00F055E8" w14:paraId="10F4D0F1" w14:textId="77777777" w:rsidTr="00AA3D9A">
        <w:tc>
          <w:tcPr>
            <w:tcW w:w="1000" w:type="pct"/>
            <w:tcBorders>
              <w:top w:val="nil"/>
              <w:bottom w:val="single" w:sz="4" w:space="0" w:color="auto"/>
            </w:tcBorders>
          </w:tcPr>
          <w:p w14:paraId="28D633C3" w14:textId="77777777" w:rsidR="002A025C" w:rsidRPr="005D71A4" w:rsidRDefault="002A025C" w:rsidP="00BB06A3">
            <w:pPr>
              <w:pStyle w:val="051Tabletext228pt"/>
              <w:rPr>
                <w:sz w:val="18"/>
                <w:szCs w:val="18"/>
              </w:rPr>
            </w:pPr>
            <w:r w:rsidRPr="005D71A4">
              <w:rPr>
                <w:sz w:val="18"/>
                <w:szCs w:val="18"/>
              </w:rPr>
              <w:lastRenderedPageBreak/>
              <w:t>de novo urgency</w:t>
            </w:r>
          </w:p>
        </w:tc>
        <w:tc>
          <w:tcPr>
            <w:tcW w:w="1213" w:type="pct"/>
            <w:tcBorders>
              <w:top w:val="nil"/>
              <w:bottom w:val="single" w:sz="4" w:space="0" w:color="auto"/>
            </w:tcBorders>
            <w:shd w:val="clear" w:color="auto" w:fill="auto"/>
          </w:tcPr>
          <w:p w14:paraId="3C8C7603" w14:textId="77777777" w:rsidR="002A025C" w:rsidRPr="005D71A4" w:rsidRDefault="002A025C" w:rsidP="00BB06A3">
            <w:pPr>
              <w:pStyle w:val="051Tabletext228pt"/>
              <w:rPr>
                <w:sz w:val="18"/>
                <w:szCs w:val="18"/>
              </w:rPr>
            </w:pPr>
            <w:r w:rsidRPr="005D71A4">
              <w:rPr>
                <w:sz w:val="18"/>
                <w:szCs w:val="18"/>
              </w:rPr>
              <w:t>2, N=65 (M); 2, N=193 (L)</w:t>
            </w:r>
          </w:p>
        </w:tc>
        <w:tc>
          <w:tcPr>
            <w:tcW w:w="787" w:type="pct"/>
            <w:tcBorders>
              <w:top w:val="nil"/>
              <w:bottom w:val="single" w:sz="4" w:space="0" w:color="auto"/>
            </w:tcBorders>
            <w:shd w:val="clear" w:color="auto" w:fill="F4B083" w:themeFill="accent2" w:themeFillTint="99"/>
          </w:tcPr>
          <w:p w14:paraId="73983770"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3193C889" w14:textId="77777777" w:rsidR="002A025C" w:rsidRPr="005D71A4" w:rsidRDefault="002A025C" w:rsidP="00BB06A3">
            <w:pPr>
              <w:pStyle w:val="051Tabletext228pt"/>
              <w:rPr>
                <w:sz w:val="18"/>
                <w:szCs w:val="18"/>
              </w:rPr>
            </w:pPr>
            <w:r w:rsidRPr="005D71A4">
              <w:rPr>
                <w:sz w:val="18"/>
                <w:szCs w:val="18"/>
              </w:rPr>
              <w:t>No difference (M, L)</w:t>
            </w:r>
          </w:p>
        </w:tc>
        <w:tc>
          <w:tcPr>
            <w:tcW w:w="1000" w:type="pct"/>
            <w:tcBorders>
              <w:top w:val="nil"/>
              <w:bottom w:val="single" w:sz="4" w:space="0" w:color="auto"/>
            </w:tcBorders>
          </w:tcPr>
          <w:p w14:paraId="0D810B8F" w14:textId="77777777" w:rsidR="002A025C" w:rsidRPr="005D71A4" w:rsidRDefault="002A025C" w:rsidP="00BB06A3">
            <w:pPr>
              <w:pStyle w:val="051Tabletext228pt"/>
              <w:rPr>
                <w:sz w:val="18"/>
                <w:szCs w:val="18"/>
              </w:rPr>
            </w:pPr>
            <w:r w:rsidRPr="005D71A4">
              <w:rPr>
                <w:sz w:val="18"/>
                <w:szCs w:val="18"/>
              </w:rPr>
              <w:t>No difference (M, L)</w:t>
            </w:r>
          </w:p>
        </w:tc>
      </w:tr>
      <w:tr w:rsidR="00F055E8" w14:paraId="0937C9BD" w14:textId="77777777" w:rsidTr="00921F5B">
        <w:tc>
          <w:tcPr>
            <w:tcW w:w="1000" w:type="pct"/>
            <w:tcBorders>
              <w:top w:val="nil"/>
              <w:bottom w:val="single" w:sz="4" w:space="0" w:color="auto"/>
            </w:tcBorders>
          </w:tcPr>
          <w:p w14:paraId="0445167C" w14:textId="77777777" w:rsidR="002A025C" w:rsidRPr="005D71A4" w:rsidRDefault="002A025C" w:rsidP="00BB06A3">
            <w:pPr>
              <w:pStyle w:val="051Tabletext228pt"/>
              <w:rPr>
                <w:b/>
                <w:bCs/>
                <w:sz w:val="18"/>
                <w:szCs w:val="18"/>
              </w:rPr>
            </w:pPr>
          </w:p>
        </w:tc>
        <w:tc>
          <w:tcPr>
            <w:tcW w:w="1213" w:type="pct"/>
            <w:tcBorders>
              <w:top w:val="nil"/>
              <w:bottom w:val="single" w:sz="4" w:space="0" w:color="auto"/>
            </w:tcBorders>
            <w:shd w:val="clear" w:color="auto" w:fill="auto"/>
          </w:tcPr>
          <w:p w14:paraId="697C4193" w14:textId="77777777" w:rsidR="002A025C" w:rsidRPr="005D71A4" w:rsidRDefault="002A025C" w:rsidP="00BB06A3">
            <w:pPr>
              <w:pStyle w:val="051Tabletext228pt"/>
              <w:rPr>
                <w:sz w:val="18"/>
                <w:szCs w:val="18"/>
              </w:rPr>
            </w:pPr>
            <w:r w:rsidRPr="005D71A4">
              <w:rPr>
                <w:sz w:val="18"/>
                <w:szCs w:val="18"/>
              </w:rPr>
              <w:t>2, N=256 (L)</w:t>
            </w:r>
          </w:p>
        </w:tc>
        <w:tc>
          <w:tcPr>
            <w:tcW w:w="787" w:type="pct"/>
            <w:tcBorders>
              <w:top w:val="nil"/>
              <w:bottom w:val="single" w:sz="4" w:space="0" w:color="auto"/>
            </w:tcBorders>
            <w:shd w:val="clear" w:color="auto" w:fill="F4B083" w:themeFill="accent2" w:themeFillTint="99"/>
          </w:tcPr>
          <w:p w14:paraId="5EEC9CE3"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364B8D4D" w14:textId="77777777" w:rsidR="002A025C" w:rsidRPr="005D71A4" w:rsidRDefault="002A025C" w:rsidP="00BB06A3">
            <w:pPr>
              <w:pStyle w:val="051Tabletext228pt"/>
              <w:rPr>
                <w:sz w:val="18"/>
                <w:szCs w:val="18"/>
              </w:rPr>
            </w:pPr>
            <w:r w:rsidRPr="005D71A4">
              <w:rPr>
                <w:sz w:val="18"/>
                <w:szCs w:val="18"/>
              </w:rPr>
              <w:t>No difference (L)</w:t>
            </w:r>
          </w:p>
        </w:tc>
        <w:tc>
          <w:tcPr>
            <w:tcW w:w="1000" w:type="pct"/>
            <w:tcBorders>
              <w:top w:val="nil"/>
              <w:bottom w:val="single" w:sz="4" w:space="0" w:color="auto"/>
            </w:tcBorders>
          </w:tcPr>
          <w:p w14:paraId="0B789ED7" w14:textId="77777777" w:rsidR="002A025C" w:rsidRPr="005D71A4" w:rsidRDefault="002A025C" w:rsidP="00BB06A3">
            <w:pPr>
              <w:pStyle w:val="051Tabletext228pt"/>
              <w:rPr>
                <w:sz w:val="18"/>
                <w:szCs w:val="18"/>
              </w:rPr>
            </w:pPr>
            <w:r w:rsidRPr="005D71A4">
              <w:rPr>
                <w:sz w:val="18"/>
                <w:szCs w:val="18"/>
              </w:rPr>
              <w:t>No difference (L)</w:t>
            </w:r>
          </w:p>
        </w:tc>
      </w:tr>
      <w:tr w:rsidR="00AA3D9A" w14:paraId="312D1840" w14:textId="77777777" w:rsidTr="00921F5B">
        <w:tc>
          <w:tcPr>
            <w:tcW w:w="1000" w:type="pct"/>
            <w:tcBorders>
              <w:bottom w:val="nil"/>
            </w:tcBorders>
            <w:shd w:val="clear" w:color="auto" w:fill="D9D9D9" w:themeFill="background1" w:themeFillShade="D9"/>
          </w:tcPr>
          <w:p w14:paraId="35D7ED89" w14:textId="7BC72229" w:rsidR="00AA3D9A" w:rsidRPr="005D71A4" w:rsidRDefault="00921F5B" w:rsidP="00BB06A3">
            <w:pPr>
              <w:pStyle w:val="051Tabletext228pt"/>
              <w:rPr>
                <w:b/>
                <w:bCs/>
                <w:sz w:val="18"/>
                <w:szCs w:val="18"/>
              </w:rPr>
            </w:pPr>
            <w:r w:rsidRPr="005D71A4">
              <w:rPr>
                <w:b/>
                <w:bCs/>
                <w:sz w:val="18"/>
                <w:szCs w:val="18"/>
              </w:rPr>
              <w:t>Repeat surgery</w:t>
            </w:r>
          </w:p>
        </w:tc>
        <w:tc>
          <w:tcPr>
            <w:tcW w:w="1213" w:type="pct"/>
            <w:tcBorders>
              <w:bottom w:val="nil"/>
            </w:tcBorders>
            <w:shd w:val="clear" w:color="auto" w:fill="D9D9D9" w:themeFill="background1" w:themeFillShade="D9"/>
          </w:tcPr>
          <w:p w14:paraId="37C07464" w14:textId="77777777" w:rsidR="00AA3D9A" w:rsidRPr="005D71A4" w:rsidRDefault="00AA3D9A" w:rsidP="00BB06A3">
            <w:pPr>
              <w:pStyle w:val="051Tabletext228pt"/>
              <w:rPr>
                <w:sz w:val="18"/>
                <w:szCs w:val="18"/>
              </w:rPr>
            </w:pPr>
          </w:p>
        </w:tc>
        <w:tc>
          <w:tcPr>
            <w:tcW w:w="787" w:type="pct"/>
            <w:tcBorders>
              <w:bottom w:val="nil"/>
            </w:tcBorders>
            <w:shd w:val="clear" w:color="auto" w:fill="D9D9D9" w:themeFill="background1" w:themeFillShade="D9"/>
          </w:tcPr>
          <w:p w14:paraId="6D3DEF13" w14:textId="77777777" w:rsidR="00AA3D9A" w:rsidRPr="005D71A4" w:rsidRDefault="00AA3D9A" w:rsidP="00BB06A3">
            <w:pPr>
              <w:pStyle w:val="051Tabletext228pt"/>
              <w:rPr>
                <w:sz w:val="18"/>
                <w:szCs w:val="18"/>
              </w:rPr>
            </w:pPr>
          </w:p>
        </w:tc>
        <w:tc>
          <w:tcPr>
            <w:tcW w:w="1000" w:type="pct"/>
            <w:tcBorders>
              <w:bottom w:val="nil"/>
            </w:tcBorders>
            <w:shd w:val="clear" w:color="auto" w:fill="D9D9D9" w:themeFill="background1" w:themeFillShade="D9"/>
          </w:tcPr>
          <w:p w14:paraId="7C09A86E" w14:textId="77777777" w:rsidR="00AA3D9A" w:rsidRPr="005D71A4" w:rsidRDefault="00AA3D9A" w:rsidP="00BB06A3">
            <w:pPr>
              <w:pStyle w:val="051Tabletext228pt"/>
              <w:rPr>
                <w:sz w:val="18"/>
                <w:szCs w:val="18"/>
              </w:rPr>
            </w:pPr>
          </w:p>
        </w:tc>
        <w:tc>
          <w:tcPr>
            <w:tcW w:w="1000" w:type="pct"/>
            <w:tcBorders>
              <w:bottom w:val="nil"/>
            </w:tcBorders>
            <w:shd w:val="clear" w:color="auto" w:fill="D9D9D9" w:themeFill="background1" w:themeFillShade="D9"/>
          </w:tcPr>
          <w:p w14:paraId="198F7FF8" w14:textId="77777777" w:rsidR="00AA3D9A" w:rsidRPr="005D71A4" w:rsidRDefault="00AA3D9A" w:rsidP="00BB06A3">
            <w:pPr>
              <w:pStyle w:val="051Tabletext228pt"/>
              <w:rPr>
                <w:sz w:val="18"/>
                <w:szCs w:val="18"/>
              </w:rPr>
            </w:pPr>
          </w:p>
        </w:tc>
      </w:tr>
      <w:tr w:rsidR="00F055E8" w14:paraId="0CE2CD39" w14:textId="77777777" w:rsidTr="00921F5B">
        <w:tc>
          <w:tcPr>
            <w:tcW w:w="1000" w:type="pct"/>
            <w:tcBorders>
              <w:top w:val="nil"/>
              <w:bottom w:val="single" w:sz="4" w:space="0" w:color="auto"/>
            </w:tcBorders>
          </w:tcPr>
          <w:p w14:paraId="13EA673D" w14:textId="5A76B1CE" w:rsidR="002A025C" w:rsidRPr="005D71A4" w:rsidRDefault="00921F5B" w:rsidP="00BB06A3">
            <w:pPr>
              <w:pStyle w:val="051Tabletext228pt"/>
              <w:rPr>
                <w:sz w:val="18"/>
                <w:szCs w:val="18"/>
                <w:highlight w:val="yellow"/>
              </w:rPr>
            </w:pPr>
            <w:r w:rsidRPr="005D71A4">
              <w:rPr>
                <w:sz w:val="18"/>
                <w:szCs w:val="18"/>
              </w:rPr>
              <w:t>for any reason</w:t>
            </w:r>
          </w:p>
        </w:tc>
        <w:tc>
          <w:tcPr>
            <w:tcW w:w="1213" w:type="pct"/>
            <w:tcBorders>
              <w:top w:val="nil"/>
              <w:bottom w:val="single" w:sz="4" w:space="0" w:color="auto"/>
            </w:tcBorders>
            <w:shd w:val="clear" w:color="auto" w:fill="auto"/>
          </w:tcPr>
          <w:p w14:paraId="22874124" w14:textId="77777777" w:rsidR="002A025C" w:rsidRPr="005D71A4" w:rsidRDefault="002A025C" w:rsidP="00BB06A3">
            <w:pPr>
              <w:pStyle w:val="051Tabletext228pt"/>
              <w:rPr>
                <w:sz w:val="18"/>
                <w:szCs w:val="18"/>
              </w:rPr>
            </w:pPr>
            <w:r w:rsidRPr="005D71A4">
              <w:rPr>
                <w:sz w:val="18"/>
                <w:szCs w:val="18"/>
              </w:rPr>
              <w:t>2, N=197 (S); 1, N=69 (L)</w:t>
            </w:r>
          </w:p>
        </w:tc>
        <w:tc>
          <w:tcPr>
            <w:tcW w:w="787" w:type="pct"/>
            <w:tcBorders>
              <w:top w:val="nil"/>
              <w:bottom w:val="single" w:sz="4" w:space="0" w:color="auto"/>
            </w:tcBorders>
            <w:shd w:val="clear" w:color="auto" w:fill="F4B083" w:themeFill="accent2" w:themeFillTint="99"/>
          </w:tcPr>
          <w:p w14:paraId="39DABB79" w14:textId="77777777" w:rsidR="002A025C" w:rsidRPr="005D71A4" w:rsidRDefault="002A025C" w:rsidP="00BB06A3">
            <w:pPr>
              <w:pStyle w:val="051Tabletext228pt"/>
              <w:rPr>
                <w:sz w:val="18"/>
                <w:szCs w:val="18"/>
              </w:rPr>
            </w:pPr>
            <w:r w:rsidRPr="005D71A4">
              <w:rPr>
                <w:sz w:val="18"/>
                <w:szCs w:val="18"/>
              </w:rPr>
              <w:t>Very low</w:t>
            </w:r>
          </w:p>
        </w:tc>
        <w:tc>
          <w:tcPr>
            <w:tcW w:w="1000" w:type="pct"/>
            <w:tcBorders>
              <w:top w:val="nil"/>
              <w:bottom w:val="single" w:sz="4" w:space="0" w:color="auto"/>
            </w:tcBorders>
          </w:tcPr>
          <w:p w14:paraId="1756F00B" w14:textId="77777777" w:rsidR="002A025C" w:rsidRPr="005D71A4" w:rsidRDefault="002A025C" w:rsidP="00BB06A3">
            <w:pPr>
              <w:pStyle w:val="051Tabletext228pt"/>
              <w:rPr>
                <w:sz w:val="18"/>
                <w:szCs w:val="18"/>
              </w:rPr>
            </w:pPr>
            <w:r w:rsidRPr="005D71A4">
              <w:rPr>
                <w:sz w:val="18"/>
                <w:szCs w:val="18"/>
              </w:rPr>
              <w:t>No difference (S, L)</w:t>
            </w:r>
          </w:p>
        </w:tc>
        <w:tc>
          <w:tcPr>
            <w:tcW w:w="1000" w:type="pct"/>
            <w:tcBorders>
              <w:top w:val="nil"/>
              <w:bottom w:val="single" w:sz="4" w:space="0" w:color="auto"/>
            </w:tcBorders>
          </w:tcPr>
          <w:p w14:paraId="7D439CBA" w14:textId="77777777" w:rsidR="002A025C" w:rsidRPr="005D71A4" w:rsidRDefault="002A025C" w:rsidP="00BB06A3">
            <w:pPr>
              <w:pStyle w:val="051Tabletext228pt"/>
              <w:rPr>
                <w:sz w:val="18"/>
                <w:szCs w:val="18"/>
              </w:rPr>
            </w:pPr>
            <w:r w:rsidRPr="005D71A4">
              <w:rPr>
                <w:sz w:val="18"/>
                <w:szCs w:val="18"/>
              </w:rPr>
              <w:t>No difference (S, L)</w:t>
            </w:r>
          </w:p>
        </w:tc>
      </w:tr>
    </w:tbl>
    <w:p w14:paraId="009A7AE2" w14:textId="1CFD55AC" w:rsidR="00453055" w:rsidRDefault="00453055" w:rsidP="00453055">
      <w:pPr>
        <w:pStyle w:val="101Tablefootnotes8pt"/>
      </w:pPr>
      <w:r>
        <w:t xml:space="preserve">Source: based on data from NICE Evidence review </w:t>
      </w:r>
      <w:r w:rsidR="00245CE2">
        <w:rPr>
          <w:noProof/>
        </w:rPr>
        <w:t>(NICE 2019b)</w:t>
      </w:r>
    </w:p>
    <w:p w14:paraId="3D469408" w14:textId="473ADC1C" w:rsidR="00DE5FB2" w:rsidRDefault="00DE5FB2" w:rsidP="00DE5FB2">
      <w:pPr>
        <w:pStyle w:val="101Tablefootnotes8pt"/>
      </w:pPr>
      <w:r>
        <w:t>Abbreviations: L, long-term; M, medium-term; MUS, mid-urethral sling; NR, not reported; RP, retropubic; S, short-term.</w:t>
      </w:r>
    </w:p>
    <w:p w14:paraId="2F511FDB" w14:textId="56DB5CB8" w:rsidR="002A025C" w:rsidRDefault="002A025C" w:rsidP="002A025C">
      <w:pPr>
        <w:pStyle w:val="101Tablefootnotes8pt"/>
      </w:pPr>
      <w:r>
        <w:rPr>
          <w:vertAlign w:val="superscript"/>
        </w:rPr>
        <w:t xml:space="preserve">1 </w:t>
      </w:r>
      <w:r>
        <w:t>Sub-group comparison: r</w:t>
      </w:r>
      <w:r w:rsidRPr="00442B6A">
        <w:t>ectus</w:t>
      </w:r>
      <w:r>
        <w:t xml:space="preserve"> fascial sling versus RP-MUS</w:t>
      </w:r>
    </w:p>
    <w:p w14:paraId="563FD6F2" w14:textId="77777777" w:rsidR="002A025C" w:rsidRDefault="002A025C" w:rsidP="00674822">
      <w:pPr>
        <w:pStyle w:val="101Tablefootnotes8pt"/>
      </w:pPr>
      <w:r>
        <w:rPr>
          <w:vertAlign w:val="superscript"/>
        </w:rPr>
        <w:t xml:space="preserve">2 </w:t>
      </w:r>
      <w:r>
        <w:t>Quality of evidence and clinical significance not available in NICE report for sub-set of studies excluding single-incision mini-slings</w:t>
      </w:r>
    </w:p>
    <w:p w14:paraId="6EBAC22E" w14:textId="77777777" w:rsidR="005B28DD" w:rsidRPr="00083412" w:rsidRDefault="005B28DD" w:rsidP="005B28DD">
      <w:pPr>
        <w:pStyle w:val="101Tablefootnotes8pt"/>
      </w:pPr>
      <w:r>
        <w:rPr>
          <w:vertAlign w:val="superscript"/>
        </w:rPr>
        <w:t xml:space="preserve">3 </w:t>
      </w:r>
      <w:r>
        <w:t>NICE defined c</w:t>
      </w:r>
      <w:r w:rsidRPr="002E44EE">
        <w:t>linically important outcomes based on published literature and consultation with the Guideline Committee. If no published or acceptable minimally important difference (MID) was identified, the committee considered whether to use GRADE defaults.</w:t>
      </w:r>
    </w:p>
    <w:p w14:paraId="20C0E552" w14:textId="77777777" w:rsidR="00674822" w:rsidRDefault="00674822" w:rsidP="005B28DD">
      <w:pPr>
        <w:pStyle w:val="111Tablefootnoteslast-nostick8pt"/>
      </w:pPr>
      <w:r>
        <w:t xml:space="preserve">Key: orange = very </w:t>
      </w:r>
      <w:proofErr w:type="gramStart"/>
      <w:r>
        <w:t>low quality</w:t>
      </w:r>
      <w:proofErr w:type="gramEnd"/>
      <w:r>
        <w:t xml:space="preserve"> evidence; purple = </w:t>
      </w:r>
      <w:proofErr w:type="spellStart"/>
      <w:r>
        <w:t>favours</w:t>
      </w:r>
      <w:proofErr w:type="spellEnd"/>
      <w:r>
        <w:t xml:space="preserve"> RP-MUS; light purple = may favour RP-MUS</w:t>
      </w:r>
    </w:p>
    <w:p w14:paraId="2AFACF6C" w14:textId="44C54B4F" w:rsidR="002A025C" w:rsidRDefault="00964531" w:rsidP="00964531">
      <w:pPr>
        <w:pStyle w:val="Heading3"/>
      </w:pPr>
      <w:bookmarkStart w:id="166" w:name="_Ref165620527"/>
      <w:bookmarkStart w:id="167" w:name="_Toc165627850"/>
      <w:r>
        <w:t xml:space="preserve">TO-MUS versus </w:t>
      </w:r>
      <w:r w:rsidR="00F01B3E">
        <w:t>RP-MUS</w:t>
      </w:r>
      <w:bookmarkEnd w:id="166"/>
      <w:bookmarkEnd w:id="167"/>
    </w:p>
    <w:p w14:paraId="143F02AD" w14:textId="37EE421C" w:rsidR="00F01B3E" w:rsidRPr="008C1941" w:rsidRDefault="00F01B3E" w:rsidP="00F01B3E">
      <w:pPr>
        <w:pStyle w:val="BodyText"/>
      </w:pPr>
      <w:r>
        <w:t>The findings by outcome and follow-up time for TO-MUS versus RP-MUS are summarised in</w:t>
      </w:r>
      <w:r w:rsidR="003C3964">
        <w:rPr>
          <w:b/>
          <w:bCs/>
        </w:rPr>
        <w:t xml:space="preserve"> </w:t>
      </w:r>
      <w:r w:rsidR="003C3964" w:rsidRPr="00A14239">
        <w:rPr>
          <w:b/>
          <w:bCs/>
        </w:rPr>
        <w:fldChar w:fldCharType="begin"/>
      </w:r>
      <w:r w:rsidR="003C3964" w:rsidRPr="00A14239">
        <w:rPr>
          <w:b/>
          <w:bCs/>
        </w:rPr>
        <w:instrText xml:space="preserve"> REF _Ref133501302 \h </w:instrText>
      </w:r>
      <w:r w:rsidR="00FD56DC" w:rsidRPr="00A14239">
        <w:rPr>
          <w:b/>
          <w:bCs/>
        </w:rPr>
        <w:instrText xml:space="preserve"> \* MERGEFORMAT </w:instrText>
      </w:r>
      <w:r w:rsidR="003C3964" w:rsidRPr="00A14239">
        <w:rPr>
          <w:b/>
          <w:bCs/>
        </w:rPr>
      </w:r>
      <w:r w:rsidR="003C3964" w:rsidRPr="00A14239">
        <w:rPr>
          <w:b/>
          <w:bCs/>
        </w:rPr>
        <w:fldChar w:fldCharType="separate"/>
      </w:r>
      <w:r w:rsidR="007105D3" w:rsidRPr="007105D3">
        <w:rPr>
          <w:b/>
          <w:bCs/>
        </w:rPr>
        <w:t xml:space="preserve">Table </w:t>
      </w:r>
      <w:r w:rsidR="007105D3" w:rsidRPr="007105D3">
        <w:rPr>
          <w:b/>
          <w:bCs/>
          <w:noProof/>
        </w:rPr>
        <w:t>34</w:t>
      </w:r>
      <w:r w:rsidR="003C3964" w:rsidRPr="00A14239">
        <w:rPr>
          <w:b/>
          <w:bCs/>
        </w:rPr>
        <w:fldChar w:fldCharType="end"/>
      </w:r>
      <w:r>
        <w:t>, including the number of RCTs and participants, and the quality of the evidence.</w:t>
      </w:r>
    </w:p>
    <w:p w14:paraId="10EB820B" w14:textId="24351074" w:rsidR="00083CD8" w:rsidRPr="008C1941" w:rsidRDefault="00AB4355" w:rsidP="00F01B3E">
      <w:pPr>
        <w:pStyle w:val="BodyText"/>
      </w:pPr>
      <w:r>
        <w:t xml:space="preserve">Although the </w:t>
      </w:r>
      <w:r w:rsidR="00083CD8">
        <w:t xml:space="preserve">NICE direct comparison showed no clinically important differences in subjective cure or objective cure in the short, </w:t>
      </w:r>
      <w:proofErr w:type="gramStart"/>
      <w:r w:rsidR="00083CD8">
        <w:t>medium</w:t>
      </w:r>
      <w:proofErr w:type="gramEnd"/>
      <w:r w:rsidR="00083CD8">
        <w:t xml:space="preserve"> or long-term</w:t>
      </w:r>
      <w:r>
        <w:t xml:space="preserve">, the NMA </w:t>
      </w:r>
      <w:r w:rsidR="00245CE2">
        <w:rPr>
          <w:noProof/>
        </w:rPr>
        <w:t>(Brazzelli 2019)</w:t>
      </w:r>
      <w:r>
        <w:t xml:space="preserve"> </w:t>
      </w:r>
      <w:r w:rsidR="00F17AC7">
        <w:t xml:space="preserve">did show a statistically significant difference in </w:t>
      </w:r>
      <w:r w:rsidR="009C7426" w:rsidRPr="00B0485F">
        <w:t xml:space="preserve">favour of </w:t>
      </w:r>
      <w:r w:rsidR="009C7426">
        <w:t xml:space="preserve">RP-MUS </w:t>
      </w:r>
      <w:r w:rsidR="00F17AC7">
        <w:t xml:space="preserve">in both </w:t>
      </w:r>
      <w:r w:rsidR="00083CD8" w:rsidRPr="00B0485F">
        <w:t xml:space="preserve">objective cure </w:t>
      </w:r>
      <w:r w:rsidR="00445438">
        <w:t>and the number of women improved</w:t>
      </w:r>
      <w:r w:rsidR="00083CD8">
        <w:t>.</w:t>
      </w:r>
    </w:p>
    <w:p w14:paraId="2B195F81" w14:textId="7AAE7E90" w:rsidR="00F01B3E" w:rsidRPr="00B0485F" w:rsidRDefault="00F01B3E" w:rsidP="00F01B3E">
      <w:pPr>
        <w:pStyle w:val="Caption"/>
      </w:pPr>
      <w:bookmarkStart w:id="168" w:name="_Ref133501302"/>
      <w:bookmarkStart w:id="169" w:name="_Toc165627902"/>
      <w:r>
        <w:t xml:space="preserve">Table </w:t>
      </w:r>
      <w:fldSimple w:instr=" SEQ Table \* ARABIC ">
        <w:r w:rsidR="007105D3">
          <w:rPr>
            <w:noProof/>
          </w:rPr>
          <w:t>34</w:t>
        </w:r>
      </w:fldSimple>
      <w:bookmarkEnd w:id="168"/>
      <w:r>
        <w:tab/>
        <w:t>Summary of NICE findings for TO-MUS versus RP-MUS</w:t>
      </w:r>
      <w:bookmarkEnd w:id="169"/>
    </w:p>
    <w:tbl>
      <w:tblPr>
        <w:tblStyle w:val="TableGrid"/>
        <w:tblW w:w="5001" w:type="pct"/>
        <w:tblLook w:val="04A0" w:firstRow="1" w:lastRow="0" w:firstColumn="1" w:lastColumn="0" w:noHBand="0" w:noVBand="1"/>
        <w:tblCaption w:val="Summary of NICE findings for TO-MUS versus RP-MUS"/>
        <w:tblDescription w:val="This table shows the number of randomised controlled trials, number of participants, quality of evidence, and statistical significance and clinical importance of the findings for TO-MUS versus RP-MUS, by outcome."/>
      </w:tblPr>
      <w:tblGrid>
        <w:gridCol w:w="1928"/>
        <w:gridCol w:w="2302"/>
        <w:gridCol w:w="1554"/>
        <w:gridCol w:w="1928"/>
        <w:gridCol w:w="1928"/>
      </w:tblGrid>
      <w:tr w:rsidR="009C69FE" w14:paraId="3432DDA3" w14:textId="77777777" w:rsidTr="00B226F7">
        <w:trPr>
          <w:cnfStyle w:val="100000000000" w:firstRow="1" w:lastRow="0" w:firstColumn="0" w:lastColumn="0" w:oddVBand="0" w:evenVBand="0" w:oddHBand="0" w:evenHBand="0" w:firstRowFirstColumn="0" w:firstRowLastColumn="0" w:lastRowFirstColumn="0" w:lastRowLastColumn="0"/>
        </w:trPr>
        <w:tc>
          <w:tcPr>
            <w:tcW w:w="1000" w:type="pct"/>
          </w:tcPr>
          <w:p w14:paraId="0771A0EC" w14:textId="77777777" w:rsidR="00F01B3E" w:rsidRPr="005D71A4" w:rsidRDefault="00F01B3E" w:rsidP="00BB06A3">
            <w:pPr>
              <w:pStyle w:val="011TableHeading8pt"/>
              <w:rPr>
                <w:sz w:val="18"/>
                <w:szCs w:val="18"/>
              </w:rPr>
            </w:pPr>
            <w:r w:rsidRPr="005D71A4">
              <w:rPr>
                <w:sz w:val="18"/>
                <w:szCs w:val="18"/>
              </w:rPr>
              <w:t>Outcome</w:t>
            </w:r>
          </w:p>
        </w:tc>
        <w:tc>
          <w:tcPr>
            <w:tcW w:w="1194" w:type="pct"/>
          </w:tcPr>
          <w:p w14:paraId="2D373508" w14:textId="77777777" w:rsidR="00F01B3E" w:rsidRPr="005D71A4" w:rsidRDefault="00F01B3E" w:rsidP="00BB06A3">
            <w:pPr>
              <w:pStyle w:val="011TableHeading8pt"/>
              <w:rPr>
                <w:sz w:val="18"/>
                <w:szCs w:val="18"/>
              </w:rPr>
            </w:pPr>
            <w:r w:rsidRPr="005D71A4">
              <w:rPr>
                <w:sz w:val="18"/>
                <w:szCs w:val="18"/>
              </w:rPr>
              <w:t>No. of RCTs, No. participants</w:t>
            </w:r>
          </w:p>
        </w:tc>
        <w:tc>
          <w:tcPr>
            <w:tcW w:w="806" w:type="pct"/>
          </w:tcPr>
          <w:p w14:paraId="39FA4FB2" w14:textId="77777777" w:rsidR="00F01B3E" w:rsidRPr="005D71A4" w:rsidRDefault="00F01B3E" w:rsidP="00BB06A3">
            <w:pPr>
              <w:pStyle w:val="011TableHeading8pt"/>
              <w:rPr>
                <w:sz w:val="18"/>
                <w:szCs w:val="18"/>
              </w:rPr>
            </w:pPr>
            <w:r w:rsidRPr="005D71A4">
              <w:rPr>
                <w:sz w:val="18"/>
                <w:szCs w:val="18"/>
              </w:rPr>
              <w:t>Quality of evidence</w:t>
            </w:r>
          </w:p>
        </w:tc>
        <w:tc>
          <w:tcPr>
            <w:tcW w:w="1000" w:type="pct"/>
          </w:tcPr>
          <w:p w14:paraId="52D026B2" w14:textId="77777777" w:rsidR="00F01B3E" w:rsidRPr="005D71A4" w:rsidRDefault="00F01B3E" w:rsidP="00BB06A3">
            <w:pPr>
              <w:pStyle w:val="011TableHeading8pt"/>
              <w:rPr>
                <w:sz w:val="18"/>
                <w:szCs w:val="18"/>
              </w:rPr>
            </w:pPr>
            <w:r w:rsidRPr="005D71A4">
              <w:rPr>
                <w:sz w:val="18"/>
                <w:szCs w:val="18"/>
              </w:rPr>
              <w:t>Statistical significance</w:t>
            </w:r>
          </w:p>
        </w:tc>
        <w:tc>
          <w:tcPr>
            <w:tcW w:w="1000" w:type="pct"/>
          </w:tcPr>
          <w:p w14:paraId="16695C00" w14:textId="50DCDC57" w:rsidR="00F01B3E" w:rsidRPr="00083412" w:rsidRDefault="00F01B3E" w:rsidP="00BB06A3">
            <w:pPr>
              <w:pStyle w:val="011TableHeading8pt"/>
              <w:rPr>
                <w:sz w:val="18"/>
                <w:szCs w:val="18"/>
                <w:vertAlign w:val="superscript"/>
              </w:rPr>
            </w:pPr>
            <w:r w:rsidRPr="005D71A4">
              <w:rPr>
                <w:sz w:val="18"/>
                <w:szCs w:val="18"/>
              </w:rPr>
              <w:t>Clinical importance</w:t>
            </w:r>
            <w:r w:rsidR="006424C7">
              <w:rPr>
                <w:sz w:val="18"/>
                <w:szCs w:val="18"/>
                <w:vertAlign w:val="superscript"/>
              </w:rPr>
              <w:t>1</w:t>
            </w:r>
          </w:p>
        </w:tc>
      </w:tr>
      <w:tr w:rsidR="00B46F88" w14:paraId="3BFCACEE" w14:textId="77777777" w:rsidTr="00B226F7">
        <w:tc>
          <w:tcPr>
            <w:tcW w:w="1000" w:type="pct"/>
            <w:tcBorders>
              <w:bottom w:val="nil"/>
            </w:tcBorders>
            <w:shd w:val="clear" w:color="auto" w:fill="E7E6E6" w:themeFill="background2"/>
          </w:tcPr>
          <w:p w14:paraId="68E049CB" w14:textId="77777777" w:rsidR="00B46F88" w:rsidRPr="005D71A4" w:rsidRDefault="00B46F88" w:rsidP="00BB06A3">
            <w:pPr>
              <w:pStyle w:val="051Tabletext228pt"/>
              <w:rPr>
                <w:b/>
                <w:bCs/>
                <w:sz w:val="18"/>
                <w:szCs w:val="18"/>
                <w:highlight w:val="yellow"/>
              </w:rPr>
            </w:pPr>
            <w:r w:rsidRPr="005D71A4">
              <w:rPr>
                <w:b/>
                <w:bCs/>
                <w:sz w:val="18"/>
                <w:szCs w:val="18"/>
              </w:rPr>
              <w:t>Change in continence status</w:t>
            </w:r>
          </w:p>
        </w:tc>
        <w:tc>
          <w:tcPr>
            <w:tcW w:w="1194" w:type="pct"/>
            <w:tcBorders>
              <w:bottom w:val="nil"/>
            </w:tcBorders>
            <w:shd w:val="clear" w:color="auto" w:fill="E7E6E6" w:themeFill="background2"/>
          </w:tcPr>
          <w:p w14:paraId="7F7BE34F" w14:textId="77777777" w:rsidR="00B46F88" w:rsidRPr="005D71A4" w:rsidRDefault="00B46F88" w:rsidP="00BB06A3">
            <w:pPr>
              <w:pStyle w:val="051Tabletext228pt"/>
              <w:rPr>
                <w:sz w:val="18"/>
                <w:szCs w:val="18"/>
              </w:rPr>
            </w:pPr>
          </w:p>
        </w:tc>
        <w:tc>
          <w:tcPr>
            <w:tcW w:w="806" w:type="pct"/>
            <w:tcBorders>
              <w:bottom w:val="nil"/>
            </w:tcBorders>
            <w:shd w:val="clear" w:color="auto" w:fill="E7E6E6" w:themeFill="background2"/>
          </w:tcPr>
          <w:p w14:paraId="4ECC437C" w14:textId="77777777" w:rsidR="00B46F88" w:rsidRPr="005D71A4" w:rsidRDefault="00B46F88" w:rsidP="00BB06A3">
            <w:pPr>
              <w:pStyle w:val="051Tabletext228pt"/>
              <w:rPr>
                <w:sz w:val="18"/>
                <w:szCs w:val="18"/>
              </w:rPr>
            </w:pPr>
          </w:p>
        </w:tc>
        <w:tc>
          <w:tcPr>
            <w:tcW w:w="1000" w:type="pct"/>
            <w:tcBorders>
              <w:bottom w:val="nil"/>
            </w:tcBorders>
            <w:shd w:val="clear" w:color="auto" w:fill="E7E6E6" w:themeFill="background2"/>
          </w:tcPr>
          <w:p w14:paraId="0D45DA92" w14:textId="77777777" w:rsidR="00B46F88" w:rsidRPr="005D71A4" w:rsidRDefault="00B46F88" w:rsidP="00BB06A3">
            <w:pPr>
              <w:pStyle w:val="051Tabletext228pt"/>
              <w:rPr>
                <w:sz w:val="18"/>
                <w:szCs w:val="18"/>
              </w:rPr>
            </w:pPr>
          </w:p>
        </w:tc>
        <w:tc>
          <w:tcPr>
            <w:tcW w:w="1000" w:type="pct"/>
            <w:tcBorders>
              <w:bottom w:val="nil"/>
            </w:tcBorders>
            <w:shd w:val="clear" w:color="auto" w:fill="E7E6E6" w:themeFill="background2"/>
          </w:tcPr>
          <w:p w14:paraId="4BDEC371" w14:textId="77777777" w:rsidR="00B46F88" w:rsidRPr="005D71A4" w:rsidRDefault="00B46F88" w:rsidP="00BB06A3">
            <w:pPr>
              <w:pStyle w:val="051Tabletext228pt"/>
              <w:rPr>
                <w:sz w:val="18"/>
                <w:szCs w:val="18"/>
              </w:rPr>
            </w:pPr>
          </w:p>
        </w:tc>
      </w:tr>
      <w:tr w:rsidR="00B46F88" w14:paraId="32F68063" w14:textId="77777777" w:rsidTr="00B226F7">
        <w:tc>
          <w:tcPr>
            <w:tcW w:w="1000" w:type="pct"/>
            <w:tcBorders>
              <w:top w:val="nil"/>
              <w:bottom w:val="nil"/>
            </w:tcBorders>
          </w:tcPr>
          <w:p w14:paraId="6782E8FF" w14:textId="77777777" w:rsidR="00B46F88" w:rsidRPr="005D71A4" w:rsidRDefault="00B46F88" w:rsidP="00BB06A3">
            <w:pPr>
              <w:pStyle w:val="051Tabletext228pt"/>
              <w:rPr>
                <w:sz w:val="18"/>
                <w:szCs w:val="18"/>
              </w:rPr>
            </w:pPr>
            <w:r w:rsidRPr="005D71A4">
              <w:rPr>
                <w:sz w:val="18"/>
                <w:szCs w:val="18"/>
              </w:rPr>
              <w:t xml:space="preserve">Subject cure </w:t>
            </w:r>
          </w:p>
        </w:tc>
        <w:tc>
          <w:tcPr>
            <w:tcW w:w="1194" w:type="pct"/>
            <w:tcBorders>
              <w:top w:val="nil"/>
              <w:bottom w:val="nil"/>
            </w:tcBorders>
            <w:shd w:val="clear" w:color="auto" w:fill="auto"/>
          </w:tcPr>
          <w:p w14:paraId="243163DE" w14:textId="77777777" w:rsidR="00B46F88" w:rsidRPr="005D71A4" w:rsidRDefault="00B46F88" w:rsidP="00BB06A3">
            <w:pPr>
              <w:pStyle w:val="051Tabletext228pt"/>
              <w:rPr>
                <w:sz w:val="18"/>
                <w:szCs w:val="18"/>
              </w:rPr>
            </w:pPr>
            <w:r w:rsidRPr="005D71A4">
              <w:rPr>
                <w:sz w:val="18"/>
                <w:szCs w:val="18"/>
              </w:rPr>
              <w:t>15, N=2,638 (S); 6, N=1,340 (M)</w:t>
            </w:r>
          </w:p>
        </w:tc>
        <w:tc>
          <w:tcPr>
            <w:tcW w:w="806" w:type="pct"/>
            <w:tcBorders>
              <w:top w:val="nil"/>
              <w:bottom w:val="nil"/>
            </w:tcBorders>
            <w:shd w:val="clear" w:color="auto" w:fill="FFE599" w:themeFill="accent4" w:themeFillTint="66"/>
          </w:tcPr>
          <w:p w14:paraId="15D0FE56" w14:textId="77777777" w:rsidR="00B46F88" w:rsidRPr="005D71A4" w:rsidRDefault="00B46F88" w:rsidP="00BB06A3">
            <w:pPr>
              <w:pStyle w:val="051Tabletext228pt"/>
              <w:rPr>
                <w:sz w:val="18"/>
                <w:szCs w:val="18"/>
              </w:rPr>
            </w:pPr>
            <w:r w:rsidRPr="005D71A4">
              <w:rPr>
                <w:sz w:val="18"/>
                <w:szCs w:val="18"/>
              </w:rPr>
              <w:t>Low</w:t>
            </w:r>
          </w:p>
        </w:tc>
        <w:tc>
          <w:tcPr>
            <w:tcW w:w="1000" w:type="pct"/>
            <w:tcBorders>
              <w:top w:val="nil"/>
              <w:bottom w:val="nil"/>
            </w:tcBorders>
            <w:shd w:val="clear" w:color="auto" w:fill="auto"/>
          </w:tcPr>
          <w:p w14:paraId="0DB9F60C" w14:textId="77777777" w:rsidR="00B46F88" w:rsidRPr="005D71A4" w:rsidRDefault="00B46F88" w:rsidP="00BB06A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3220E4CE" w14:textId="77777777" w:rsidR="00B46F88" w:rsidRPr="005D71A4" w:rsidRDefault="00B46F88" w:rsidP="00BB06A3">
            <w:pPr>
              <w:pStyle w:val="051Tabletext228pt"/>
              <w:rPr>
                <w:sz w:val="18"/>
                <w:szCs w:val="18"/>
              </w:rPr>
            </w:pPr>
            <w:r w:rsidRPr="005D71A4">
              <w:rPr>
                <w:sz w:val="18"/>
                <w:szCs w:val="18"/>
              </w:rPr>
              <w:t>No difference (S, M)</w:t>
            </w:r>
          </w:p>
        </w:tc>
      </w:tr>
      <w:tr w:rsidR="00B46F88" w14:paraId="10C93BD0" w14:textId="77777777" w:rsidTr="00B226F7">
        <w:tc>
          <w:tcPr>
            <w:tcW w:w="1000" w:type="pct"/>
            <w:tcBorders>
              <w:top w:val="nil"/>
              <w:bottom w:val="nil"/>
            </w:tcBorders>
          </w:tcPr>
          <w:p w14:paraId="35A82FBB" w14:textId="77777777" w:rsidR="00B46F88" w:rsidRPr="005D71A4" w:rsidRDefault="00B46F88" w:rsidP="00BB06A3">
            <w:pPr>
              <w:pStyle w:val="051Tabletext228pt"/>
              <w:rPr>
                <w:sz w:val="18"/>
                <w:szCs w:val="18"/>
              </w:rPr>
            </w:pPr>
          </w:p>
        </w:tc>
        <w:tc>
          <w:tcPr>
            <w:tcW w:w="1194" w:type="pct"/>
            <w:tcBorders>
              <w:top w:val="nil"/>
              <w:bottom w:val="nil"/>
            </w:tcBorders>
            <w:shd w:val="clear" w:color="auto" w:fill="auto"/>
          </w:tcPr>
          <w:p w14:paraId="103BE3A4" w14:textId="77777777" w:rsidR="00B46F88" w:rsidRPr="005D71A4" w:rsidRDefault="00B46F88" w:rsidP="00BB06A3">
            <w:pPr>
              <w:pStyle w:val="051Tabletext228pt"/>
              <w:rPr>
                <w:sz w:val="18"/>
                <w:szCs w:val="18"/>
              </w:rPr>
            </w:pPr>
            <w:r w:rsidRPr="005D71A4">
              <w:rPr>
                <w:sz w:val="18"/>
                <w:szCs w:val="18"/>
              </w:rPr>
              <w:t>2, N=288 (L)</w:t>
            </w:r>
          </w:p>
        </w:tc>
        <w:tc>
          <w:tcPr>
            <w:tcW w:w="806" w:type="pct"/>
            <w:tcBorders>
              <w:top w:val="nil"/>
              <w:bottom w:val="nil"/>
            </w:tcBorders>
            <w:shd w:val="clear" w:color="auto" w:fill="F4B083" w:themeFill="accent2" w:themeFillTint="99"/>
          </w:tcPr>
          <w:p w14:paraId="6498C1B9" w14:textId="77777777" w:rsidR="00B46F88" w:rsidRPr="005D71A4" w:rsidRDefault="00B46F88"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534CCA6C" w14:textId="77777777" w:rsidR="00B46F88" w:rsidRPr="005D71A4" w:rsidRDefault="00B46F88" w:rsidP="00BB06A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43FE6082" w14:textId="77777777" w:rsidR="00B46F88" w:rsidRPr="005D71A4" w:rsidRDefault="00B46F88" w:rsidP="00BB06A3">
            <w:pPr>
              <w:pStyle w:val="051Tabletext228pt"/>
              <w:rPr>
                <w:sz w:val="18"/>
                <w:szCs w:val="18"/>
              </w:rPr>
            </w:pPr>
            <w:r w:rsidRPr="005D71A4">
              <w:rPr>
                <w:sz w:val="18"/>
                <w:szCs w:val="18"/>
              </w:rPr>
              <w:t>No difference (L)</w:t>
            </w:r>
          </w:p>
        </w:tc>
      </w:tr>
      <w:tr w:rsidR="00B46F88" w14:paraId="2DB794CF" w14:textId="77777777" w:rsidTr="00B226F7">
        <w:tc>
          <w:tcPr>
            <w:tcW w:w="1000" w:type="pct"/>
            <w:tcBorders>
              <w:top w:val="nil"/>
              <w:bottom w:val="nil"/>
            </w:tcBorders>
          </w:tcPr>
          <w:p w14:paraId="13085336" w14:textId="77777777" w:rsidR="00B46F88" w:rsidRPr="005D71A4" w:rsidRDefault="00B46F88" w:rsidP="00BB06A3">
            <w:pPr>
              <w:pStyle w:val="051Tabletext228pt"/>
              <w:rPr>
                <w:sz w:val="18"/>
                <w:szCs w:val="18"/>
              </w:rPr>
            </w:pPr>
            <w:r w:rsidRPr="005D71A4">
              <w:rPr>
                <w:sz w:val="18"/>
                <w:szCs w:val="18"/>
              </w:rPr>
              <w:t>Objective cure</w:t>
            </w:r>
          </w:p>
        </w:tc>
        <w:tc>
          <w:tcPr>
            <w:tcW w:w="1194" w:type="pct"/>
            <w:tcBorders>
              <w:top w:val="nil"/>
              <w:bottom w:val="nil"/>
            </w:tcBorders>
            <w:shd w:val="clear" w:color="auto" w:fill="auto"/>
          </w:tcPr>
          <w:p w14:paraId="416CFE62" w14:textId="77777777" w:rsidR="00B46F88" w:rsidRPr="005D71A4" w:rsidRDefault="00B46F88" w:rsidP="00BB06A3">
            <w:pPr>
              <w:pStyle w:val="051Tabletext228pt"/>
              <w:rPr>
                <w:sz w:val="18"/>
                <w:szCs w:val="18"/>
              </w:rPr>
            </w:pPr>
            <w:r w:rsidRPr="005D71A4">
              <w:rPr>
                <w:sz w:val="18"/>
                <w:szCs w:val="18"/>
              </w:rPr>
              <w:t>15, N=2,176 (S)</w:t>
            </w:r>
          </w:p>
        </w:tc>
        <w:tc>
          <w:tcPr>
            <w:tcW w:w="806" w:type="pct"/>
            <w:tcBorders>
              <w:top w:val="nil"/>
              <w:bottom w:val="nil"/>
            </w:tcBorders>
            <w:shd w:val="clear" w:color="auto" w:fill="FFE599" w:themeFill="accent4" w:themeFillTint="66"/>
          </w:tcPr>
          <w:p w14:paraId="0D67BF2F" w14:textId="77777777" w:rsidR="00B46F88" w:rsidRPr="005D71A4" w:rsidRDefault="00B46F88" w:rsidP="00BB06A3">
            <w:pPr>
              <w:pStyle w:val="051Tabletext228pt"/>
              <w:rPr>
                <w:sz w:val="18"/>
                <w:szCs w:val="18"/>
              </w:rPr>
            </w:pPr>
            <w:r w:rsidRPr="005D71A4">
              <w:rPr>
                <w:sz w:val="18"/>
                <w:szCs w:val="18"/>
              </w:rPr>
              <w:t>Low</w:t>
            </w:r>
          </w:p>
        </w:tc>
        <w:tc>
          <w:tcPr>
            <w:tcW w:w="1000" w:type="pct"/>
            <w:tcBorders>
              <w:top w:val="nil"/>
              <w:bottom w:val="nil"/>
            </w:tcBorders>
            <w:shd w:val="clear" w:color="auto" w:fill="E5DDEB"/>
          </w:tcPr>
          <w:p w14:paraId="601E2FC9" w14:textId="77777777" w:rsidR="00B46F88" w:rsidRPr="005D71A4" w:rsidRDefault="00B46F88" w:rsidP="00BB06A3">
            <w:pPr>
              <w:pStyle w:val="051Tabletext228pt"/>
              <w:rPr>
                <w:sz w:val="18"/>
                <w:szCs w:val="18"/>
              </w:rPr>
            </w:pPr>
            <w:r w:rsidRPr="005D71A4">
              <w:rPr>
                <w:sz w:val="18"/>
                <w:szCs w:val="18"/>
              </w:rPr>
              <w:t>Favours RP-MUS (S)</w:t>
            </w:r>
          </w:p>
        </w:tc>
        <w:tc>
          <w:tcPr>
            <w:tcW w:w="1000" w:type="pct"/>
            <w:tcBorders>
              <w:top w:val="nil"/>
              <w:bottom w:val="nil"/>
            </w:tcBorders>
            <w:shd w:val="clear" w:color="auto" w:fill="auto"/>
          </w:tcPr>
          <w:p w14:paraId="011C1754" w14:textId="77777777" w:rsidR="00B46F88" w:rsidRPr="005D71A4" w:rsidRDefault="00B46F88" w:rsidP="00BB06A3">
            <w:pPr>
              <w:pStyle w:val="051Tabletext228pt"/>
              <w:rPr>
                <w:sz w:val="18"/>
                <w:szCs w:val="18"/>
              </w:rPr>
            </w:pPr>
            <w:r w:rsidRPr="005D71A4">
              <w:rPr>
                <w:sz w:val="18"/>
                <w:szCs w:val="18"/>
              </w:rPr>
              <w:t>No difference (S)</w:t>
            </w:r>
          </w:p>
        </w:tc>
      </w:tr>
      <w:tr w:rsidR="00B46F88" w14:paraId="5DA7FF22" w14:textId="77777777" w:rsidTr="00B226F7">
        <w:tc>
          <w:tcPr>
            <w:tcW w:w="1000" w:type="pct"/>
            <w:tcBorders>
              <w:top w:val="nil"/>
              <w:bottom w:val="nil"/>
            </w:tcBorders>
          </w:tcPr>
          <w:p w14:paraId="76D491E1" w14:textId="77777777" w:rsidR="00B46F88" w:rsidRPr="005D71A4" w:rsidRDefault="00B46F88" w:rsidP="00BB06A3">
            <w:pPr>
              <w:pStyle w:val="051Tabletext228pt"/>
              <w:rPr>
                <w:sz w:val="18"/>
                <w:szCs w:val="18"/>
              </w:rPr>
            </w:pPr>
          </w:p>
        </w:tc>
        <w:tc>
          <w:tcPr>
            <w:tcW w:w="1194" w:type="pct"/>
            <w:tcBorders>
              <w:top w:val="nil"/>
              <w:bottom w:val="nil"/>
            </w:tcBorders>
            <w:shd w:val="clear" w:color="auto" w:fill="auto"/>
          </w:tcPr>
          <w:p w14:paraId="53ED516C" w14:textId="77777777" w:rsidR="00B46F88" w:rsidRPr="005D71A4" w:rsidRDefault="00B46F88" w:rsidP="00BB06A3">
            <w:pPr>
              <w:pStyle w:val="051Tabletext228pt"/>
              <w:rPr>
                <w:sz w:val="18"/>
                <w:szCs w:val="18"/>
              </w:rPr>
            </w:pPr>
            <w:r w:rsidRPr="005D71A4">
              <w:rPr>
                <w:sz w:val="18"/>
                <w:szCs w:val="18"/>
              </w:rPr>
              <w:t>10, N=2,057 (M)</w:t>
            </w:r>
          </w:p>
        </w:tc>
        <w:tc>
          <w:tcPr>
            <w:tcW w:w="806" w:type="pct"/>
            <w:tcBorders>
              <w:top w:val="nil"/>
              <w:bottom w:val="nil"/>
            </w:tcBorders>
            <w:shd w:val="clear" w:color="auto" w:fill="FFE599" w:themeFill="accent4" w:themeFillTint="66"/>
          </w:tcPr>
          <w:p w14:paraId="52597506" w14:textId="77777777" w:rsidR="00B46F88" w:rsidRPr="005D71A4" w:rsidRDefault="00B46F88" w:rsidP="00BB06A3">
            <w:pPr>
              <w:pStyle w:val="051Tabletext228pt"/>
              <w:rPr>
                <w:sz w:val="18"/>
                <w:szCs w:val="18"/>
              </w:rPr>
            </w:pPr>
            <w:r w:rsidRPr="005D71A4">
              <w:rPr>
                <w:sz w:val="18"/>
                <w:szCs w:val="18"/>
              </w:rPr>
              <w:t>Low</w:t>
            </w:r>
          </w:p>
        </w:tc>
        <w:tc>
          <w:tcPr>
            <w:tcW w:w="1000" w:type="pct"/>
            <w:tcBorders>
              <w:top w:val="nil"/>
              <w:bottom w:val="nil"/>
            </w:tcBorders>
            <w:shd w:val="clear" w:color="auto" w:fill="auto"/>
          </w:tcPr>
          <w:p w14:paraId="4CEB4A62" w14:textId="77777777" w:rsidR="00B46F88" w:rsidRPr="005D71A4" w:rsidRDefault="00B46F88" w:rsidP="00BB06A3">
            <w:pPr>
              <w:pStyle w:val="051Tabletext228pt"/>
              <w:rPr>
                <w:sz w:val="18"/>
                <w:szCs w:val="18"/>
              </w:rPr>
            </w:pPr>
            <w:r w:rsidRPr="005D71A4">
              <w:rPr>
                <w:sz w:val="18"/>
                <w:szCs w:val="18"/>
              </w:rPr>
              <w:t>No difference (M)</w:t>
            </w:r>
          </w:p>
        </w:tc>
        <w:tc>
          <w:tcPr>
            <w:tcW w:w="1000" w:type="pct"/>
            <w:tcBorders>
              <w:top w:val="nil"/>
              <w:bottom w:val="nil"/>
            </w:tcBorders>
            <w:shd w:val="clear" w:color="auto" w:fill="auto"/>
          </w:tcPr>
          <w:p w14:paraId="79917E52" w14:textId="77777777" w:rsidR="00B46F88" w:rsidRPr="005D71A4" w:rsidRDefault="00B46F88" w:rsidP="00BB06A3">
            <w:pPr>
              <w:pStyle w:val="051Tabletext228pt"/>
              <w:rPr>
                <w:sz w:val="18"/>
                <w:szCs w:val="18"/>
              </w:rPr>
            </w:pPr>
            <w:r w:rsidRPr="005D71A4">
              <w:rPr>
                <w:sz w:val="18"/>
                <w:szCs w:val="18"/>
              </w:rPr>
              <w:t>No difference (M)</w:t>
            </w:r>
          </w:p>
        </w:tc>
      </w:tr>
      <w:tr w:rsidR="00B46F88" w14:paraId="67070500" w14:textId="77777777" w:rsidTr="00B226F7">
        <w:tc>
          <w:tcPr>
            <w:tcW w:w="1000" w:type="pct"/>
            <w:tcBorders>
              <w:top w:val="nil"/>
              <w:bottom w:val="nil"/>
            </w:tcBorders>
          </w:tcPr>
          <w:p w14:paraId="10F39232" w14:textId="77777777" w:rsidR="00B46F88" w:rsidRPr="005D71A4" w:rsidRDefault="00B46F88" w:rsidP="00BB06A3">
            <w:pPr>
              <w:pStyle w:val="051Tabletext228pt"/>
              <w:rPr>
                <w:sz w:val="18"/>
                <w:szCs w:val="18"/>
              </w:rPr>
            </w:pPr>
          </w:p>
        </w:tc>
        <w:tc>
          <w:tcPr>
            <w:tcW w:w="1194" w:type="pct"/>
            <w:tcBorders>
              <w:top w:val="nil"/>
              <w:bottom w:val="nil"/>
            </w:tcBorders>
            <w:shd w:val="clear" w:color="auto" w:fill="auto"/>
          </w:tcPr>
          <w:p w14:paraId="6B3C4FA5" w14:textId="77777777" w:rsidR="00B46F88" w:rsidRPr="005D71A4" w:rsidRDefault="00B46F88" w:rsidP="00BB06A3">
            <w:pPr>
              <w:pStyle w:val="051Tabletext228pt"/>
              <w:rPr>
                <w:sz w:val="18"/>
                <w:szCs w:val="18"/>
              </w:rPr>
            </w:pPr>
            <w:r w:rsidRPr="005D71A4">
              <w:rPr>
                <w:sz w:val="18"/>
                <w:szCs w:val="18"/>
              </w:rPr>
              <w:t>2, N=288 (L)</w:t>
            </w:r>
          </w:p>
        </w:tc>
        <w:tc>
          <w:tcPr>
            <w:tcW w:w="806" w:type="pct"/>
            <w:tcBorders>
              <w:top w:val="nil"/>
              <w:bottom w:val="nil"/>
            </w:tcBorders>
            <w:shd w:val="clear" w:color="auto" w:fill="F4B083" w:themeFill="accent2" w:themeFillTint="99"/>
          </w:tcPr>
          <w:p w14:paraId="03C851B9" w14:textId="77777777" w:rsidR="00B46F88" w:rsidRPr="005D71A4" w:rsidRDefault="00B46F88"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36F3E586" w14:textId="77777777" w:rsidR="00B46F88" w:rsidRPr="005D71A4" w:rsidRDefault="00B46F88" w:rsidP="00BB06A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45B90BD0" w14:textId="77777777" w:rsidR="00B46F88" w:rsidRPr="005D71A4" w:rsidRDefault="00B46F88" w:rsidP="00BB06A3">
            <w:pPr>
              <w:pStyle w:val="051Tabletext228pt"/>
              <w:rPr>
                <w:sz w:val="18"/>
                <w:szCs w:val="18"/>
              </w:rPr>
            </w:pPr>
            <w:r w:rsidRPr="005D71A4">
              <w:rPr>
                <w:sz w:val="18"/>
                <w:szCs w:val="18"/>
              </w:rPr>
              <w:t>No difference (L)</w:t>
            </w:r>
          </w:p>
        </w:tc>
      </w:tr>
      <w:tr w:rsidR="00B46F88" w14:paraId="253F278B" w14:textId="77777777" w:rsidTr="00B226F7">
        <w:tc>
          <w:tcPr>
            <w:tcW w:w="1000" w:type="pct"/>
            <w:tcBorders>
              <w:top w:val="nil"/>
              <w:bottom w:val="nil"/>
            </w:tcBorders>
          </w:tcPr>
          <w:p w14:paraId="1357B40F" w14:textId="77777777" w:rsidR="00B46F88" w:rsidRPr="005D71A4" w:rsidRDefault="00B46F88" w:rsidP="00BB06A3">
            <w:pPr>
              <w:pStyle w:val="051Tabletext228pt"/>
              <w:rPr>
                <w:sz w:val="18"/>
                <w:szCs w:val="18"/>
              </w:rPr>
            </w:pPr>
            <w:r w:rsidRPr="005D71A4">
              <w:rPr>
                <w:sz w:val="18"/>
                <w:szCs w:val="18"/>
              </w:rPr>
              <w:t>Negative cough stress test</w:t>
            </w:r>
          </w:p>
        </w:tc>
        <w:tc>
          <w:tcPr>
            <w:tcW w:w="1194" w:type="pct"/>
            <w:tcBorders>
              <w:top w:val="nil"/>
              <w:bottom w:val="nil"/>
            </w:tcBorders>
            <w:shd w:val="clear" w:color="auto" w:fill="auto"/>
          </w:tcPr>
          <w:p w14:paraId="26A35BDF" w14:textId="77777777" w:rsidR="00B46F88" w:rsidRPr="005D71A4" w:rsidRDefault="00B46F88" w:rsidP="00BB06A3">
            <w:pPr>
              <w:pStyle w:val="051Tabletext228pt"/>
              <w:rPr>
                <w:sz w:val="18"/>
                <w:szCs w:val="18"/>
              </w:rPr>
            </w:pPr>
            <w:r w:rsidRPr="005D71A4">
              <w:rPr>
                <w:sz w:val="18"/>
                <w:szCs w:val="18"/>
              </w:rPr>
              <w:t>9, N=2,292 (S); 5, N=1,352 (M)</w:t>
            </w:r>
          </w:p>
        </w:tc>
        <w:tc>
          <w:tcPr>
            <w:tcW w:w="806" w:type="pct"/>
            <w:tcBorders>
              <w:top w:val="nil"/>
              <w:bottom w:val="nil"/>
            </w:tcBorders>
            <w:shd w:val="clear" w:color="auto" w:fill="FFE599" w:themeFill="accent4" w:themeFillTint="66"/>
          </w:tcPr>
          <w:p w14:paraId="64084B3B" w14:textId="77777777" w:rsidR="00B46F88" w:rsidRPr="005D71A4" w:rsidRDefault="00B46F88" w:rsidP="00BB06A3">
            <w:pPr>
              <w:pStyle w:val="051Tabletext228pt"/>
              <w:rPr>
                <w:sz w:val="18"/>
                <w:szCs w:val="18"/>
              </w:rPr>
            </w:pPr>
            <w:r w:rsidRPr="005D71A4">
              <w:rPr>
                <w:sz w:val="18"/>
                <w:szCs w:val="18"/>
              </w:rPr>
              <w:t>Low</w:t>
            </w:r>
          </w:p>
        </w:tc>
        <w:tc>
          <w:tcPr>
            <w:tcW w:w="1000" w:type="pct"/>
            <w:tcBorders>
              <w:top w:val="nil"/>
              <w:bottom w:val="nil"/>
            </w:tcBorders>
            <w:shd w:val="clear" w:color="auto" w:fill="auto"/>
          </w:tcPr>
          <w:p w14:paraId="2D3B12BE" w14:textId="77777777" w:rsidR="00B46F88" w:rsidRPr="005D71A4" w:rsidRDefault="00B46F88" w:rsidP="00BB06A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4E4AC39C" w14:textId="77777777" w:rsidR="00B46F88" w:rsidRPr="005D71A4" w:rsidRDefault="00B46F88" w:rsidP="00BB06A3">
            <w:pPr>
              <w:pStyle w:val="051Tabletext228pt"/>
              <w:rPr>
                <w:sz w:val="18"/>
                <w:szCs w:val="18"/>
              </w:rPr>
            </w:pPr>
            <w:r w:rsidRPr="005D71A4">
              <w:rPr>
                <w:sz w:val="18"/>
                <w:szCs w:val="18"/>
              </w:rPr>
              <w:t>No difference (S, M)</w:t>
            </w:r>
          </w:p>
        </w:tc>
      </w:tr>
      <w:tr w:rsidR="00B46F88" w14:paraId="228AD7E2" w14:textId="77777777" w:rsidTr="00B226F7">
        <w:tc>
          <w:tcPr>
            <w:tcW w:w="1000" w:type="pct"/>
            <w:tcBorders>
              <w:top w:val="nil"/>
              <w:bottom w:val="single" w:sz="4" w:space="0" w:color="auto"/>
            </w:tcBorders>
          </w:tcPr>
          <w:p w14:paraId="02DCBA3E" w14:textId="77777777" w:rsidR="00B46F88" w:rsidRPr="005D71A4" w:rsidRDefault="00B46F88" w:rsidP="00BB06A3">
            <w:pPr>
              <w:pStyle w:val="051Tabletext228pt"/>
              <w:rPr>
                <w:sz w:val="18"/>
                <w:szCs w:val="18"/>
              </w:rPr>
            </w:pPr>
            <w:r w:rsidRPr="005D71A4">
              <w:rPr>
                <w:sz w:val="18"/>
                <w:szCs w:val="18"/>
              </w:rPr>
              <w:t>Number of incontinence episodes per day</w:t>
            </w:r>
          </w:p>
        </w:tc>
        <w:tc>
          <w:tcPr>
            <w:tcW w:w="1194" w:type="pct"/>
            <w:tcBorders>
              <w:top w:val="nil"/>
              <w:bottom w:val="single" w:sz="4" w:space="0" w:color="auto"/>
            </w:tcBorders>
            <w:shd w:val="clear" w:color="auto" w:fill="auto"/>
          </w:tcPr>
          <w:p w14:paraId="68E19F95" w14:textId="77777777" w:rsidR="00B46F88" w:rsidRPr="005D71A4" w:rsidRDefault="00B46F88" w:rsidP="00BB06A3">
            <w:pPr>
              <w:pStyle w:val="051Tabletext228pt"/>
              <w:rPr>
                <w:sz w:val="18"/>
                <w:szCs w:val="18"/>
              </w:rPr>
            </w:pPr>
            <w:r w:rsidRPr="005D71A4">
              <w:rPr>
                <w:sz w:val="18"/>
                <w:szCs w:val="18"/>
              </w:rPr>
              <w:t>1, N=36 (M)</w:t>
            </w:r>
          </w:p>
        </w:tc>
        <w:tc>
          <w:tcPr>
            <w:tcW w:w="806" w:type="pct"/>
            <w:tcBorders>
              <w:top w:val="nil"/>
              <w:bottom w:val="single" w:sz="4" w:space="0" w:color="auto"/>
            </w:tcBorders>
            <w:shd w:val="clear" w:color="auto" w:fill="FFE599" w:themeFill="accent4" w:themeFillTint="66"/>
          </w:tcPr>
          <w:p w14:paraId="32B406C7" w14:textId="77777777" w:rsidR="00B46F88" w:rsidRPr="005D71A4" w:rsidRDefault="00B46F88" w:rsidP="00BB06A3">
            <w:pPr>
              <w:pStyle w:val="051Tabletext228pt"/>
              <w:rPr>
                <w:sz w:val="18"/>
                <w:szCs w:val="18"/>
              </w:rPr>
            </w:pPr>
            <w:r w:rsidRPr="005D71A4">
              <w:rPr>
                <w:sz w:val="18"/>
                <w:szCs w:val="18"/>
              </w:rPr>
              <w:t>Low</w:t>
            </w:r>
          </w:p>
        </w:tc>
        <w:tc>
          <w:tcPr>
            <w:tcW w:w="1000" w:type="pct"/>
            <w:tcBorders>
              <w:top w:val="nil"/>
              <w:bottom w:val="single" w:sz="4" w:space="0" w:color="auto"/>
            </w:tcBorders>
            <w:shd w:val="clear" w:color="auto" w:fill="auto"/>
          </w:tcPr>
          <w:p w14:paraId="3F74BD23" w14:textId="77777777" w:rsidR="00B46F88" w:rsidRPr="005D71A4" w:rsidRDefault="00B46F88" w:rsidP="00BB06A3">
            <w:pPr>
              <w:pStyle w:val="051Tabletext228pt"/>
              <w:rPr>
                <w:sz w:val="18"/>
                <w:szCs w:val="18"/>
              </w:rPr>
            </w:pPr>
            <w:r w:rsidRPr="005D71A4">
              <w:rPr>
                <w:sz w:val="18"/>
                <w:szCs w:val="18"/>
              </w:rPr>
              <w:t>No difference (M)</w:t>
            </w:r>
          </w:p>
        </w:tc>
        <w:tc>
          <w:tcPr>
            <w:tcW w:w="1000" w:type="pct"/>
            <w:tcBorders>
              <w:top w:val="nil"/>
              <w:bottom w:val="single" w:sz="4" w:space="0" w:color="auto"/>
            </w:tcBorders>
            <w:shd w:val="clear" w:color="auto" w:fill="auto"/>
          </w:tcPr>
          <w:p w14:paraId="7C88AE12" w14:textId="77777777" w:rsidR="00B46F88" w:rsidRPr="005D71A4" w:rsidRDefault="00B46F88" w:rsidP="00BB06A3">
            <w:pPr>
              <w:pStyle w:val="051Tabletext228pt"/>
              <w:rPr>
                <w:sz w:val="18"/>
                <w:szCs w:val="18"/>
              </w:rPr>
            </w:pPr>
            <w:r w:rsidRPr="005D71A4">
              <w:rPr>
                <w:sz w:val="18"/>
                <w:szCs w:val="18"/>
              </w:rPr>
              <w:t>No difference (M)</w:t>
            </w:r>
          </w:p>
        </w:tc>
      </w:tr>
      <w:tr w:rsidR="00496617" w14:paraId="54432F60" w14:textId="77777777" w:rsidTr="00B226F7">
        <w:tc>
          <w:tcPr>
            <w:tcW w:w="1000" w:type="pct"/>
            <w:tcBorders>
              <w:bottom w:val="nil"/>
            </w:tcBorders>
            <w:shd w:val="clear" w:color="auto" w:fill="E7E6E6" w:themeFill="background2"/>
          </w:tcPr>
          <w:p w14:paraId="56AB8039" w14:textId="73A8AA7A" w:rsidR="00F01B3E" w:rsidRPr="005D71A4" w:rsidRDefault="00F01B3E" w:rsidP="00BB06A3">
            <w:pPr>
              <w:pStyle w:val="051Tabletext228pt"/>
              <w:rPr>
                <w:b/>
                <w:bCs/>
                <w:sz w:val="18"/>
                <w:szCs w:val="18"/>
                <w:highlight w:val="yellow"/>
              </w:rPr>
            </w:pPr>
            <w:r w:rsidRPr="005D71A4">
              <w:rPr>
                <w:b/>
                <w:bCs/>
                <w:sz w:val="18"/>
                <w:szCs w:val="18"/>
              </w:rPr>
              <w:t xml:space="preserve">Continence-specific </w:t>
            </w:r>
            <w:proofErr w:type="spellStart"/>
            <w:r w:rsidR="009A7F02" w:rsidRPr="005D71A4">
              <w:rPr>
                <w:b/>
                <w:bCs/>
                <w:sz w:val="18"/>
                <w:szCs w:val="18"/>
              </w:rPr>
              <w:t>HR</w:t>
            </w:r>
            <w:r w:rsidRPr="005D71A4">
              <w:rPr>
                <w:b/>
                <w:bCs/>
                <w:sz w:val="18"/>
                <w:szCs w:val="18"/>
              </w:rPr>
              <w:t>QoL</w:t>
            </w:r>
            <w:proofErr w:type="spellEnd"/>
          </w:p>
        </w:tc>
        <w:tc>
          <w:tcPr>
            <w:tcW w:w="1194" w:type="pct"/>
            <w:tcBorders>
              <w:bottom w:val="nil"/>
            </w:tcBorders>
            <w:shd w:val="clear" w:color="auto" w:fill="E7E6E6" w:themeFill="background2"/>
          </w:tcPr>
          <w:p w14:paraId="0C62FE66" w14:textId="77777777" w:rsidR="00F01B3E" w:rsidRPr="005D71A4" w:rsidRDefault="00F01B3E" w:rsidP="00BB06A3">
            <w:pPr>
              <w:pStyle w:val="051Tabletext228pt"/>
              <w:rPr>
                <w:sz w:val="18"/>
                <w:szCs w:val="18"/>
              </w:rPr>
            </w:pPr>
          </w:p>
        </w:tc>
        <w:tc>
          <w:tcPr>
            <w:tcW w:w="806" w:type="pct"/>
            <w:tcBorders>
              <w:bottom w:val="nil"/>
            </w:tcBorders>
            <w:shd w:val="clear" w:color="auto" w:fill="E7E6E6" w:themeFill="background2"/>
          </w:tcPr>
          <w:p w14:paraId="4CC653EA" w14:textId="77777777" w:rsidR="00F01B3E" w:rsidRPr="005D71A4" w:rsidRDefault="00F01B3E" w:rsidP="00BB06A3">
            <w:pPr>
              <w:pStyle w:val="051Tabletext228pt"/>
              <w:rPr>
                <w:sz w:val="18"/>
                <w:szCs w:val="18"/>
              </w:rPr>
            </w:pPr>
          </w:p>
        </w:tc>
        <w:tc>
          <w:tcPr>
            <w:tcW w:w="1000" w:type="pct"/>
            <w:tcBorders>
              <w:bottom w:val="nil"/>
            </w:tcBorders>
            <w:shd w:val="clear" w:color="auto" w:fill="E7E6E6" w:themeFill="background2"/>
          </w:tcPr>
          <w:p w14:paraId="6F8E0F12" w14:textId="77777777" w:rsidR="00F01B3E" w:rsidRPr="005D71A4" w:rsidRDefault="00F01B3E" w:rsidP="00BB06A3">
            <w:pPr>
              <w:pStyle w:val="051Tabletext228pt"/>
              <w:rPr>
                <w:sz w:val="18"/>
                <w:szCs w:val="18"/>
              </w:rPr>
            </w:pPr>
          </w:p>
        </w:tc>
        <w:tc>
          <w:tcPr>
            <w:tcW w:w="1000" w:type="pct"/>
            <w:tcBorders>
              <w:bottom w:val="nil"/>
            </w:tcBorders>
            <w:shd w:val="clear" w:color="auto" w:fill="E7E6E6" w:themeFill="background2"/>
          </w:tcPr>
          <w:p w14:paraId="37E5284A" w14:textId="77777777" w:rsidR="00F01B3E" w:rsidRPr="005D71A4" w:rsidRDefault="00F01B3E" w:rsidP="00BB06A3">
            <w:pPr>
              <w:pStyle w:val="051Tabletext228pt"/>
              <w:rPr>
                <w:sz w:val="18"/>
                <w:szCs w:val="18"/>
              </w:rPr>
            </w:pPr>
          </w:p>
        </w:tc>
      </w:tr>
      <w:tr w:rsidR="00496617" w14:paraId="148C7CF8" w14:textId="77777777" w:rsidTr="00B226F7">
        <w:tc>
          <w:tcPr>
            <w:tcW w:w="1000" w:type="pct"/>
            <w:tcBorders>
              <w:top w:val="nil"/>
              <w:bottom w:val="nil"/>
            </w:tcBorders>
          </w:tcPr>
          <w:p w14:paraId="69BB6534" w14:textId="77777777" w:rsidR="00F01B3E" w:rsidRPr="005D71A4" w:rsidRDefault="00F01B3E" w:rsidP="00BB06A3">
            <w:pPr>
              <w:pStyle w:val="051Tabletext228pt"/>
              <w:rPr>
                <w:sz w:val="18"/>
                <w:szCs w:val="18"/>
              </w:rPr>
            </w:pPr>
            <w:r w:rsidRPr="005D71A4">
              <w:rPr>
                <w:sz w:val="18"/>
                <w:szCs w:val="18"/>
              </w:rPr>
              <w:t>ICIQ-UI-QoL score (M)</w:t>
            </w:r>
          </w:p>
        </w:tc>
        <w:tc>
          <w:tcPr>
            <w:tcW w:w="1194" w:type="pct"/>
            <w:tcBorders>
              <w:top w:val="nil"/>
              <w:bottom w:val="nil"/>
            </w:tcBorders>
            <w:shd w:val="clear" w:color="auto" w:fill="auto"/>
          </w:tcPr>
          <w:p w14:paraId="55267918" w14:textId="77777777" w:rsidR="00F01B3E" w:rsidRPr="005D71A4" w:rsidRDefault="00F01B3E" w:rsidP="00BB06A3">
            <w:pPr>
              <w:pStyle w:val="051Tabletext228pt"/>
              <w:rPr>
                <w:sz w:val="18"/>
                <w:szCs w:val="18"/>
              </w:rPr>
            </w:pPr>
            <w:r w:rsidRPr="005D71A4">
              <w:rPr>
                <w:sz w:val="18"/>
                <w:szCs w:val="18"/>
              </w:rPr>
              <w:t>1, N=100 (M)</w:t>
            </w:r>
          </w:p>
        </w:tc>
        <w:tc>
          <w:tcPr>
            <w:tcW w:w="806" w:type="pct"/>
            <w:tcBorders>
              <w:top w:val="nil"/>
              <w:bottom w:val="nil"/>
            </w:tcBorders>
            <w:shd w:val="clear" w:color="auto" w:fill="F4B083" w:themeFill="accent2" w:themeFillTint="99"/>
          </w:tcPr>
          <w:p w14:paraId="40007B90"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6D912817" w14:textId="77777777" w:rsidR="00F01B3E" w:rsidRPr="005D71A4" w:rsidRDefault="00F01B3E" w:rsidP="00BB06A3">
            <w:pPr>
              <w:pStyle w:val="051Tabletext228pt"/>
              <w:rPr>
                <w:sz w:val="18"/>
                <w:szCs w:val="18"/>
              </w:rPr>
            </w:pPr>
            <w:r w:rsidRPr="005D71A4">
              <w:rPr>
                <w:sz w:val="18"/>
                <w:szCs w:val="18"/>
              </w:rPr>
              <w:t>Favours RP-MUS (M)</w:t>
            </w:r>
          </w:p>
        </w:tc>
        <w:tc>
          <w:tcPr>
            <w:tcW w:w="1000" w:type="pct"/>
            <w:tcBorders>
              <w:top w:val="nil"/>
              <w:bottom w:val="nil"/>
            </w:tcBorders>
            <w:shd w:val="clear" w:color="auto" w:fill="E5DDEB"/>
          </w:tcPr>
          <w:p w14:paraId="74BBDFF5" w14:textId="77777777" w:rsidR="00F01B3E" w:rsidRPr="005D71A4" w:rsidRDefault="00F01B3E" w:rsidP="00BB06A3">
            <w:pPr>
              <w:pStyle w:val="051Tabletext228pt"/>
              <w:rPr>
                <w:sz w:val="18"/>
                <w:szCs w:val="18"/>
              </w:rPr>
            </w:pPr>
            <w:r w:rsidRPr="005D71A4">
              <w:rPr>
                <w:sz w:val="18"/>
                <w:szCs w:val="18"/>
              </w:rPr>
              <w:t>Favours RP-MUS (M)</w:t>
            </w:r>
          </w:p>
        </w:tc>
      </w:tr>
      <w:tr w:rsidR="00496617" w14:paraId="571537EB" w14:textId="77777777" w:rsidTr="00B226F7">
        <w:tc>
          <w:tcPr>
            <w:tcW w:w="1000" w:type="pct"/>
            <w:tcBorders>
              <w:top w:val="nil"/>
              <w:bottom w:val="nil"/>
            </w:tcBorders>
          </w:tcPr>
          <w:p w14:paraId="1574030B" w14:textId="77777777" w:rsidR="00F01B3E" w:rsidRPr="005D71A4" w:rsidRDefault="00F01B3E" w:rsidP="00BB06A3">
            <w:pPr>
              <w:pStyle w:val="051Tabletext228pt"/>
              <w:rPr>
                <w:b/>
                <w:bCs/>
                <w:sz w:val="18"/>
                <w:szCs w:val="18"/>
                <w:highlight w:val="yellow"/>
              </w:rPr>
            </w:pPr>
            <w:r w:rsidRPr="005D71A4">
              <w:rPr>
                <w:sz w:val="18"/>
                <w:szCs w:val="18"/>
              </w:rPr>
              <w:t>I-QoL score (S)</w:t>
            </w:r>
          </w:p>
        </w:tc>
        <w:tc>
          <w:tcPr>
            <w:tcW w:w="1194" w:type="pct"/>
            <w:tcBorders>
              <w:top w:val="nil"/>
              <w:bottom w:val="nil"/>
            </w:tcBorders>
            <w:shd w:val="clear" w:color="auto" w:fill="auto"/>
          </w:tcPr>
          <w:p w14:paraId="1EA58049" w14:textId="77777777" w:rsidR="00F01B3E" w:rsidRPr="005D71A4" w:rsidRDefault="00F01B3E" w:rsidP="00BB06A3">
            <w:pPr>
              <w:pStyle w:val="051Tabletext228pt"/>
              <w:rPr>
                <w:sz w:val="18"/>
                <w:szCs w:val="18"/>
              </w:rPr>
            </w:pPr>
            <w:r w:rsidRPr="005D71A4">
              <w:rPr>
                <w:sz w:val="18"/>
                <w:szCs w:val="18"/>
              </w:rPr>
              <w:t>1, N=125 (S)</w:t>
            </w:r>
          </w:p>
        </w:tc>
        <w:tc>
          <w:tcPr>
            <w:tcW w:w="806" w:type="pct"/>
            <w:tcBorders>
              <w:top w:val="nil"/>
              <w:bottom w:val="nil"/>
            </w:tcBorders>
            <w:shd w:val="clear" w:color="auto" w:fill="F4B083" w:themeFill="accent2" w:themeFillTint="99"/>
          </w:tcPr>
          <w:p w14:paraId="4E372857"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351377CF" w14:textId="77777777" w:rsidR="00F01B3E" w:rsidRPr="005D71A4" w:rsidRDefault="00F01B3E" w:rsidP="00BB06A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46E810BF" w14:textId="77777777" w:rsidR="00F01B3E" w:rsidRPr="005D71A4" w:rsidRDefault="00F01B3E" w:rsidP="00BB06A3">
            <w:pPr>
              <w:pStyle w:val="051Tabletext228pt"/>
              <w:rPr>
                <w:sz w:val="18"/>
                <w:szCs w:val="18"/>
              </w:rPr>
            </w:pPr>
            <w:r w:rsidRPr="005D71A4">
              <w:rPr>
                <w:sz w:val="18"/>
                <w:szCs w:val="18"/>
              </w:rPr>
              <w:t>Favours RP-MUS (S)</w:t>
            </w:r>
          </w:p>
        </w:tc>
      </w:tr>
      <w:tr w:rsidR="00496617" w14:paraId="26208899" w14:textId="77777777" w:rsidTr="00B226F7">
        <w:tc>
          <w:tcPr>
            <w:tcW w:w="1000" w:type="pct"/>
            <w:tcBorders>
              <w:top w:val="nil"/>
              <w:bottom w:val="nil"/>
            </w:tcBorders>
          </w:tcPr>
          <w:p w14:paraId="12A51649" w14:textId="77777777" w:rsidR="00F01B3E" w:rsidRPr="005D71A4" w:rsidRDefault="00F01B3E" w:rsidP="00BB06A3">
            <w:pPr>
              <w:pStyle w:val="051Tabletext228pt"/>
              <w:rPr>
                <w:sz w:val="18"/>
                <w:szCs w:val="18"/>
              </w:rPr>
            </w:pPr>
            <w:r w:rsidRPr="005D71A4">
              <w:rPr>
                <w:sz w:val="18"/>
                <w:szCs w:val="18"/>
              </w:rPr>
              <w:t>ICIQ-UI-QoL score (S)</w:t>
            </w:r>
          </w:p>
        </w:tc>
        <w:tc>
          <w:tcPr>
            <w:tcW w:w="1194" w:type="pct"/>
            <w:tcBorders>
              <w:top w:val="nil"/>
              <w:bottom w:val="nil"/>
            </w:tcBorders>
            <w:shd w:val="clear" w:color="auto" w:fill="auto"/>
          </w:tcPr>
          <w:p w14:paraId="6254B4A7" w14:textId="77777777" w:rsidR="00F01B3E" w:rsidRPr="005D71A4" w:rsidRDefault="00F01B3E" w:rsidP="00BB06A3">
            <w:pPr>
              <w:pStyle w:val="051Tabletext228pt"/>
              <w:rPr>
                <w:sz w:val="18"/>
                <w:szCs w:val="18"/>
              </w:rPr>
            </w:pPr>
            <w:r w:rsidRPr="005D71A4">
              <w:rPr>
                <w:sz w:val="18"/>
                <w:szCs w:val="18"/>
              </w:rPr>
              <w:t>1, N=100 (S)</w:t>
            </w:r>
          </w:p>
        </w:tc>
        <w:tc>
          <w:tcPr>
            <w:tcW w:w="806" w:type="pct"/>
            <w:tcBorders>
              <w:top w:val="nil"/>
              <w:bottom w:val="nil"/>
            </w:tcBorders>
            <w:shd w:val="clear" w:color="auto" w:fill="F4B083" w:themeFill="accent2" w:themeFillTint="99"/>
          </w:tcPr>
          <w:p w14:paraId="66A3451B"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209EFFDE" w14:textId="77777777" w:rsidR="00F01B3E" w:rsidRPr="005D71A4" w:rsidRDefault="00F01B3E" w:rsidP="00BB06A3">
            <w:pPr>
              <w:pStyle w:val="051Tabletext228pt"/>
              <w:rPr>
                <w:sz w:val="18"/>
                <w:szCs w:val="18"/>
              </w:rPr>
            </w:pPr>
            <w:r w:rsidRPr="005D71A4">
              <w:rPr>
                <w:sz w:val="18"/>
                <w:szCs w:val="18"/>
              </w:rPr>
              <w:t>No difference</w:t>
            </w:r>
          </w:p>
        </w:tc>
        <w:tc>
          <w:tcPr>
            <w:tcW w:w="1000" w:type="pct"/>
            <w:tcBorders>
              <w:top w:val="nil"/>
              <w:bottom w:val="nil"/>
            </w:tcBorders>
            <w:shd w:val="clear" w:color="auto" w:fill="F1ECF4"/>
          </w:tcPr>
          <w:p w14:paraId="0ECAA013" w14:textId="77777777" w:rsidR="00F01B3E" w:rsidRPr="005D71A4" w:rsidRDefault="00F01B3E" w:rsidP="00BB06A3">
            <w:pPr>
              <w:pStyle w:val="051Tabletext228pt"/>
              <w:rPr>
                <w:sz w:val="18"/>
                <w:szCs w:val="18"/>
              </w:rPr>
            </w:pPr>
            <w:r w:rsidRPr="005D71A4">
              <w:rPr>
                <w:sz w:val="18"/>
                <w:szCs w:val="18"/>
              </w:rPr>
              <w:t>May favour RP-MUS (S)</w:t>
            </w:r>
          </w:p>
        </w:tc>
      </w:tr>
      <w:tr w:rsidR="00496617" w14:paraId="12F965A7" w14:textId="77777777" w:rsidTr="00B226F7">
        <w:tc>
          <w:tcPr>
            <w:tcW w:w="1000" w:type="pct"/>
            <w:tcBorders>
              <w:top w:val="nil"/>
              <w:bottom w:val="nil"/>
            </w:tcBorders>
          </w:tcPr>
          <w:p w14:paraId="527645C8" w14:textId="77777777" w:rsidR="00F01B3E" w:rsidRPr="005D71A4" w:rsidRDefault="00F01B3E" w:rsidP="00BB06A3">
            <w:pPr>
              <w:pStyle w:val="051Tabletext228pt"/>
              <w:rPr>
                <w:b/>
                <w:bCs/>
                <w:sz w:val="18"/>
                <w:szCs w:val="18"/>
                <w:highlight w:val="yellow"/>
              </w:rPr>
            </w:pPr>
            <w:r w:rsidRPr="005D71A4">
              <w:rPr>
                <w:sz w:val="18"/>
                <w:szCs w:val="18"/>
              </w:rPr>
              <w:t>King’s Health Questionnaire – Intercourse score (M)</w:t>
            </w:r>
          </w:p>
        </w:tc>
        <w:tc>
          <w:tcPr>
            <w:tcW w:w="1194" w:type="pct"/>
            <w:tcBorders>
              <w:top w:val="nil"/>
              <w:bottom w:val="nil"/>
            </w:tcBorders>
            <w:shd w:val="clear" w:color="auto" w:fill="auto"/>
          </w:tcPr>
          <w:p w14:paraId="1E5FF09C" w14:textId="77777777" w:rsidR="00F01B3E" w:rsidRPr="005D71A4" w:rsidRDefault="00F01B3E" w:rsidP="00BB06A3">
            <w:pPr>
              <w:pStyle w:val="051Tabletext228pt"/>
              <w:rPr>
                <w:sz w:val="18"/>
                <w:szCs w:val="18"/>
              </w:rPr>
            </w:pPr>
            <w:r w:rsidRPr="005D71A4">
              <w:rPr>
                <w:sz w:val="18"/>
                <w:szCs w:val="18"/>
              </w:rPr>
              <w:t>1, N=331 (M)</w:t>
            </w:r>
          </w:p>
        </w:tc>
        <w:tc>
          <w:tcPr>
            <w:tcW w:w="806" w:type="pct"/>
            <w:tcBorders>
              <w:top w:val="nil"/>
              <w:bottom w:val="nil"/>
            </w:tcBorders>
            <w:shd w:val="clear" w:color="auto" w:fill="F4B083" w:themeFill="accent2" w:themeFillTint="99"/>
          </w:tcPr>
          <w:p w14:paraId="619E5A2D"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FFCCCC"/>
          </w:tcPr>
          <w:p w14:paraId="12F65175" w14:textId="77777777" w:rsidR="00F01B3E" w:rsidRPr="005D71A4" w:rsidRDefault="00F01B3E" w:rsidP="00BB06A3">
            <w:pPr>
              <w:pStyle w:val="051Tabletext228pt"/>
              <w:rPr>
                <w:sz w:val="18"/>
                <w:szCs w:val="18"/>
              </w:rPr>
            </w:pPr>
            <w:r w:rsidRPr="005D71A4">
              <w:rPr>
                <w:sz w:val="18"/>
                <w:szCs w:val="18"/>
              </w:rPr>
              <w:t>Favours TO-MUS (M)</w:t>
            </w:r>
          </w:p>
        </w:tc>
        <w:tc>
          <w:tcPr>
            <w:tcW w:w="1000" w:type="pct"/>
            <w:tcBorders>
              <w:top w:val="nil"/>
              <w:bottom w:val="nil"/>
            </w:tcBorders>
            <w:shd w:val="clear" w:color="auto" w:fill="FFCCCC"/>
          </w:tcPr>
          <w:p w14:paraId="0E9FB891" w14:textId="77777777" w:rsidR="00F01B3E" w:rsidRPr="005D71A4" w:rsidRDefault="00F01B3E" w:rsidP="00BB06A3">
            <w:pPr>
              <w:pStyle w:val="051Tabletext228pt"/>
              <w:rPr>
                <w:sz w:val="18"/>
                <w:szCs w:val="18"/>
              </w:rPr>
            </w:pPr>
            <w:r w:rsidRPr="005D71A4">
              <w:rPr>
                <w:sz w:val="18"/>
                <w:szCs w:val="18"/>
              </w:rPr>
              <w:t>Favours TO-MUS (M)</w:t>
            </w:r>
          </w:p>
        </w:tc>
      </w:tr>
      <w:tr w:rsidR="00496617" w14:paraId="2C5FE545" w14:textId="77777777" w:rsidTr="00B226F7">
        <w:tc>
          <w:tcPr>
            <w:tcW w:w="1000" w:type="pct"/>
            <w:tcBorders>
              <w:top w:val="nil"/>
              <w:bottom w:val="single" w:sz="4" w:space="0" w:color="auto"/>
            </w:tcBorders>
          </w:tcPr>
          <w:p w14:paraId="446C9235" w14:textId="77777777" w:rsidR="00F01B3E" w:rsidRPr="005D71A4" w:rsidRDefault="00F01B3E" w:rsidP="00BB06A3">
            <w:pPr>
              <w:pStyle w:val="051Tabletext228pt"/>
              <w:rPr>
                <w:sz w:val="18"/>
                <w:szCs w:val="18"/>
              </w:rPr>
            </w:pPr>
            <w:r w:rsidRPr="005D71A4">
              <w:rPr>
                <w:sz w:val="18"/>
                <w:szCs w:val="18"/>
              </w:rPr>
              <w:t xml:space="preserve">All other </w:t>
            </w:r>
            <w:proofErr w:type="gramStart"/>
            <w:r w:rsidRPr="005D71A4">
              <w:rPr>
                <w:sz w:val="18"/>
                <w:szCs w:val="18"/>
              </w:rPr>
              <w:t>health-related</w:t>
            </w:r>
            <w:proofErr w:type="gramEnd"/>
            <w:r w:rsidRPr="005D71A4">
              <w:rPr>
                <w:sz w:val="18"/>
                <w:szCs w:val="18"/>
              </w:rPr>
              <w:t xml:space="preserve"> QoL measures</w:t>
            </w:r>
          </w:p>
        </w:tc>
        <w:tc>
          <w:tcPr>
            <w:tcW w:w="1194" w:type="pct"/>
            <w:tcBorders>
              <w:top w:val="nil"/>
              <w:bottom w:val="single" w:sz="4" w:space="0" w:color="auto"/>
            </w:tcBorders>
            <w:shd w:val="clear" w:color="auto" w:fill="auto"/>
          </w:tcPr>
          <w:p w14:paraId="1431CAAE" w14:textId="77777777" w:rsidR="00F01B3E" w:rsidRPr="005D71A4" w:rsidRDefault="00F01B3E" w:rsidP="00BB06A3">
            <w:pPr>
              <w:pStyle w:val="051Tabletext228pt"/>
              <w:rPr>
                <w:sz w:val="18"/>
                <w:szCs w:val="18"/>
              </w:rPr>
            </w:pPr>
            <w:r w:rsidRPr="005D71A4">
              <w:rPr>
                <w:sz w:val="18"/>
                <w:szCs w:val="18"/>
              </w:rPr>
              <w:t>1 to 5, N= 100 to 887</w:t>
            </w:r>
          </w:p>
        </w:tc>
        <w:tc>
          <w:tcPr>
            <w:tcW w:w="806" w:type="pct"/>
            <w:tcBorders>
              <w:top w:val="nil"/>
              <w:bottom w:val="single" w:sz="4" w:space="0" w:color="auto"/>
            </w:tcBorders>
            <w:shd w:val="clear" w:color="auto" w:fill="F4B083" w:themeFill="accent2" w:themeFillTint="99"/>
          </w:tcPr>
          <w:p w14:paraId="55393D5E" w14:textId="77777777" w:rsidR="00F01B3E" w:rsidRPr="005D71A4" w:rsidRDefault="00F01B3E" w:rsidP="00BB06A3">
            <w:pPr>
              <w:pStyle w:val="051Tabletext228pt"/>
              <w:rPr>
                <w:sz w:val="18"/>
                <w:szCs w:val="18"/>
              </w:rPr>
            </w:pPr>
            <w:r w:rsidRPr="005D71A4">
              <w:rPr>
                <w:sz w:val="18"/>
                <w:szCs w:val="18"/>
              </w:rPr>
              <w:t>Very low or Low</w:t>
            </w:r>
          </w:p>
        </w:tc>
        <w:tc>
          <w:tcPr>
            <w:tcW w:w="1000" w:type="pct"/>
            <w:tcBorders>
              <w:top w:val="nil"/>
              <w:bottom w:val="single" w:sz="4" w:space="0" w:color="auto"/>
            </w:tcBorders>
            <w:shd w:val="clear" w:color="auto" w:fill="auto"/>
          </w:tcPr>
          <w:p w14:paraId="0FF415EB" w14:textId="77777777" w:rsidR="00F01B3E" w:rsidRPr="005D71A4" w:rsidRDefault="00F01B3E" w:rsidP="00BB06A3">
            <w:pPr>
              <w:pStyle w:val="051Tabletext228pt"/>
              <w:rPr>
                <w:sz w:val="18"/>
                <w:szCs w:val="18"/>
              </w:rPr>
            </w:pPr>
            <w:r w:rsidRPr="005D71A4">
              <w:rPr>
                <w:sz w:val="18"/>
                <w:szCs w:val="18"/>
              </w:rPr>
              <w:t>Variable</w:t>
            </w:r>
          </w:p>
        </w:tc>
        <w:tc>
          <w:tcPr>
            <w:tcW w:w="1000" w:type="pct"/>
            <w:tcBorders>
              <w:top w:val="nil"/>
              <w:bottom w:val="single" w:sz="4" w:space="0" w:color="auto"/>
            </w:tcBorders>
            <w:shd w:val="clear" w:color="auto" w:fill="auto"/>
          </w:tcPr>
          <w:p w14:paraId="21F998E3" w14:textId="77777777" w:rsidR="00F01B3E" w:rsidRPr="005D71A4" w:rsidRDefault="00F01B3E" w:rsidP="00BB06A3">
            <w:pPr>
              <w:pStyle w:val="051Tabletext228pt"/>
              <w:rPr>
                <w:sz w:val="18"/>
                <w:szCs w:val="18"/>
              </w:rPr>
            </w:pPr>
            <w:r w:rsidRPr="005D71A4">
              <w:rPr>
                <w:sz w:val="18"/>
                <w:szCs w:val="18"/>
              </w:rPr>
              <w:t>No difference</w:t>
            </w:r>
          </w:p>
        </w:tc>
      </w:tr>
      <w:tr w:rsidR="00FD16B7" w14:paraId="2FE68B95" w14:textId="77777777" w:rsidTr="00FD16B7">
        <w:tc>
          <w:tcPr>
            <w:tcW w:w="1000" w:type="pct"/>
            <w:tcBorders>
              <w:bottom w:val="single" w:sz="4" w:space="0" w:color="auto"/>
            </w:tcBorders>
            <w:shd w:val="clear" w:color="auto" w:fill="E7E6E6" w:themeFill="background2"/>
          </w:tcPr>
          <w:p w14:paraId="5CBFD60F" w14:textId="3E58F543" w:rsidR="00FD16B7" w:rsidRPr="00FD16B7" w:rsidRDefault="00FD16B7" w:rsidP="00BB06A3">
            <w:pPr>
              <w:pStyle w:val="051Tabletext228pt"/>
              <w:rPr>
                <w:b/>
                <w:bCs/>
                <w:sz w:val="18"/>
                <w:szCs w:val="18"/>
              </w:rPr>
            </w:pPr>
            <w:r w:rsidRPr="00FD16B7">
              <w:rPr>
                <w:b/>
                <w:bCs/>
                <w:sz w:val="18"/>
                <w:szCs w:val="18"/>
              </w:rPr>
              <w:t>Other patient-reported outcomes</w:t>
            </w:r>
          </w:p>
        </w:tc>
        <w:tc>
          <w:tcPr>
            <w:tcW w:w="1194" w:type="pct"/>
            <w:tcBorders>
              <w:bottom w:val="single" w:sz="4" w:space="0" w:color="auto"/>
            </w:tcBorders>
            <w:shd w:val="clear" w:color="auto" w:fill="E7E6E6" w:themeFill="background2"/>
          </w:tcPr>
          <w:p w14:paraId="4683E42D" w14:textId="77777777" w:rsidR="00FD16B7" w:rsidRPr="005D71A4" w:rsidRDefault="00FD16B7" w:rsidP="00BB06A3">
            <w:pPr>
              <w:pStyle w:val="051Tabletext228pt"/>
              <w:rPr>
                <w:sz w:val="18"/>
                <w:szCs w:val="18"/>
              </w:rPr>
            </w:pPr>
          </w:p>
        </w:tc>
        <w:tc>
          <w:tcPr>
            <w:tcW w:w="806" w:type="pct"/>
            <w:tcBorders>
              <w:bottom w:val="single" w:sz="4" w:space="0" w:color="auto"/>
            </w:tcBorders>
            <w:shd w:val="clear" w:color="auto" w:fill="E7E6E6" w:themeFill="background2"/>
          </w:tcPr>
          <w:p w14:paraId="4CD56D4F" w14:textId="77777777" w:rsidR="00FD16B7" w:rsidRPr="005D71A4" w:rsidRDefault="00FD16B7" w:rsidP="00BB06A3">
            <w:pPr>
              <w:pStyle w:val="051Tabletext228pt"/>
              <w:rPr>
                <w:sz w:val="18"/>
                <w:szCs w:val="18"/>
              </w:rPr>
            </w:pPr>
          </w:p>
        </w:tc>
        <w:tc>
          <w:tcPr>
            <w:tcW w:w="1000" w:type="pct"/>
            <w:tcBorders>
              <w:bottom w:val="single" w:sz="4" w:space="0" w:color="auto"/>
            </w:tcBorders>
            <w:shd w:val="clear" w:color="auto" w:fill="E7E6E6" w:themeFill="background2"/>
          </w:tcPr>
          <w:p w14:paraId="32CF5D2C" w14:textId="77777777" w:rsidR="00FD16B7" w:rsidRPr="005D71A4" w:rsidRDefault="00FD16B7" w:rsidP="00BB06A3">
            <w:pPr>
              <w:pStyle w:val="051Tabletext228pt"/>
              <w:rPr>
                <w:sz w:val="18"/>
                <w:szCs w:val="18"/>
              </w:rPr>
            </w:pPr>
          </w:p>
        </w:tc>
        <w:tc>
          <w:tcPr>
            <w:tcW w:w="1000" w:type="pct"/>
            <w:tcBorders>
              <w:bottom w:val="single" w:sz="4" w:space="0" w:color="auto"/>
            </w:tcBorders>
            <w:shd w:val="clear" w:color="auto" w:fill="E7E6E6" w:themeFill="background2"/>
          </w:tcPr>
          <w:p w14:paraId="583622EC" w14:textId="77777777" w:rsidR="00FD16B7" w:rsidRPr="005D71A4" w:rsidRDefault="00FD16B7" w:rsidP="00BB06A3">
            <w:pPr>
              <w:pStyle w:val="051Tabletext228pt"/>
              <w:rPr>
                <w:sz w:val="18"/>
                <w:szCs w:val="18"/>
              </w:rPr>
            </w:pPr>
          </w:p>
        </w:tc>
      </w:tr>
      <w:tr w:rsidR="00FD16B7" w14:paraId="1A608E4D" w14:textId="77777777" w:rsidTr="00B226F7">
        <w:tc>
          <w:tcPr>
            <w:tcW w:w="1000" w:type="pct"/>
            <w:tcBorders>
              <w:bottom w:val="single" w:sz="4" w:space="0" w:color="auto"/>
            </w:tcBorders>
          </w:tcPr>
          <w:p w14:paraId="1CB341B0" w14:textId="77777777" w:rsidR="00FD16B7" w:rsidRPr="000B2070" w:rsidRDefault="00FD16B7" w:rsidP="00BB06A3">
            <w:pPr>
              <w:pStyle w:val="051Tabletext228pt"/>
              <w:rPr>
                <w:sz w:val="18"/>
                <w:szCs w:val="18"/>
                <w:highlight w:val="yellow"/>
              </w:rPr>
            </w:pPr>
            <w:r w:rsidRPr="000B2070">
              <w:rPr>
                <w:sz w:val="18"/>
                <w:szCs w:val="18"/>
              </w:rPr>
              <w:t>Patient-satisfaction/patient-reported improvement</w:t>
            </w:r>
          </w:p>
        </w:tc>
        <w:tc>
          <w:tcPr>
            <w:tcW w:w="1194" w:type="pct"/>
            <w:tcBorders>
              <w:bottom w:val="single" w:sz="4" w:space="0" w:color="auto"/>
            </w:tcBorders>
            <w:shd w:val="clear" w:color="auto" w:fill="auto"/>
          </w:tcPr>
          <w:p w14:paraId="23EBBF40" w14:textId="77777777" w:rsidR="00FD16B7" w:rsidRPr="005D71A4" w:rsidRDefault="00FD16B7" w:rsidP="00BB06A3">
            <w:pPr>
              <w:pStyle w:val="051Tabletext228pt"/>
              <w:rPr>
                <w:sz w:val="18"/>
                <w:szCs w:val="18"/>
              </w:rPr>
            </w:pPr>
            <w:r w:rsidRPr="005D71A4">
              <w:rPr>
                <w:sz w:val="18"/>
                <w:szCs w:val="18"/>
              </w:rPr>
              <w:t>13, N=2,771 (M); 1, N=140 (L)</w:t>
            </w:r>
          </w:p>
        </w:tc>
        <w:tc>
          <w:tcPr>
            <w:tcW w:w="806" w:type="pct"/>
            <w:tcBorders>
              <w:bottom w:val="single" w:sz="4" w:space="0" w:color="auto"/>
            </w:tcBorders>
            <w:shd w:val="clear" w:color="auto" w:fill="FFE599" w:themeFill="accent4" w:themeFillTint="66"/>
          </w:tcPr>
          <w:p w14:paraId="2614CA93" w14:textId="77777777" w:rsidR="00FD16B7" w:rsidRPr="005D71A4" w:rsidRDefault="00FD16B7" w:rsidP="00BB06A3">
            <w:pPr>
              <w:pStyle w:val="051Tabletext228pt"/>
              <w:rPr>
                <w:sz w:val="18"/>
                <w:szCs w:val="18"/>
              </w:rPr>
            </w:pPr>
            <w:r w:rsidRPr="005D71A4">
              <w:rPr>
                <w:sz w:val="18"/>
                <w:szCs w:val="18"/>
              </w:rPr>
              <w:t>Low</w:t>
            </w:r>
          </w:p>
        </w:tc>
        <w:tc>
          <w:tcPr>
            <w:tcW w:w="1000" w:type="pct"/>
            <w:tcBorders>
              <w:bottom w:val="single" w:sz="4" w:space="0" w:color="auto"/>
            </w:tcBorders>
            <w:shd w:val="clear" w:color="auto" w:fill="auto"/>
          </w:tcPr>
          <w:p w14:paraId="06AC3875" w14:textId="77777777" w:rsidR="00FD16B7" w:rsidRPr="005D71A4" w:rsidRDefault="00FD16B7" w:rsidP="00BB06A3">
            <w:pPr>
              <w:pStyle w:val="051Tabletext228pt"/>
              <w:rPr>
                <w:sz w:val="18"/>
                <w:szCs w:val="18"/>
              </w:rPr>
            </w:pPr>
            <w:r w:rsidRPr="005D71A4">
              <w:rPr>
                <w:sz w:val="18"/>
                <w:szCs w:val="18"/>
              </w:rPr>
              <w:t>No difference (M, L)</w:t>
            </w:r>
          </w:p>
        </w:tc>
        <w:tc>
          <w:tcPr>
            <w:tcW w:w="1000" w:type="pct"/>
            <w:tcBorders>
              <w:bottom w:val="single" w:sz="4" w:space="0" w:color="auto"/>
            </w:tcBorders>
            <w:shd w:val="clear" w:color="auto" w:fill="auto"/>
          </w:tcPr>
          <w:p w14:paraId="17FE85D2" w14:textId="77777777" w:rsidR="00FD16B7" w:rsidRPr="005D71A4" w:rsidRDefault="00FD16B7" w:rsidP="00BB06A3">
            <w:pPr>
              <w:pStyle w:val="051Tabletext228pt"/>
              <w:rPr>
                <w:sz w:val="18"/>
                <w:szCs w:val="18"/>
              </w:rPr>
            </w:pPr>
            <w:r w:rsidRPr="005D71A4">
              <w:rPr>
                <w:sz w:val="18"/>
                <w:szCs w:val="18"/>
              </w:rPr>
              <w:t>No difference (M, L)</w:t>
            </w:r>
          </w:p>
        </w:tc>
      </w:tr>
      <w:tr w:rsidR="00496617" w14:paraId="6024B1FD" w14:textId="77777777" w:rsidTr="00B226F7">
        <w:tc>
          <w:tcPr>
            <w:tcW w:w="1000" w:type="pct"/>
            <w:tcBorders>
              <w:bottom w:val="nil"/>
            </w:tcBorders>
            <w:shd w:val="clear" w:color="auto" w:fill="E7E6E6" w:themeFill="background2"/>
          </w:tcPr>
          <w:p w14:paraId="7E19D57D" w14:textId="77777777" w:rsidR="00F01B3E" w:rsidRPr="005D71A4" w:rsidRDefault="00F01B3E" w:rsidP="00BB06A3">
            <w:pPr>
              <w:pStyle w:val="051Tabletext228pt"/>
              <w:rPr>
                <w:b/>
                <w:bCs/>
                <w:sz w:val="18"/>
                <w:szCs w:val="18"/>
                <w:highlight w:val="yellow"/>
              </w:rPr>
            </w:pPr>
            <w:r w:rsidRPr="005D71A4">
              <w:rPr>
                <w:b/>
                <w:bCs/>
                <w:sz w:val="18"/>
                <w:szCs w:val="18"/>
              </w:rPr>
              <w:lastRenderedPageBreak/>
              <w:t>Adverse events</w:t>
            </w:r>
          </w:p>
        </w:tc>
        <w:tc>
          <w:tcPr>
            <w:tcW w:w="1194" w:type="pct"/>
            <w:tcBorders>
              <w:bottom w:val="nil"/>
            </w:tcBorders>
            <w:shd w:val="clear" w:color="auto" w:fill="E7E6E6" w:themeFill="background2"/>
          </w:tcPr>
          <w:p w14:paraId="40202382" w14:textId="77777777" w:rsidR="00F01B3E" w:rsidRPr="005D71A4" w:rsidRDefault="00F01B3E" w:rsidP="00BB06A3">
            <w:pPr>
              <w:pStyle w:val="051Tabletext228pt"/>
              <w:rPr>
                <w:b/>
                <w:bCs/>
                <w:sz w:val="18"/>
                <w:szCs w:val="18"/>
              </w:rPr>
            </w:pPr>
          </w:p>
        </w:tc>
        <w:tc>
          <w:tcPr>
            <w:tcW w:w="806" w:type="pct"/>
            <w:tcBorders>
              <w:bottom w:val="nil"/>
            </w:tcBorders>
            <w:shd w:val="clear" w:color="auto" w:fill="E7E6E6" w:themeFill="background2"/>
          </w:tcPr>
          <w:p w14:paraId="2BFEF8E3" w14:textId="77777777" w:rsidR="00F01B3E" w:rsidRPr="005D71A4" w:rsidRDefault="00F01B3E" w:rsidP="00BB06A3">
            <w:pPr>
              <w:pStyle w:val="051Tabletext228pt"/>
              <w:rPr>
                <w:b/>
                <w:bCs/>
                <w:sz w:val="18"/>
                <w:szCs w:val="18"/>
              </w:rPr>
            </w:pPr>
          </w:p>
        </w:tc>
        <w:tc>
          <w:tcPr>
            <w:tcW w:w="1000" w:type="pct"/>
            <w:tcBorders>
              <w:bottom w:val="nil"/>
            </w:tcBorders>
            <w:shd w:val="clear" w:color="auto" w:fill="E7E6E6" w:themeFill="background2"/>
          </w:tcPr>
          <w:p w14:paraId="6F9EDAF4" w14:textId="77777777" w:rsidR="00F01B3E" w:rsidRPr="005D71A4" w:rsidRDefault="00F01B3E" w:rsidP="00BB06A3">
            <w:pPr>
              <w:pStyle w:val="051Tabletext228pt"/>
              <w:rPr>
                <w:b/>
                <w:bCs/>
                <w:sz w:val="18"/>
                <w:szCs w:val="18"/>
              </w:rPr>
            </w:pPr>
          </w:p>
        </w:tc>
        <w:tc>
          <w:tcPr>
            <w:tcW w:w="1000" w:type="pct"/>
            <w:tcBorders>
              <w:bottom w:val="nil"/>
            </w:tcBorders>
            <w:shd w:val="clear" w:color="auto" w:fill="E7E6E6" w:themeFill="background2"/>
          </w:tcPr>
          <w:p w14:paraId="3C42AF36" w14:textId="77777777" w:rsidR="00F01B3E" w:rsidRPr="005D71A4" w:rsidRDefault="00F01B3E" w:rsidP="00BB06A3">
            <w:pPr>
              <w:pStyle w:val="051Tabletext228pt"/>
              <w:rPr>
                <w:b/>
                <w:bCs/>
                <w:sz w:val="18"/>
                <w:szCs w:val="18"/>
              </w:rPr>
            </w:pPr>
          </w:p>
        </w:tc>
      </w:tr>
      <w:tr w:rsidR="00496617" w14:paraId="670E1EBE" w14:textId="77777777" w:rsidTr="00B226F7">
        <w:tc>
          <w:tcPr>
            <w:tcW w:w="1000" w:type="pct"/>
            <w:tcBorders>
              <w:top w:val="nil"/>
              <w:bottom w:val="nil"/>
            </w:tcBorders>
          </w:tcPr>
          <w:p w14:paraId="2B3380FC" w14:textId="77777777" w:rsidR="00F01B3E" w:rsidRPr="005D71A4" w:rsidRDefault="00F01B3E" w:rsidP="00BB06A3">
            <w:pPr>
              <w:pStyle w:val="051Tabletext228pt"/>
              <w:rPr>
                <w:sz w:val="18"/>
                <w:szCs w:val="18"/>
              </w:rPr>
            </w:pPr>
            <w:r w:rsidRPr="005D71A4">
              <w:rPr>
                <w:sz w:val="18"/>
                <w:szCs w:val="18"/>
              </w:rPr>
              <w:t>bladder injury</w:t>
            </w:r>
          </w:p>
        </w:tc>
        <w:tc>
          <w:tcPr>
            <w:tcW w:w="1194" w:type="pct"/>
            <w:tcBorders>
              <w:top w:val="nil"/>
              <w:bottom w:val="nil"/>
            </w:tcBorders>
            <w:shd w:val="clear" w:color="auto" w:fill="auto"/>
          </w:tcPr>
          <w:p w14:paraId="71E81E95" w14:textId="77777777" w:rsidR="00F01B3E" w:rsidRPr="005D71A4" w:rsidRDefault="00F01B3E" w:rsidP="00BB06A3">
            <w:pPr>
              <w:pStyle w:val="051Tabletext228pt"/>
              <w:rPr>
                <w:sz w:val="18"/>
                <w:szCs w:val="18"/>
              </w:rPr>
            </w:pPr>
            <w:r w:rsidRPr="005D71A4">
              <w:rPr>
                <w:sz w:val="18"/>
                <w:szCs w:val="18"/>
              </w:rPr>
              <w:t>40, N=6,654</w:t>
            </w:r>
          </w:p>
        </w:tc>
        <w:tc>
          <w:tcPr>
            <w:tcW w:w="806" w:type="pct"/>
            <w:tcBorders>
              <w:top w:val="nil"/>
              <w:bottom w:val="nil"/>
            </w:tcBorders>
            <w:shd w:val="clear" w:color="auto" w:fill="ACB9CA" w:themeFill="text2" w:themeFillTint="66"/>
          </w:tcPr>
          <w:p w14:paraId="70EA2E91" w14:textId="77777777" w:rsidR="00F01B3E" w:rsidRPr="005D71A4" w:rsidRDefault="00F01B3E" w:rsidP="00BB06A3">
            <w:pPr>
              <w:pStyle w:val="051Tabletext228pt"/>
              <w:rPr>
                <w:sz w:val="18"/>
                <w:szCs w:val="18"/>
              </w:rPr>
            </w:pPr>
            <w:r w:rsidRPr="005D71A4">
              <w:rPr>
                <w:sz w:val="18"/>
                <w:szCs w:val="18"/>
              </w:rPr>
              <w:t>Moderate</w:t>
            </w:r>
          </w:p>
        </w:tc>
        <w:tc>
          <w:tcPr>
            <w:tcW w:w="1000" w:type="pct"/>
            <w:tcBorders>
              <w:top w:val="nil"/>
              <w:bottom w:val="nil"/>
            </w:tcBorders>
            <w:shd w:val="clear" w:color="auto" w:fill="FFCCCC"/>
          </w:tcPr>
          <w:p w14:paraId="63095501" w14:textId="77777777" w:rsidR="00F01B3E" w:rsidRPr="005D71A4" w:rsidRDefault="00F01B3E" w:rsidP="00BB06A3">
            <w:pPr>
              <w:pStyle w:val="051Tabletext228pt"/>
              <w:rPr>
                <w:sz w:val="18"/>
                <w:szCs w:val="18"/>
              </w:rPr>
            </w:pPr>
            <w:r w:rsidRPr="005D71A4">
              <w:rPr>
                <w:sz w:val="18"/>
                <w:szCs w:val="18"/>
              </w:rPr>
              <w:t>Favours TO-MUS</w:t>
            </w:r>
          </w:p>
        </w:tc>
        <w:tc>
          <w:tcPr>
            <w:tcW w:w="1000" w:type="pct"/>
            <w:tcBorders>
              <w:top w:val="nil"/>
              <w:bottom w:val="nil"/>
            </w:tcBorders>
            <w:shd w:val="clear" w:color="auto" w:fill="FFCCCC"/>
          </w:tcPr>
          <w:p w14:paraId="780EE997" w14:textId="77777777" w:rsidR="00F01B3E" w:rsidRPr="005D71A4" w:rsidRDefault="00F01B3E" w:rsidP="00BB06A3">
            <w:pPr>
              <w:pStyle w:val="051Tabletext228pt"/>
              <w:rPr>
                <w:sz w:val="18"/>
                <w:szCs w:val="18"/>
              </w:rPr>
            </w:pPr>
            <w:r w:rsidRPr="005D71A4">
              <w:rPr>
                <w:sz w:val="18"/>
                <w:szCs w:val="18"/>
              </w:rPr>
              <w:t>Favours TO-MUS</w:t>
            </w:r>
          </w:p>
        </w:tc>
      </w:tr>
      <w:tr w:rsidR="009C69FE" w14:paraId="7121472D" w14:textId="77777777" w:rsidTr="00B226F7">
        <w:tc>
          <w:tcPr>
            <w:tcW w:w="1000" w:type="pct"/>
            <w:tcBorders>
              <w:top w:val="nil"/>
              <w:bottom w:val="nil"/>
            </w:tcBorders>
          </w:tcPr>
          <w:p w14:paraId="5E61169B" w14:textId="77777777" w:rsidR="00F01B3E" w:rsidRPr="005D71A4" w:rsidRDefault="00F01B3E" w:rsidP="00BB06A3">
            <w:pPr>
              <w:pStyle w:val="051Tabletext228pt"/>
              <w:rPr>
                <w:sz w:val="18"/>
                <w:szCs w:val="18"/>
              </w:rPr>
            </w:pPr>
            <w:r w:rsidRPr="005D71A4">
              <w:rPr>
                <w:sz w:val="18"/>
                <w:szCs w:val="18"/>
              </w:rPr>
              <w:t>severe bleeding requiring blood transfusion</w:t>
            </w:r>
          </w:p>
        </w:tc>
        <w:tc>
          <w:tcPr>
            <w:tcW w:w="1194" w:type="pct"/>
            <w:tcBorders>
              <w:top w:val="nil"/>
              <w:bottom w:val="nil"/>
            </w:tcBorders>
            <w:shd w:val="clear" w:color="auto" w:fill="auto"/>
          </w:tcPr>
          <w:p w14:paraId="4DAD1824" w14:textId="77777777" w:rsidR="00F01B3E" w:rsidRPr="005D71A4" w:rsidRDefault="00F01B3E" w:rsidP="00BB06A3">
            <w:pPr>
              <w:pStyle w:val="051Tabletext228pt"/>
              <w:rPr>
                <w:sz w:val="18"/>
                <w:szCs w:val="18"/>
              </w:rPr>
            </w:pPr>
            <w:r w:rsidRPr="005D71A4">
              <w:rPr>
                <w:sz w:val="18"/>
                <w:szCs w:val="18"/>
              </w:rPr>
              <w:t>10, N=2,041</w:t>
            </w:r>
          </w:p>
        </w:tc>
        <w:tc>
          <w:tcPr>
            <w:tcW w:w="806" w:type="pct"/>
            <w:tcBorders>
              <w:top w:val="nil"/>
              <w:bottom w:val="nil"/>
            </w:tcBorders>
            <w:shd w:val="clear" w:color="auto" w:fill="F4B083" w:themeFill="accent2" w:themeFillTint="99"/>
          </w:tcPr>
          <w:p w14:paraId="04840322"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5778F1F6" w14:textId="77777777" w:rsidR="00F01B3E" w:rsidRPr="005D71A4" w:rsidRDefault="00F01B3E" w:rsidP="00BB06A3">
            <w:pPr>
              <w:pStyle w:val="051Tabletext228pt"/>
              <w:rPr>
                <w:sz w:val="18"/>
                <w:szCs w:val="18"/>
              </w:rPr>
            </w:pPr>
            <w:r w:rsidRPr="005D71A4">
              <w:rPr>
                <w:sz w:val="18"/>
                <w:szCs w:val="18"/>
              </w:rPr>
              <w:t>No difference</w:t>
            </w:r>
          </w:p>
        </w:tc>
        <w:tc>
          <w:tcPr>
            <w:tcW w:w="1000" w:type="pct"/>
            <w:tcBorders>
              <w:top w:val="nil"/>
              <w:bottom w:val="nil"/>
            </w:tcBorders>
            <w:shd w:val="clear" w:color="auto" w:fill="auto"/>
          </w:tcPr>
          <w:p w14:paraId="55E75690" w14:textId="77777777" w:rsidR="00F01B3E" w:rsidRPr="005D71A4" w:rsidRDefault="00F01B3E" w:rsidP="00BB06A3">
            <w:pPr>
              <w:pStyle w:val="051Tabletext228pt"/>
              <w:rPr>
                <w:sz w:val="18"/>
                <w:szCs w:val="18"/>
              </w:rPr>
            </w:pPr>
            <w:r w:rsidRPr="005D71A4">
              <w:rPr>
                <w:sz w:val="18"/>
                <w:szCs w:val="18"/>
              </w:rPr>
              <w:t>No difference</w:t>
            </w:r>
          </w:p>
        </w:tc>
      </w:tr>
      <w:tr w:rsidR="00496617" w14:paraId="66895F21" w14:textId="77777777" w:rsidTr="00B226F7">
        <w:tc>
          <w:tcPr>
            <w:tcW w:w="1000" w:type="pct"/>
            <w:tcBorders>
              <w:top w:val="nil"/>
              <w:bottom w:val="single" w:sz="4" w:space="0" w:color="auto"/>
            </w:tcBorders>
          </w:tcPr>
          <w:p w14:paraId="7BB292B2" w14:textId="77777777" w:rsidR="00F01B3E" w:rsidRPr="005D71A4" w:rsidRDefault="00F01B3E" w:rsidP="00BB06A3">
            <w:pPr>
              <w:pStyle w:val="051Tabletext228pt"/>
              <w:rPr>
                <w:sz w:val="18"/>
                <w:szCs w:val="18"/>
              </w:rPr>
            </w:pPr>
            <w:r w:rsidRPr="005D71A4">
              <w:rPr>
                <w:sz w:val="18"/>
                <w:szCs w:val="18"/>
              </w:rPr>
              <w:t>bowel injury</w:t>
            </w:r>
          </w:p>
        </w:tc>
        <w:tc>
          <w:tcPr>
            <w:tcW w:w="1194" w:type="pct"/>
            <w:tcBorders>
              <w:top w:val="nil"/>
              <w:bottom w:val="single" w:sz="4" w:space="0" w:color="auto"/>
            </w:tcBorders>
            <w:shd w:val="clear" w:color="auto" w:fill="auto"/>
          </w:tcPr>
          <w:p w14:paraId="0CB2BA51" w14:textId="77777777" w:rsidR="00F01B3E" w:rsidRPr="005D71A4" w:rsidRDefault="00F01B3E" w:rsidP="00BB06A3">
            <w:pPr>
              <w:pStyle w:val="051Tabletext228pt"/>
              <w:rPr>
                <w:sz w:val="18"/>
                <w:szCs w:val="18"/>
              </w:rPr>
            </w:pPr>
            <w:r w:rsidRPr="005D71A4">
              <w:rPr>
                <w:sz w:val="18"/>
                <w:szCs w:val="18"/>
              </w:rPr>
              <w:t>12, N=1,455</w:t>
            </w:r>
          </w:p>
        </w:tc>
        <w:tc>
          <w:tcPr>
            <w:tcW w:w="806" w:type="pct"/>
            <w:tcBorders>
              <w:top w:val="nil"/>
              <w:bottom w:val="single" w:sz="4" w:space="0" w:color="auto"/>
            </w:tcBorders>
            <w:shd w:val="clear" w:color="auto" w:fill="ACB9CA" w:themeFill="text2" w:themeFillTint="66"/>
          </w:tcPr>
          <w:p w14:paraId="3FA26E72" w14:textId="77777777" w:rsidR="00F01B3E" w:rsidRPr="005D71A4" w:rsidRDefault="00F01B3E" w:rsidP="00BB06A3">
            <w:pPr>
              <w:pStyle w:val="051Tabletext228pt"/>
              <w:rPr>
                <w:sz w:val="18"/>
                <w:szCs w:val="18"/>
              </w:rPr>
            </w:pPr>
            <w:r w:rsidRPr="005D71A4">
              <w:rPr>
                <w:sz w:val="18"/>
                <w:szCs w:val="18"/>
              </w:rPr>
              <w:t>Moderate</w:t>
            </w:r>
          </w:p>
        </w:tc>
        <w:tc>
          <w:tcPr>
            <w:tcW w:w="1000" w:type="pct"/>
            <w:tcBorders>
              <w:top w:val="nil"/>
              <w:bottom w:val="single" w:sz="4" w:space="0" w:color="auto"/>
            </w:tcBorders>
            <w:shd w:val="clear" w:color="auto" w:fill="auto"/>
          </w:tcPr>
          <w:p w14:paraId="5573EE05" w14:textId="77777777" w:rsidR="00F01B3E" w:rsidRPr="005D71A4" w:rsidRDefault="00F01B3E" w:rsidP="00BB06A3">
            <w:pPr>
              <w:pStyle w:val="051Tabletext228pt"/>
              <w:rPr>
                <w:sz w:val="18"/>
                <w:szCs w:val="18"/>
              </w:rPr>
            </w:pPr>
            <w:r w:rsidRPr="005D71A4">
              <w:rPr>
                <w:sz w:val="18"/>
                <w:szCs w:val="18"/>
              </w:rPr>
              <w:t>No events</w:t>
            </w:r>
          </w:p>
        </w:tc>
        <w:tc>
          <w:tcPr>
            <w:tcW w:w="1000" w:type="pct"/>
            <w:tcBorders>
              <w:top w:val="nil"/>
              <w:bottom w:val="single" w:sz="4" w:space="0" w:color="auto"/>
            </w:tcBorders>
            <w:shd w:val="clear" w:color="auto" w:fill="auto"/>
          </w:tcPr>
          <w:p w14:paraId="5B7F1127" w14:textId="77777777" w:rsidR="00F01B3E" w:rsidRPr="005D71A4" w:rsidRDefault="00F01B3E" w:rsidP="00BB06A3">
            <w:pPr>
              <w:pStyle w:val="051Tabletext228pt"/>
              <w:rPr>
                <w:sz w:val="18"/>
                <w:szCs w:val="18"/>
              </w:rPr>
            </w:pPr>
            <w:r w:rsidRPr="005D71A4">
              <w:rPr>
                <w:sz w:val="18"/>
                <w:szCs w:val="18"/>
              </w:rPr>
              <w:t>No events</w:t>
            </w:r>
          </w:p>
        </w:tc>
      </w:tr>
      <w:tr w:rsidR="00496617" w14:paraId="4174245A" w14:textId="77777777" w:rsidTr="00B226F7">
        <w:tc>
          <w:tcPr>
            <w:tcW w:w="1000" w:type="pct"/>
            <w:tcBorders>
              <w:bottom w:val="nil"/>
            </w:tcBorders>
            <w:shd w:val="clear" w:color="auto" w:fill="E7E6E6" w:themeFill="background2"/>
          </w:tcPr>
          <w:p w14:paraId="0EFF2599" w14:textId="2FE27929" w:rsidR="00F01B3E" w:rsidRPr="005D71A4" w:rsidRDefault="00F01B3E" w:rsidP="00BB06A3">
            <w:pPr>
              <w:pStyle w:val="051Tabletext228pt"/>
              <w:rPr>
                <w:b/>
                <w:bCs/>
                <w:sz w:val="18"/>
                <w:szCs w:val="18"/>
                <w:highlight w:val="yellow"/>
              </w:rPr>
            </w:pPr>
            <w:r w:rsidRPr="005D71A4">
              <w:rPr>
                <w:b/>
                <w:bCs/>
                <w:sz w:val="18"/>
                <w:szCs w:val="18"/>
              </w:rPr>
              <w:t>Complications</w:t>
            </w:r>
          </w:p>
        </w:tc>
        <w:tc>
          <w:tcPr>
            <w:tcW w:w="1194" w:type="pct"/>
            <w:tcBorders>
              <w:bottom w:val="nil"/>
            </w:tcBorders>
            <w:shd w:val="clear" w:color="auto" w:fill="E7E6E6" w:themeFill="background2"/>
          </w:tcPr>
          <w:p w14:paraId="6D520DEF" w14:textId="77777777" w:rsidR="00F01B3E" w:rsidRPr="005D71A4" w:rsidRDefault="00F01B3E" w:rsidP="00BB06A3">
            <w:pPr>
              <w:pStyle w:val="051Tabletext228pt"/>
              <w:rPr>
                <w:sz w:val="18"/>
                <w:szCs w:val="18"/>
              </w:rPr>
            </w:pPr>
          </w:p>
        </w:tc>
        <w:tc>
          <w:tcPr>
            <w:tcW w:w="806" w:type="pct"/>
            <w:tcBorders>
              <w:bottom w:val="nil"/>
            </w:tcBorders>
            <w:shd w:val="clear" w:color="auto" w:fill="E7E6E6" w:themeFill="background2"/>
          </w:tcPr>
          <w:p w14:paraId="7FED823B" w14:textId="77777777" w:rsidR="00F01B3E" w:rsidRPr="005D71A4" w:rsidRDefault="00F01B3E" w:rsidP="00BB06A3">
            <w:pPr>
              <w:pStyle w:val="051Tabletext228pt"/>
              <w:rPr>
                <w:sz w:val="18"/>
                <w:szCs w:val="18"/>
              </w:rPr>
            </w:pPr>
          </w:p>
        </w:tc>
        <w:tc>
          <w:tcPr>
            <w:tcW w:w="1000" w:type="pct"/>
            <w:tcBorders>
              <w:bottom w:val="nil"/>
            </w:tcBorders>
            <w:shd w:val="clear" w:color="auto" w:fill="E7E6E6" w:themeFill="background2"/>
          </w:tcPr>
          <w:p w14:paraId="55AA0DBD" w14:textId="77777777" w:rsidR="00F01B3E" w:rsidRPr="005D71A4" w:rsidRDefault="00F01B3E" w:rsidP="00BB06A3">
            <w:pPr>
              <w:pStyle w:val="051Tabletext228pt"/>
              <w:rPr>
                <w:sz w:val="18"/>
                <w:szCs w:val="18"/>
              </w:rPr>
            </w:pPr>
          </w:p>
        </w:tc>
        <w:tc>
          <w:tcPr>
            <w:tcW w:w="1000" w:type="pct"/>
            <w:tcBorders>
              <w:bottom w:val="nil"/>
            </w:tcBorders>
            <w:shd w:val="clear" w:color="auto" w:fill="E7E6E6" w:themeFill="background2"/>
          </w:tcPr>
          <w:p w14:paraId="77DDF2AF" w14:textId="77777777" w:rsidR="00F01B3E" w:rsidRPr="005D71A4" w:rsidRDefault="00F01B3E" w:rsidP="00BB06A3">
            <w:pPr>
              <w:pStyle w:val="051Tabletext228pt"/>
              <w:rPr>
                <w:sz w:val="18"/>
                <w:szCs w:val="18"/>
              </w:rPr>
            </w:pPr>
          </w:p>
        </w:tc>
      </w:tr>
      <w:tr w:rsidR="009C69FE" w14:paraId="62BA14CF" w14:textId="77777777" w:rsidTr="00B226F7">
        <w:tc>
          <w:tcPr>
            <w:tcW w:w="1000" w:type="pct"/>
            <w:tcBorders>
              <w:top w:val="nil"/>
              <w:bottom w:val="nil"/>
            </w:tcBorders>
          </w:tcPr>
          <w:p w14:paraId="50660B48" w14:textId="77777777" w:rsidR="00F01B3E" w:rsidRPr="005D71A4" w:rsidRDefault="00F01B3E" w:rsidP="00BB06A3">
            <w:pPr>
              <w:pStyle w:val="051Tabletext228pt"/>
              <w:rPr>
                <w:sz w:val="18"/>
                <w:szCs w:val="18"/>
              </w:rPr>
            </w:pPr>
            <w:r w:rsidRPr="005D71A4">
              <w:rPr>
                <w:sz w:val="18"/>
                <w:szCs w:val="18"/>
              </w:rPr>
              <w:t>infection</w:t>
            </w:r>
          </w:p>
        </w:tc>
        <w:tc>
          <w:tcPr>
            <w:tcW w:w="1194" w:type="pct"/>
            <w:tcBorders>
              <w:top w:val="nil"/>
              <w:bottom w:val="nil"/>
            </w:tcBorders>
            <w:shd w:val="clear" w:color="auto" w:fill="auto"/>
          </w:tcPr>
          <w:p w14:paraId="75CB9A87" w14:textId="77777777" w:rsidR="00F01B3E" w:rsidRPr="005D71A4" w:rsidRDefault="00F01B3E" w:rsidP="00BB06A3">
            <w:pPr>
              <w:pStyle w:val="051Tabletext228pt"/>
              <w:rPr>
                <w:sz w:val="18"/>
                <w:szCs w:val="18"/>
              </w:rPr>
            </w:pPr>
            <w:r w:rsidRPr="005D71A4">
              <w:rPr>
                <w:sz w:val="18"/>
                <w:szCs w:val="18"/>
              </w:rPr>
              <w:t>17, N=3,245 (S); 7, N=1,838 (M); 2, N=268 (L)</w:t>
            </w:r>
          </w:p>
        </w:tc>
        <w:tc>
          <w:tcPr>
            <w:tcW w:w="806" w:type="pct"/>
            <w:tcBorders>
              <w:top w:val="nil"/>
              <w:bottom w:val="nil"/>
            </w:tcBorders>
            <w:shd w:val="clear" w:color="auto" w:fill="F4B083" w:themeFill="accent2" w:themeFillTint="99"/>
          </w:tcPr>
          <w:p w14:paraId="1EF410ED"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143A0C86" w14:textId="77777777" w:rsidR="00F01B3E" w:rsidRPr="005D71A4" w:rsidRDefault="00F01B3E" w:rsidP="00BB06A3">
            <w:pPr>
              <w:pStyle w:val="051Tabletext228pt"/>
              <w:rPr>
                <w:sz w:val="18"/>
                <w:szCs w:val="18"/>
              </w:rPr>
            </w:pPr>
            <w:r w:rsidRPr="005D71A4">
              <w:rPr>
                <w:sz w:val="18"/>
                <w:szCs w:val="18"/>
              </w:rPr>
              <w:t>No difference (S, M, L)</w:t>
            </w:r>
          </w:p>
        </w:tc>
        <w:tc>
          <w:tcPr>
            <w:tcW w:w="1000" w:type="pct"/>
            <w:tcBorders>
              <w:top w:val="nil"/>
              <w:bottom w:val="nil"/>
            </w:tcBorders>
            <w:shd w:val="clear" w:color="auto" w:fill="auto"/>
          </w:tcPr>
          <w:p w14:paraId="11FF1B8B" w14:textId="77777777" w:rsidR="00F01B3E" w:rsidRPr="005D71A4" w:rsidRDefault="00F01B3E" w:rsidP="00BB06A3">
            <w:pPr>
              <w:pStyle w:val="051Tabletext228pt"/>
              <w:rPr>
                <w:sz w:val="18"/>
                <w:szCs w:val="18"/>
              </w:rPr>
            </w:pPr>
            <w:r w:rsidRPr="005D71A4">
              <w:rPr>
                <w:sz w:val="18"/>
                <w:szCs w:val="18"/>
              </w:rPr>
              <w:t>No difference (S, M, L)</w:t>
            </w:r>
          </w:p>
        </w:tc>
      </w:tr>
      <w:tr w:rsidR="009C69FE" w14:paraId="318D7747" w14:textId="77777777" w:rsidTr="00B226F7">
        <w:tc>
          <w:tcPr>
            <w:tcW w:w="1000" w:type="pct"/>
            <w:tcBorders>
              <w:top w:val="nil"/>
              <w:bottom w:val="nil"/>
            </w:tcBorders>
          </w:tcPr>
          <w:p w14:paraId="0D0FE6DB" w14:textId="77777777" w:rsidR="00F01B3E" w:rsidRPr="005D71A4" w:rsidRDefault="00F01B3E" w:rsidP="00BB06A3">
            <w:pPr>
              <w:pStyle w:val="051Tabletext228pt"/>
              <w:rPr>
                <w:sz w:val="18"/>
                <w:szCs w:val="18"/>
              </w:rPr>
            </w:pPr>
            <w:r w:rsidRPr="005D71A4">
              <w:rPr>
                <w:sz w:val="18"/>
                <w:szCs w:val="18"/>
              </w:rPr>
              <w:t>POP</w:t>
            </w:r>
          </w:p>
        </w:tc>
        <w:tc>
          <w:tcPr>
            <w:tcW w:w="1194" w:type="pct"/>
            <w:tcBorders>
              <w:top w:val="nil"/>
              <w:bottom w:val="nil"/>
            </w:tcBorders>
            <w:shd w:val="clear" w:color="auto" w:fill="auto"/>
          </w:tcPr>
          <w:p w14:paraId="36182911" w14:textId="77777777" w:rsidR="00F01B3E" w:rsidRPr="005D71A4" w:rsidRDefault="00F01B3E" w:rsidP="00BB06A3">
            <w:pPr>
              <w:pStyle w:val="051Tabletext228pt"/>
              <w:rPr>
                <w:sz w:val="18"/>
                <w:szCs w:val="18"/>
              </w:rPr>
            </w:pPr>
            <w:r w:rsidRPr="005D71A4">
              <w:rPr>
                <w:sz w:val="18"/>
                <w:szCs w:val="18"/>
              </w:rPr>
              <w:t>1, N=87 (L)</w:t>
            </w:r>
          </w:p>
        </w:tc>
        <w:tc>
          <w:tcPr>
            <w:tcW w:w="806" w:type="pct"/>
            <w:tcBorders>
              <w:top w:val="nil"/>
              <w:bottom w:val="nil"/>
            </w:tcBorders>
            <w:shd w:val="clear" w:color="auto" w:fill="F4B083" w:themeFill="accent2" w:themeFillTint="99"/>
          </w:tcPr>
          <w:p w14:paraId="57EC42E9"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1DCFDC15" w14:textId="77777777" w:rsidR="00F01B3E" w:rsidRPr="005D71A4" w:rsidRDefault="00F01B3E" w:rsidP="00BB06A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4A3AD9A2" w14:textId="77777777" w:rsidR="00F01B3E" w:rsidRPr="005D71A4" w:rsidRDefault="00F01B3E" w:rsidP="00BB06A3">
            <w:pPr>
              <w:pStyle w:val="051Tabletext228pt"/>
              <w:rPr>
                <w:sz w:val="18"/>
                <w:szCs w:val="18"/>
              </w:rPr>
            </w:pPr>
            <w:r w:rsidRPr="005D71A4">
              <w:rPr>
                <w:sz w:val="18"/>
                <w:szCs w:val="18"/>
              </w:rPr>
              <w:t>No difference (L)</w:t>
            </w:r>
          </w:p>
        </w:tc>
      </w:tr>
      <w:tr w:rsidR="00496617" w14:paraId="3D892638" w14:textId="77777777" w:rsidTr="00B226F7">
        <w:tc>
          <w:tcPr>
            <w:tcW w:w="1000" w:type="pct"/>
            <w:tcBorders>
              <w:top w:val="nil"/>
              <w:bottom w:val="nil"/>
            </w:tcBorders>
          </w:tcPr>
          <w:p w14:paraId="1F00941E" w14:textId="77777777" w:rsidR="00F01B3E" w:rsidRPr="005D71A4" w:rsidRDefault="00F01B3E" w:rsidP="00BB06A3">
            <w:pPr>
              <w:pStyle w:val="051Tabletext228pt"/>
              <w:rPr>
                <w:sz w:val="18"/>
                <w:szCs w:val="18"/>
              </w:rPr>
            </w:pPr>
            <w:r w:rsidRPr="005D71A4">
              <w:rPr>
                <w:sz w:val="18"/>
                <w:szCs w:val="18"/>
              </w:rPr>
              <w:t>pain</w:t>
            </w:r>
          </w:p>
        </w:tc>
        <w:tc>
          <w:tcPr>
            <w:tcW w:w="1194" w:type="pct"/>
            <w:tcBorders>
              <w:top w:val="nil"/>
              <w:bottom w:val="nil"/>
            </w:tcBorders>
            <w:shd w:val="clear" w:color="auto" w:fill="auto"/>
          </w:tcPr>
          <w:p w14:paraId="743F04AF" w14:textId="77777777" w:rsidR="00F01B3E" w:rsidRPr="005D71A4" w:rsidRDefault="00F01B3E" w:rsidP="00BB06A3">
            <w:pPr>
              <w:pStyle w:val="051Tabletext228pt"/>
              <w:rPr>
                <w:sz w:val="18"/>
                <w:szCs w:val="18"/>
              </w:rPr>
            </w:pPr>
            <w:r w:rsidRPr="005D71A4">
              <w:rPr>
                <w:sz w:val="18"/>
                <w:szCs w:val="18"/>
              </w:rPr>
              <w:t>19, N=3618 (S)</w:t>
            </w:r>
          </w:p>
        </w:tc>
        <w:tc>
          <w:tcPr>
            <w:tcW w:w="806" w:type="pct"/>
            <w:tcBorders>
              <w:top w:val="nil"/>
              <w:bottom w:val="nil"/>
            </w:tcBorders>
            <w:shd w:val="clear" w:color="auto" w:fill="ACB9CA" w:themeFill="text2" w:themeFillTint="66"/>
          </w:tcPr>
          <w:p w14:paraId="30A399D9" w14:textId="77777777" w:rsidR="00F01B3E" w:rsidRPr="005D71A4" w:rsidRDefault="00F01B3E" w:rsidP="00BB06A3">
            <w:pPr>
              <w:pStyle w:val="051Tabletext228pt"/>
              <w:rPr>
                <w:sz w:val="18"/>
                <w:szCs w:val="18"/>
              </w:rPr>
            </w:pPr>
            <w:r w:rsidRPr="005D71A4">
              <w:rPr>
                <w:sz w:val="18"/>
                <w:szCs w:val="18"/>
              </w:rPr>
              <w:t>Moderate</w:t>
            </w:r>
          </w:p>
        </w:tc>
        <w:tc>
          <w:tcPr>
            <w:tcW w:w="1000" w:type="pct"/>
            <w:tcBorders>
              <w:top w:val="nil"/>
              <w:bottom w:val="nil"/>
            </w:tcBorders>
            <w:shd w:val="clear" w:color="auto" w:fill="E5DDEB"/>
          </w:tcPr>
          <w:p w14:paraId="0F51DF72" w14:textId="77777777" w:rsidR="00F01B3E" w:rsidRPr="005D71A4" w:rsidRDefault="00F01B3E" w:rsidP="00BB06A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52F5C213" w14:textId="77777777" w:rsidR="00F01B3E" w:rsidRPr="005D71A4" w:rsidRDefault="00F01B3E" w:rsidP="00BB06A3">
            <w:pPr>
              <w:pStyle w:val="051Tabletext228pt"/>
              <w:rPr>
                <w:sz w:val="18"/>
                <w:szCs w:val="18"/>
              </w:rPr>
            </w:pPr>
            <w:r w:rsidRPr="005D71A4">
              <w:rPr>
                <w:sz w:val="18"/>
                <w:szCs w:val="18"/>
              </w:rPr>
              <w:t>Favours RP-MUS (S)</w:t>
            </w:r>
          </w:p>
        </w:tc>
      </w:tr>
      <w:tr w:rsidR="00496617" w14:paraId="2785A66B" w14:textId="77777777" w:rsidTr="00B226F7">
        <w:tc>
          <w:tcPr>
            <w:tcW w:w="1000" w:type="pct"/>
            <w:tcBorders>
              <w:top w:val="nil"/>
              <w:bottom w:val="nil"/>
            </w:tcBorders>
          </w:tcPr>
          <w:p w14:paraId="156CC737" w14:textId="77777777" w:rsidR="00F01B3E" w:rsidRPr="005D71A4" w:rsidRDefault="00F01B3E" w:rsidP="00BB06A3">
            <w:pPr>
              <w:pStyle w:val="051Tabletext228pt"/>
              <w:rPr>
                <w:sz w:val="18"/>
                <w:szCs w:val="18"/>
              </w:rPr>
            </w:pPr>
          </w:p>
        </w:tc>
        <w:tc>
          <w:tcPr>
            <w:tcW w:w="1194" w:type="pct"/>
            <w:tcBorders>
              <w:top w:val="nil"/>
              <w:bottom w:val="nil"/>
            </w:tcBorders>
            <w:shd w:val="clear" w:color="auto" w:fill="auto"/>
          </w:tcPr>
          <w:p w14:paraId="09234C7F" w14:textId="77777777" w:rsidR="00F01B3E" w:rsidRPr="005D71A4" w:rsidRDefault="00F01B3E" w:rsidP="00BB06A3">
            <w:pPr>
              <w:pStyle w:val="051Tabletext228pt"/>
              <w:rPr>
                <w:sz w:val="18"/>
                <w:szCs w:val="18"/>
              </w:rPr>
            </w:pPr>
            <w:r w:rsidRPr="005D71A4">
              <w:rPr>
                <w:sz w:val="18"/>
                <w:szCs w:val="18"/>
              </w:rPr>
              <w:t>11, N=1,953 (M); 2, N=207 (L)</w:t>
            </w:r>
          </w:p>
        </w:tc>
        <w:tc>
          <w:tcPr>
            <w:tcW w:w="806" w:type="pct"/>
            <w:tcBorders>
              <w:top w:val="nil"/>
              <w:bottom w:val="nil"/>
            </w:tcBorders>
            <w:shd w:val="clear" w:color="auto" w:fill="F4B083" w:themeFill="accent2" w:themeFillTint="99"/>
          </w:tcPr>
          <w:p w14:paraId="2A3A4A80"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FFFFFF" w:themeFill="background1"/>
          </w:tcPr>
          <w:p w14:paraId="1948EA57" w14:textId="77777777" w:rsidR="00F01B3E" w:rsidRPr="005D71A4" w:rsidRDefault="00F01B3E" w:rsidP="00BB06A3">
            <w:pPr>
              <w:pStyle w:val="051Tabletext228pt"/>
              <w:rPr>
                <w:sz w:val="18"/>
                <w:szCs w:val="18"/>
              </w:rPr>
            </w:pPr>
            <w:r w:rsidRPr="005D71A4">
              <w:rPr>
                <w:sz w:val="18"/>
                <w:szCs w:val="18"/>
              </w:rPr>
              <w:t>No difference (M, L)</w:t>
            </w:r>
          </w:p>
        </w:tc>
        <w:tc>
          <w:tcPr>
            <w:tcW w:w="1000" w:type="pct"/>
            <w:tcBorders>
              <w:top w:val="nil"/>
              <w:bottom w:val="nil"/>
            </w:tcBorders>
            <w:shd w:val="clear" w:color="auto" w:fill="FFFFFF" w:themeFill="background1"/>
          </w:tcPr>
          <w:p w14:paraId="1D52DD48" w14:textId="77777777" w:rsidR="00F01B3E" w:rsidRPr="005D71A4" w:rsidRDefault="00F01B3E" w:rsidP="00BB06A3">
            <w:pPr>
              <w:pStyle w:val="051Tabletext228pt"/>
              <w:rPr>
                <w:sz w:val="18"/>
                <w:szCs w:val="18"/>
              </w:rPr>
            </w:pPr>
            <w:r w:rsidRPr="005D71A4">
              <w:rPr>
                <w:sz w:val="18"/>
                <w:szCs w:val="18"/>
              </w:rPr>
              <w:t>No difference (M, L)</w:t>
            </w:r>
          </w:p>
        </w:tc>
      </w:tr>
      <w:tr w:rsidR="00496617" w14:paraId="60B68A75" w14:textId="77777777" w:rsidTr="00B226F7">
        <w:tc>
          <w:tcPr>
            <w:tcW w:w="1000" w:type="pct"/>
            <w:tcBorders>
              <w:top w:val="nil"/>
              <w:bottom w:val="nil"/>
            </w:tcBorders>
          </w:tcPr>
          <w:p w14:paraId="0562C74E" w14:textId="77777777" w:rsidR="00F01B3E" w:rsidRPr="005D71A4" w:rsidRDefault="00F01B3E" w:rsidP="00BB06A3">
            <w:pPr>
              <w:pStyle w:val="051Tabletext228pt"/>
              <w:rPr>
                <w:sz w:val="18"/>
                <w:szCs w:val="18"/>
              </w:rPr>
            </w:pPr>
            <w:r w:rsidRPr="005D71A4">
              <w:rPr>
                <w:sz w:val="18"/>
                <w:szCs w:val="18"/>
              </w:rPr>
              <w:t>mesh extrusion</w:t>
            </w:r>
          </w:p>
        </w:tc>
        <w:tc>
          <w:tcPr>
            <w:tcW w:w="1194" w:type="pct"/>
            <w:tcBorders>
              <w:top w:val="nil"/>
              <w:bottom w:val="nil"/>
            </w:tcBorders>
            <w:shd w:val="clear" w:color="auto" w:fill="auto"/>
          </w:tcPr>
          <w:p w14:paraId="3984A0BA" w14:textId="77777777" w:rsidR="00F01B3E" w:rsidRPr="005D71A4" w:rsidRDefault="00F01B3E" w:rsidP="00BB06A3">
            <w:pPr>
              <w:pStyle w:val="051Tabletext228pt"/>
              <w:rPr>
                <w:sz w:val="18"/>
                <w:szCs w:val="18"/>
              </w:rPr>
            </w:pPr>
            <w:r w:rsidRPr="005D71A4">
              <w:rPr>
                <w:sz w:val="18"/>
                <w:szCs w:val="18"/>
              </w:rPr>
              <w:t>22, N=3,829 (S)</w:t>
            </w:r>
          </w:p>
        </w:tc>
        <w:tc>
          <w:tcPr>
            <w:tcW w:w="806" w:type="pct"/>
            <w:tcBorders>
              <w:top w:val="nil"/>
              <w:bottom w:val="nil"/>
            </w:tcBorders>
            <w:shd w:val="clear" w:color="auto" w:fill="FFE599" w:themeFill="accent4" w:themeFillTint="66"/>
          </w:tcPr>
          <w:p w14:paraId="3016CB8D" w14:textId="77777777" w:rsidR="00F01B3E" w:rsidRPr="005D71A4" w:rsidRDefault="00F01B3E" w:rsidP="00BB06A3">
            <w:pPr>
              <w:pStyle w:val="051Tabletext228pt"/>
              <w:rPr>
                <w:sz w:val="18"/>
                <w:szCs w:val="18"/>
              </w:rPr>
            </w:pPr>
            <w:r w:rsidRPr="005D71A4">
              <w:rPr>
                <w:sz w:val="18"/>
                <w:szCs w:val="18"/>
              </w:rPr>
              <w:t>Low</w:t>
            </w:r>
          </w:p>
        </w:tc>
        <w:tc>
          <w:tcPr>
            <w:tcW w:w="1000" w:type="pct"/>
            <w:tcBorders>
              <w:top w:val="nil"/>
              <w:bottom w:val="nil"/>
            </w:tcBorders>
            <w:shd w:val="clear" w:color="auto" w:fill="E5DDEB"/>
          </w:tcPr>
          <w:p w14:paraId="758B9ABD" w14:textId="77777777" w:rsidR="00F01B3E" w:rsidRPr="005D71A4" w:rsidRDefault="00F01B3E" w:rsidP="00BB06A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07BC3F8C" w14:textId="77777777" w:rsidR="00F01B3E" w:rsidRPr="005D71A4" w:rsidRDefault="00F01B3E" w:rsidP="00BB06A3">
            <w:pPr>
              <w:pStyle w:val="051Tabletext228pt"/>
              <w:rPr>
                <w:sz w:val="18"/>
                <w:szCs w:val="18"/>
              </w:rPr>
            </w:pPr>
            <w:r w:rsidRPr="005D71A4">
              <w:rPr>
                <w:sz w:val="18"/>
                <w:szCs w:val="18"/>
              </w:rPr>
              <w:t>Favours RP-MUS (S)</w:t>
            </w:r>
          </w:p>
        </w:tc>
      </w:tr>
      <w:tr w:rsidR="00496617" w14:paraId="20CD7138" w14:textId="77777777" w:rsidTr="00B226F7">
        <w:tc>
          <w:tcPr>
            <w:tcW w:w="1000" w:type="pct"/>
            <w:tcBorders>
              <w:top w:val="nil"/>
              <w:bottom w:val="nil"/>
            </w:tcBorders>
          </w:tcPr>
          <w:p w14:paraId="03D96929" w14:textId="77777777" w:rsidR="00F01B3E" w:rsidRPr="005D71A4" w:rsidRDefault="00F01B3E" w:rsidP="00BB06A3">
            <w:pPr>
              <w:pStyle w:val="051Tabletext228pt"/>
              <w:rPr>
                <w:sz w:val="18"/>
                <w:szCs w:val="18"/>
              </w:rPr>
            </w:pPr>
          </w:p>
        </w:tc>
        <w:tc>
          <w:tcPr>
            <w:tcW w:w="1194" w:type="pct"/>
            <w:tcBorders>
              <w:top w:val="nil"/>
              <w:bottom w:val="nil"/>
            </w:tcBorders>
            <w:shd w:val="clear" w:color="auto" w:fill="auto"/>
          </w:tcPr>
          <w:p w14:paraId="46A3FD85" w14:textId="77777777" w:rsidR="00F01B3E" w:rsidRPr="005D71A4" w:rsidRDefault="00F01B3E" w:rsidP="00BB06A3">
            <w:pPr>
              <w:pStyle w:val="051Tabletext228pt"/>
              <w:rPr>
                <w:sz w:val="18"/>
                <w:szCs w:val="18"/>
              </w:rPr>
            </w:pPr>
            <w:r w:rsidRPr="005D71A4">
              <w:rPr>
                <w:sz w:val="18"/>
                <w:szCs w:val="18"/>
              </w:rPr>
              <w:t>12, N=2,279 (M)</w:t>
            </w:r>
          </w:p>
        </w:tc>
        <w:tc>
          <w:tcPr>
            <w:tcW w:w="806" w:type="pct"/>
            <w:tcBorders>
              <w:top w:val="nil"/>
              <w:bottom w:val="nil"/>
            </w:tcBorders>
            <w:shd w:val="clear" w:color="auto" w:fill="F4B083" w:themeFill="accent2" w:themeFillTint="99"/>
          </w:tcPr>
          <w:p w14:paraId="1C41B6ED"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2013733F" w14:textId="77777777" w:rsidR="00F01B3E" w:rsidRPr="005D71A4" w:rsidRDefault="00F01B3E" w:rsidP="00BB06A3">
            <w:pPr>
              <w:pStyle w:val="051Tabletext228pt"/>
              <w:rPr>
                <w:sz w:val="18"/>
                <w:szCs w:val="18"/>
              </w:rPr>
            </w:pPr>
            <w:r w:rsidRPr="005D71A4">
              <w:rPr>
                <w:sz w:val="18"/>
                <w:szCs w:val="18"/>
              </w:rPr>
              <w:t>Favours RP-MUS (M)</w:t>
            </w:r>
          </w:p>
        </w:tc>
        <w:tc>
          <w:tcPr>
            <w:tcW w:w="1000" w:type="pct"/>
            <w:tcBorders>
              <w:top w:val="nil"/>
              <w:bottom w:val="nil"/>
            </w:tcBorders>
            <w:shd w:val="clear" w:color="auto" w:fill="E5DDEB"/>
          </w:tcPr>
          <w:p w14:paraId="253906DD" w14:textId="77777777" w:rsidR="00F01B3E" w:rsidRPr="005D71A4" w:rsidRDefault="00F01B3E" w:rsidP="00BB06A3">
            <w:pPr>
              <w:pStyle w:val="051Tabletext228pt"/>
              <w:rPr>
                <w:sz w:val="18"/>
                <w:szCs w:val="18"/>
              </w:rPr>
            </w:pPr>
            <w:r w:rsidRPr="005D71A4">
              <w:rPr>
                <w:sz w:val="18"/>
                <w:szCs w:val="18"/>
              </w:rPr>
              <w:t>Favours RP-MUS (M)</w:t>
            </w:r>
          </w:p>
        </w:tc>
      </w:tr>
      <w:tr w:rsidR="00496617" w14:paraId="61A9E5B6" w14:textId="77777777" w:rsidTr="00B226F7">
        <w:tc>
          <w:tcPr>
            <w:tcW w:w="1000" w:type="pct"/>
            <w:tcBorders>
              <w:top w:val="nil"/>
              <w:bottom w:val="nil"/>
            </w:tcBorders>
          </w:tcPr>
          <w:p w14:paraId="179DCFC5" w14:textId="77777777" w:rsidR="00F01B3E" w:rsidRPr="005D71A4" w:rsidRDefault="00F01B3E" w:rsidP="00BB06A3">
            <w:pPr>
              <w:pStyle w:val="051Tabletext228pt"/>
              <w:rPr>
                <w:sz w:val="18"/>
                <w:szCs w:val="18"/>
              </w:rPr>
            </w:pPr>
            <w:r w:rsidRPr="005D71A4">
              <w:rPr>
                <w:sz w:val="18"/>
                <w:szCs w:val="18"/>
              </w:rPr>
              <w:t>need for catheterisation</w:t>
            </w:r>
          </w:p>
        </w:tc>
        <w:tc>
          <w:tcPr>
            <w:tcW w:w="1194" w:type="pct"/>
            <w:tcBorders>
              <w:top w:val="nil"/>
              <w:bottom w:val="nil"/>
            </w:tcBorders>
            <w:shd w:val="clear" w:color="auto" w:fill="auto"/>
          </w:tcPr>
          <w:p w14:paraId="1C3876D6" w14:textId="77777777" w:rsidR="00F01B3E" w:rsidRPr="005D71A4" w:rsidRDefault="00F01B3E" w:rsidP="00BB06A3">
            <w:pPr>
              <w:pStyle w:val="051Tabletext228pt"/>
              <w:rPr>
                <w:sz w:val="18"/>
                <w:szCs w:val="18"/>
              </w:rPr>
            </w:pPr>
            <w:r w:rsidRPr="005D71A4">
              <w:rPr>
                <w:sz w:val="18"/>
                <w:szCs w:val="18"/>
              </w:rPr>
              <w:t>16, N=3,039 (S)</w:t>
            </w:r>
          </w:p>
        </w:tc>
        <w:tc>
          <w:tcPr>
            <w:tcW w:w="806" w:type="pct"/>
            <w:tcBorders>
              <w:top w:val="nil"/>
              <w:bottom w:val="nil"/>
            </w:tcBorders>
            <w:shd w:val="clear" w:color="auto" w:fill="FFE599" w:themeFill="accent4" w:themeFillTint="66"/>
          </w:tcPr>
          <w:p w14:paraId="3D33A10C" w14:textId="77777777" w:rsidR="00F01B3E" w:rsidRPr="005D71A4" w:rsidRDefault="00F01B3E" w:rsidP="00BB06A3">
            <w:pPr>
              <w:pStyle w:val="051Tabletext228pt"/>
              <w:rPr>
                <w:sz w:val="18"/>
                <w:szCs w:val="18"/>
              </w:rPr>
            </w:pPr>
            <w:r w:rsidRPr="005D71A4">
              <w:rPr>
                <w:sz w:val="18"/>
                <w:szCs w:val="18"/>
              </w:rPr>
              <w:t>Low</w:t>
            </w:r>
          </w:p>
        </w:tc>
        <w:tc>
          <w:tcPr>
            <w:tcW w:w="1000" w:type="pct"/>
            <w:tcBorders>
              <w:top w:val="nil"/>
              <w:bottom w:val="nil"/>
            </w:tcBorders>
            <w:shd w:val="clear" w:color="auto" w:fill="FFCCCC"/>
          </w:tcPr>
          <w:p w14:paraId="00B610C5" w14:textId="77777777" w:rsidR="00F01B3E" w:rsidRPr="005D71A4" w:rsidRDefault="00F01B3E" w:rsidP="00BB06A3">
            <w:pPr>
              <w:pStyle w:val="051Tabletext228pt"/>
              <w:rPr>
                <w:sz w:val="18"/>
                <w:szCs w:val="18"/>
              </w:rPr>
            </w:pPr>
            <w:r w:rsidRPr="005D71A4">
              <w:rPr>
                <w:sz w:val="18"/>
                <w:szCs w:val="18"/>
              </w:rPr>
              <w:t>Favours TO-MUS (S)</w:t>
            </w:r>
          </w:p>
        </w:tc>
        <w:tc>
          <w:tcPr>
            <w:tcW w:w="1000" w:type="pct"/>
            <w:tcBorders>
              <w:top w:val="nil"/>
              <w:bottom w:val="nil"/>
            </w:tcBorders>
            <w:shd w:val="clear" w:color="auto" w:fill="FFCCCC"/>
          </w:tcPr>
          <w:p w14:paraId="63AE0D03" w14:textId="77777777" w:rsidR="00F01B3E" w:rsidRPr="005D71A4" w:rsidRDefault="00F01B3E" w:rsidP="00BB06A3">
            <w:pPr>
              <w:pStyle w:val="051Tabletext228pt"/>
              <w:rPr>
                <w:sz w:val="18"/>
                <w:szCs w:val="18"/>
              </w:rPr>
            </w:pPr>
            <w:r w:rsidRPr="005D71A4">
              <w:rPr>
                <w:sz w:val="18"/>
                <w:szCs w:val="18"/>
              </w:rPr>
              <w:t>Favours TO-MUS (S)</w:t>
            </w:r>
          </w:p>
        </w:tc>
      </w:tr>
      <w:tr w:rsidR="009C69FE" w14:paraId="3906FE70" w14:textId="77777777" w:rsidTr="00B226F7">
        <w:tc>
          <w:tcPr>
            <w:tcW w:w="1000" w:type="pct"/>
            <w:tcBorders>
              <w:top w:val="nil"/>
              <w:bottom w:val="nil"/>
            </w:tcBorders>
          </w:tcPr>
          <w:p w14:paraId="60EFBD2E" w14:textId="77777777" w:rsidR="00F01B3E" w:rsidRPr="005D71A4" w:rsidRDefault="00F01B3E" w:rsidP="00BB06A3">
            <w:pPr>
              <w:pStyle w:val="051Tabletext228pt"/>
              <w:rPr>
                <w:sz w:val="18"/>
                <w:szCs w:val="18"/>
              </w:rPr>
            </w:pPr>
          </w:p>
        </w:tc>
        <w:tc>
          <w:tcPr>
            <w:tcW w:w="1194" w:type="pct"/>
            <w:tcBorders>
              <w:top w:val="nil"/>
              <w:bottom w:val="nil"/>
            </w:tcBorders>
            <w:shd w:val="clear" w:color="auto" w:fill="auto"/>
          </w:tcPr>
          <w:p w14:paraId="683967C6" w14:textId="77777777" w:rsidR="00F01B3E" w:rsidRPr="005D71A4" w:rsidRDefault="00F01B3E" w:rsidP="00BB06A3">
            <w:pPr>
              <w:pStyle w:val="051Tabletext228pt"/>
              <w:rPr>
                <w:sz w:val="18"/>
                <w:szCs w:val="18"/>
              </w:rPr>
            </w:pPr>
            <w:r w:rsidRPr="005D71A4">
              <w:rPr>
                <w:sz w:val="18"/>
                <w:szCs w:val="18"/>
              </w:rPr>
              <w:t>4, N=822 (M)</w:t>
            </w:r>
          </w:p>
        </w:tc>
        <w:tc>
          <w:tcPr>
            <w:tcW w:w="806" w:type="pct"/>
            <w:tcBorders>
              <w:top w:val="nil"/>
              <w:bottom w:val="nil"/>
            </w:tcBorders>
            <w:shd w:val="clear" w:color="auto" w:fill="F4B083" w:themeFill="accent2" w:themeFillTint="99"/>
          </w:tcPr>
          <w:p w14:paraId="7D4EFD81"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5A603140" w14:textId="77777777" w:rsidR="00F01B3E" w:rsidRPr="005D71A4" w:rsidRDefault="00F01B3E" w:rsidP="00BB06A3">
            <w:pPr>
              <w:pStyle w:val="051Tabletext228pt"/>
              <w:rPr>
                <w:sz w:val="18"/>
                <w:szCs w:val="18"/>
              </w:rPr>
            </w:pPr>
            <w:r w:rsidRPr="005D71A4">
              <w:rPr>
                <w:sz w:val="18"/>
                <w:szCs w:val="18"/>
              </w:rPr>
              <w:t>No difference (M)</w:t>
            </w:r>
          </w:p>
        </w:tc>
        <w:tc>
          <w:tcPr>
            <w:tcW w:w="1000" w:type="pct"/>
            <w:tcBorders>
              <w:top w:val="nil"/>
              <w:bottom w:val="nil"/>
            </w:tcBorders>
            <w:shd w:val="clear" w:color="auto" w:fill="auto"/>
          </w:tcPr>
          <w:p w14:paraId="374E59F7" w14:textId="77777777" w:rsidR="00F01B3E" w:rsidRPr="005D71A4" w:rsidRDefault="00F01B3E" w:rsidP="00BB06A3">
            <w:pPr>
              <w:pStyle w:val="051Tabletext228pt"/>
              <w:rPr>
                <w:sz w:val="18"/>
                <w:szCs w:val="18"/>
              </w:rPr>
            </w:pPr>
            <w:r w:rsidRPr="005D71A4">
              <w:rPr>
                <w:sz w:val="18"/>
                <w:szCs w:val="18"/>
              </w:rPr>
              <w:t>No difference (M)</w:t>
            </w:r>
          </w:p>
        </w:tc>
      </w:tr>
      <w:tr w:rsidR="009C69FE" w14:paraId="07FA23DC" w14:textId="77777777" w:rsidTr="00B226F7">
        <w:tc>
          <w:tcPr>
            <w:tcW w:w="1000" w:type="pct"/>
            <w:tcBorders>
              <w:top w:val="nil"/>
              <w:bottom w:val="nil"/>
            </w:tcBorders>
          </w:tcPr>
          <w:p w14:paraId="0A952743" w14:textId="77777777" w:rsidR="00F01B3E" w:rsidRPr="005D71A4" w:rsidRDefault="00F01B3E" w:rsidP="00BB06A3">
            <w:pPr>
              <w:pStyle w:val="051Tabletext228pt"/>
              <w:rPr>
                <w:sz w:val="18"/>
                <w:szCs w:val="18"/>
              </w:rPr>
            </w:pPr>
            <w:r w:rsidRPr="005D71A4">
              <w:rPr>
                <w:sz w:val="18"/>
                <w:szCs w:val="18"/>
              </w:rPr>
              <w:t>de novo urgency</w:t>
            </w:r>
          </w:p>
        </w:tc>
        <w:tc>
          <w:tcPr>
            <w:tcW w:w="1194" w:type="pct"/>
            <w:tcBorders>
              <w:top w:val="nil"/>
              <w:bottom w:val="nil"/>
            </w:tcBorders>
            <w:shd w:val="clear" w:color="auto" w:fill="auto"/>
          </w:tcPr>
          <w:p w14:paraId="170FF57B" w14:textId="77777777" w:rsidR="00F01B3E" w:rsidRPr="005D71A4" w:rsidRDefault="00F01B3E" w:rsidP="00BB06A3">
            <w:pPr>
              <w:pStyle w:val="051Tabletext228pt"/>
              <w:rPr>
                <w:sz w:val="18"/>
                <w:szCs w:val="18"/>
              </w:rPr>
            </w:pPr>
            <w:r w:rsidRPr="005D71A4">
              <w:rPr>
                <w:sz w:val="18"/>
                <w:szCs w:val="18"/>
              </w:rPr>
              <w:t>8, N=1,164 (S); 7, N=761 (M)</w:t>
            </w:r>
          </w:p>
        </w:tc>
        <w:tc>
          <w:tcPr>
            <w:tcW w:w="806" w:type="pct"/>
            <w:tcBorders>
              <w:top w:val="nil"/>
              <w:bottom w:val="nil"/>
            </w:tcBorders>
            <w:shd w:val="clear" w:color="auto" w:fill="F4B083" w:themeFill="accent2" w:themeFillTint="99"/>
          </w:tcPr>
          <w:p w14:paraId="5A4935BE"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459F8D7E" w14:textId="77777777" w:rsidR="00F01B3E" w:rsidRPr="005D71A4" w:rsidRDefault="00F01B3E" w:rsidP="00BB06A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150401F4" w14:textId="77777777" w:rsidR="00F01B3E" w:rsidRPr="005D71A4" w:rsidRDefault="00F01B3E" w:rsidP="00BB06A3">
            <w:pPr>
              <w:pStyle w:val="051Tabletext228pt"/>
              <w:rPr>
                <w:sz w:val="18"/>
                <w:szCs w:val="18"/>
              </w:rPr>
            </w:pPr>
            <w:r w:rsidRPr="005D71A4">
              <w:rPr>
                <w:sz w:val="18"/>
                <w:szCs w:val="18"/>
              </w:rPr>
              <w:t>No difference (S, M)</w:t>
            </w:r>
          </w:p>
        </w:tc>
      </w:tr>
      <w:tr w:rsidR="009C69FE" w14:paraId="33D82F55" w14:textId="77777777" w:rsidTr="00B226F7">
        <w:tc>
          <w:tcPr>
            <w:tcW w:w="1000" w:type="pct"/>
            <w:tcBorders>
              <w:top w:val="nil"/>
              <w:bottom w:val="nil"/>
            </w:tcBorders>
          </w:tcPr>
          <w:p w14:paraId="00A025B0" w14:textId="77777777" w:rsidR="00F01B3E" w:rsidRPr="005D71A4" w:rsidRDefault="00F01B3E" w:rsidP="00BB06A3">
            <w:pPr>
              <w:pStyle w:val="051Tabletext228pt"/>
              <w:rPr>
                <w:sz w:val="18"/>
                <w:szCs w:val="18"/>
              </w:rPr>
            </w:pPr>
            <w:r w:rsidRPr="005D71A4">
              <w:rPr>
                <w:sz w:val="18"/>
                <w:szCs w:val="18"/>
              </w:rPr>
              <w:t>de novo urge incontinence</w:t>
            </w:r>
          </w:p>
        </w:tc>
        <w:tc>
          <w:tcPr>
            <w:tcW w:w="1194" w:type="pct"/>
            <w:tcBorders>
              <w:top w:val="nil"/>
              <w:bottom w:val="nil"/>
            </w:tcBorders>
            <w:shd w:val="clear" w:color="auto" w:fill="auto"/>
          </w:tcPr>
          <w:p w14:paraId="1AD26EC3" w14:textId="77777777" w:rsidR="00F01B3E" w:rsidRPr="005D71A4" w:rsidRDefault="00F01B3E" w:rsidP="00BB06A3">
            <w:pPr>
              <w:pStyle w:val="051Tabletext228pt"/>
              <w:rPr>
                <w:sz w:val="18"/>
                <w:szCs w:val="18"/>
              </w:rPr>
            </w:pPr>
            <w:r w:rsidRPr="005D71A4">
              <w:rPr>
                <w:sz w:val="18"/>
                <w:szCs w:val="18"/>
              </w:rPr>
              <w:t>5, N=1,243 (S); 4, N=987 (M)</w:t>
            </w:r>
          </w:p>
        </w:tc>
        <w:tc>
          <w:tcPr>
            <w:tcW w:w="806" w:type="pct"/>
            <w:tcBorders>
              <w:top w:val="nil"/>
              <w:bottom w:val="nil"/>
            </w:tcBorders>
            <w:shd w:val="clear" w:color="auto" w:fill="F4B083" w:themeFill="accent2" w:themeFillTint="99"/>
          </w:tcPr>
          <w:p w14:paraId="15EFED8F"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30794734" w14:textId="77777777" w:rsidR="00F01B3E" w:rsidRPr="005D71A4" w:rsidRDefault="00F01B3E" w:rsidP="00BB06A3">
            <w:pPr>
              <w:pStyle w:val="051Tabletext228pt"/>
              <w:rPr>
                <w:sz w:val="18"/>
                <w:szCs w:val="18"/>
              </w:rPr>
            </w:pPr>
            <w:r w:rsidRPr="005D71A4">
              <w:rPr>
                <w:sz w:val="18"/>
                <w:szCs w:val="18"/>
              </w:rPr>
              <w:t>No difference (S, M)</w:t>
            </w:r>
          </w:p>
        </w:tc>
        <w:tc>
          <w:tcPr>
            <w:tcW w:w="1000" w:type="pct"/>
            <w:tcBorders>
              <w:top w:val="nil"/>
              <w:bottom w:val="nil"/>
            </w:tcBorders>
            <w:shd w:val="clear" w:color="auto" w:fill="auto"/>
          </w:tcPr>
          <w:p w14:paraId="37AD5338" w14:textId="77777777" w:rsidR="00F01B3E" w:rsidRPr="005D71A4" w:rsidRDefault="00F01B3E" w:rsidP="00BB06A3">
            <w:pPr>
              <w:pStyle w:val="051Tabletext228pt"/>
              <w:rPr>
                <w:sz w:val="18"/>
                <w:szCs w:val="18"/>
              </w:rPr>
            </w:pPr>
            <w:r w:rsidRPr="005D71A4">
              <w:rPr>
                <w:sz w:val="18"/>
                <w:szCs w:val="18"/>
              </w:rPr>
              <w:t>No difference (S, M)</w:t>
            </w:r>
          </w:p>
        </w:tc>
      </w:tr>
      <w:tr w:rsidR="009C69FE" w14:paraId="6A114C19" w14:textId="77777777" w:rsidTr="00B226F7">
        <w:tc>
          <w:tcPr>
            <w:tcW w:w="1000" w:type="pct"/>
            <w:tcBorders>
              <w:top w:val="nil"/>
              <w:bottom w:val="nil"/>
            </w:tcBorders>
          </w:tcPr>
          <w:p w14:paraId="345AF244" w14:textId="77777777" w:rsidR="00F01B3E" w:rsidRPr="005D71A4" w:rsidRDefault="00F01B3E" w:rsidP="00BB06A3">
            <w:pPr>
              <w:pStyle w:val="051Tabletext228pt"/>
              <w:rPr>
                <w:sz w:val="18"/>
                <w:szCs w:val="18"/>
              </w:rPr>
            </w:pPr>
            <w:r w:rsidRPr="005D71A4">
              <w:rPr>
                <w:sz w:val="18"/>
                <w:szCs w:val="18"/>
              </w:rPr>
              <w:t>de novo nocturia</w:t>
            </w:r>
          </w:p>
        </w:tc>
        <w:tc>
          <w:tcPr>
            <w:tcW w:w="1194" w:type="pct"/>
            <w:tcBorders>
              <w:top w:val="nil"/>
              <w:bottom w:val="nil"/>
            </w:tcBorders>
            <w:shd w:val="clear" w:color="auto" w:fill="auto"/>
          </w:tcPr>
          <w:p w14:paraId="200CDD2B" w14:textId="77777777" w:rsidR="00F01B3E" w:rsidRPr="005D71A4" w:rsidRDefault="00F01B3E" w:rsidP="00BB06A3">
            <w:pPr>
              <w:pStyle w:val="051Tabletext228pt"/>
              <w:rPr>
                <w:sz w:val="18"/>
                <w:szCs w:val="18"/>
              </w:rPr>
            </w:pPr>
            <w:r w:rsidRPr="005D71A4">
              <w:rPr>
                <w:sz w:val="18"/>
                <w:szCs w:val="18"/>
              </w:rPr>
              <w:t>1, N=88 (S)</w:t>
            </w:r>
          </w:p>
        </w:tc>
        <w:tc>
          <w:tcPr>
            <w:tcW w:w="806" w:type="pct"/>
            <w:tcBorders>
              <w:top w:val="nil"/>
              <w:bottom w:val="nil"/>
            </w:tcBorders>
            <w:shd w:val="clear" w:color="auto" w:fill="F4B083" w:themeFill="accent2" w:themeFillTint="99"/>
          </w:tcPr>
          <w:p w14:paraId="288D7285"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556F1F1F" w14:textId="77777777" w:rsidR="00F01B3E" w:rsidRPr="005D71A4" w:rsidRDefault="00F01B3E" w:rsidP="00BB06A3">
            <w:pPr>
              <w:pStyle w:val="051Tabletext228pt"/>
              <w:rPr>
                <w:sz w:val="18"/>
                <w:szCs w:val="18"/>
              </w:rPr>
            </w:pPr>
            <w:r w:rsidRPr="005D71A4">
              <w:rPr>
                <w:sz w:val="18"/>
                <w:szCs w:val="18"/>
              </w:rPr>
              <w:t>No difference (S)</w:t>
            </w:r>
          </w:p>
        </w:tc>
        <w:tc>
          <w:tcPr>
            <w:tcW w:w="1000" w:type="pct"/>
            <w:tcBorders>
              <w:top w:val="nil"/>
              <w:bottom w:val="nil"/>
            </w:tcBorders>
            <w:shd w:val="clear" w:color="auto" w:fill="auto"/>
          </w:tcPr>
          <w:p w14:paraId="2309DB0E" w14:textId="77777777" w:rsidR="00F01B3E" w:rsidRPr="005D71A4" w:rsidRDefault="00F01B3E" w:rsidP="00BB06A3">
            <w:pPr>
              <w:pStyle w:val="051Tabletext228pt"/>
              <w:rPr>
                <w:sz w:val="18"/>
                <w:szCs w:val="18"/>
              </w:rPr>
            </w:pPr>
            <w:r w:rsidRPr="005D71A4">
              <w:rPr>
                <w:sz w:val="18"/>
                <w:szCs w:val="18"/>
              </w:rPr>
              <w:t>No difference (S)</w:t>
            </w:r>
          </w:p>
        </w:tc>
      </w:tr>
      <w:tr w:rsidR="00496617" w14:paraId="6520830C" w14:textId="77777777" w:rsidTr="00B226F7">
        <w:tc>
          <w:tcPr>
            <w:tcW w:w="1000" w:type="pct"/>
            <w:tcBorders>
              <w:top w:val="nil"/>
              <w:bottom w:val="nil"/>
            </w:tcBorders>
          </w:tcPr>
          <w:p w14:paraId="51C8E2E1" w14:textId="77777777" w:rsidR="00F01B3E" w:rsidRPr="005D71A4" w:rsidRDefault="00F01B3E" w:rsidP="00BB06A3">
            <w:pPr>
              <w:pStyle w:val="051Tabletext228pt"/>
              <w:rPr>
                <w:sz w:val="18"/>
                <w:szCs w:val="18"/>
              </w:rPr>
            </w:pPr>
          </w:p>
        </w:tc>
        <w:tc>
          <w:tcPr>
            <w:tcW w:w="1194" w:type="pct"/>
            <w:tcBorders>
              <w:top w:val="nil"/>
              <w:bottom w:val="nil"/>
            </w:tcBorders>
            <w:shd w:val="clear" w:color="auto" w:fill="auto"/>
          </w:tcPr>
          <w:p w14:paraId="22B4A9A2" w14:textId="77777777" w:rsidR="00F01B3E" w:rsidRPr="005D71A4" w:rsidRDefault="00F01B3E" w:rsidP="00BB06A3">
            <w:pPr>
              <w:pStyle w:val="051Tabletext228pt"/>
              <w:rPr>
                <w:sz w:val="18"/>
                <w:szCs w:val="18"/>
              </w:rPr>
            </w:pPr>
            <w:r w:rsidRPr="005D71A4">
              <w:rPr>
                <w:sz w:val="18"/>
                <w:szCs w:val="18"/>
              </w:rPr>
              <w:t>1, N=71 (M)</w:t>
            </w:r>
          </w:p>
        </w:tc>
        <w:tc>
          <w:tcPr>
            <w:tcW w:w="806" w:type="pct"/>
            <w:tcBorders>
              <w:top w:val="nil"/>
              <w:bottom w:val="nil"/>
            </w:tcBorders>
            <w:shd w:val="clear" w:color="auto" w:fill="F4B083" w:themeFill="accent2" w:themeFillTint="99"/>
          </w:tcPr>
          <w:p w14:paraId="07DC61CE"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E5DDEB"/>
          </w:tcPr>
          <w:p w14:paraId="2CA0C6EC" w14:textId="77777777" w:rsidR="00F01B3E" w:rsidRPr="005D71A4" w:rsidRDefault="00F01B3E" w:rsidP="00BB06A3">
            <w:pPr>
              <w:pStyle w:val="051Tabletext228pt"/>
              <w:rPr>
                <w:sz w:val="18"/>
                <w:szCs w:val="18"/>
              </w:rPr>
            </w:pPr>
            <w:r w:rsidRPr="005D71A4">
              <w:rPr>
                <w:sz w:val="18"/>
                <w:szCs w:val="18"/>
              </w:rPr>
              <w:t>Favours RP-MUS (M)</w:t>
            </w:r>
          </w:p>
        </w:tc>
        <w:tc>
          <w:tcPr>
            <w:tcW w:w="1000" w:type="pct"/>
            <w:tcBorders>
              <w:top w:val="nil"/>
              <w:bottom w:val="nil"/>
            </w:tcBorders>
            <w:shd w:val="clear" w:color="auto" w:fill="E5DDEB"/>
          </w:tcPr>
          <w:p w14:paraId="2EFC1038" w14:textId="77777777" w:rsidR="00F01B3E" w:rsidRPr="005D71A4" w:rsidRDefault="00F01B3E" w:rsidP="00BB06A3">
            <w:pPr>
              <w:pStyle w:val="051Tabletext228pt"/>
              <w:rPr>
                <w:sz w:val="18"/>
                <w:szCs w:val="18"/>
              </w:rPr>
            </w:pPr>
            <w:r w:rsidRPr="005D71A4">
              <w:rPr>
                <w:sz w:val="18"/>
                <w:szCs w:val="18"/>
              </w:rPr>
              <w:t>Favours RP-MUS (M)</w:t>
            </w:r>
          </w:p>
        </w:tc>
      </w:tr>
      <w:tr w:rsidR="009C69FE" w14:paraId="58B99A4A" w14:textId="77777777" w:rsidTr="00B226F7">
        <w:tc>
          <w:tcPr>
            <w:tcW w:w="1000" w:type="pct"/>
            <w:tcBorders>
              <w:top w:val="nil"/>
            </w:tcBorders>
          </w:tcPr>
          <w:p w14:paraId="04D4B175" w14:textId="77777777" w:rsidR="00F01B3E" w:rsidRPr="005D71A4" w:rsidRDefault="00F01B3E" w:rsidP="00BB06A3">
            <w:pPr>
              <w:pStyle w:val="051Tabletext228pt"/>
              <w:rPr>
                <w:sz w:val="18"/>
                <w:szCs w:val="18"/>
              </w:rPr>
            </w:pPr>
            <w:r w:rsidRPr="005D71A4">
              <w:rPr>
                <w:sz w:val="18"/>
                <w:szCs w:val="18"/>
              </w:rPr>
              <w:t>wound complications</w:t>
            </w:r>
          </w:p>
        </w:tc>
        <w:tc>
          <w:tcPr>
            <w:tcW w:w="1194" w:type="pct"/>
            <w:tcBorders>
              <w:top w:val="nil"/>
            </w:tcBorders>
            <w:shd w:val="clear" w:color="auto" w:fill="auto"/>
          </w:tcPr>
          <w:p w14:paraId="6EA885AE" w14:textId="77777777" w:rsidR="00F01B3E" w:rsidRPr="005D71A4" w:rsidRDefault="00F01B3E" w:rsidP="00BB06A3">
            <w:pPr>
              <w:pStyle w:val="051Tabletext228pt"/>
              <w:rPr>
                <w:sz w:val="18"/>
                <w:szCs w:val="18"/>
              </w:rPr>
            </w:pPr>
            <w:r w:rsidRPr="005D71A4">
              <w:rPr>
                <w:sz w:val="18"/>
                <w:szCs w:val="18"/>
              </w:rPr>
              <w:t>4, N=443 (S); 2, N=248 (M)</w:t>
            </w:r>
          </w:p>
        </w:tc>
        <w:tc>
          <w:tcPr>
            <w:tcW w:w="806" w:type="pct"/>
            <w:tcBorders>
              <w:top w:val="nil"/>
            </w:tcBorders>
            <w:shd w:val="clear" w:color="auto" w:fill="F4B083" w:themeFill="accent2" w:themeFillTint="99"/>
          </w:tcPr>
          <w:p w14:paraId="521D5C8C"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tcBorders>
            <w:shd w:val="clear" w:color="auto" w:fill="auto"/>
          </w:tcPr>
          <w:p w14:paraId="4B7435E9" w14:textId="77777777" w:rsidR="00F01B3E" w:rsidRPr="005D71A4" w:rsidRDefault="00F01B3E" w:rsidP="00BB06A3">
            <w:pPr>
              <w:pStyle w:val="051Tabletext228pt"/>
              <w:rPr>
                <w:sz w:val="18"/>
                <w:szCs w:val="18"/>
              </w:rPr>
            </w:pPr>
            <w:r w:rsidRPr="005D71A4">
              <w:rPr>
                <w:sz w:val="18"/>
                <w:szCs w:val="18"/>
              </w:rPr>
              <w:t>No difference (S, M)</w:t>
            </w:r>
          </w:p>
        </w:tc>
        <w:tc>
          <w:tcPr>
            <w:tcW w:w="1000" w:type="pct"/>
            <w:tcBorders>
              <w:top w:val="nil"/>
            </w:tcBorders>
            <w:shd w:val="clear" w:color="auto" w:fill="auto"/>
          </w:tcPr>
          <w:p w14:paraId="4444F752" w14:textId="77777777" w:rsidR="00F01B3E" w:rsidRPr="005D71A4" w:rsidRDefault="00F01B3E" w:rsidP="00BB06A3">
            <w:pPr>
              <w:pStyle w:val="051Tabletext228pt"/>
              <w:rPr>
                <w:sz w:val="18"/>
                <w:szCs w:val="18"/>
              </w:rPr>
            </w:pPr>
            <w:r w:rsidRPr="005D71A4">
              <w:rPr>
                <w:sz w:val="18"/>
                <w:szCs w:val="18"/>
              </w:rPr>
              <w:t>No difference (S, M)</w:t>
            </w:r>
          </w:p>
        </w:tc>
      </w:tr>
      <w:tr w:rsidR="00496617" w14:paraId="492E6BD7" w14:textId="77777777" w:rsidTr="00B226F7">
        <w:tc>
          <w:tcPr>
            <w:tcW w:w="1000" w:type="pct"/>
            <w:tcBorders>
              <w:bottom w:val="nil"/>
            </w:tcBorders>
            <w:shd w:val="clear" w:color="auto" w:fill="E7E6E6" w:themeFill="background2"/>
          </w:tcPr>
          <w:p w14:paraId="13875732" w14:textId="77777777" w:rsidR="00F01B3E" w:rsidRPr="005D71A4" w:rsidRDefault="00F01B3E" w:rsidP="00BB06A3">
            <w:pPr>
              <w:pStyle w:val="051Tabletext228pt"/>
              <w:rPr>
                <w:b/>
                <w:bCs/>
                <w:sz w:val="18"/>
                <w:szCs w:val="18"/>
                <w:highlight w:val="yellow"/>
              </w:rPr>
            </w:pPr>
            <w:r w:rsidRPr="005D71A4">
              <w:rPr>
                <w:b/>
                <w:bCs/>
                <w:sz w:val="18"/>
                <w:szCs w:val="18"/>
              </w:rPr>
              <w:t>Repeat surgery</w:t>
            </w:r>
          </w:p>
        </w:tc>
        <w:tc>
          <w:tcPr>
            <w:tcW w:w="1194" w:type="pct"/>
            <w:tcBorders>
              <w:bottom w:val="nil"/>
            </w:tcBorders>
            <w:shd w:val="clear" w:color="auto" w:fill="E7E6E6" w:themeFill="background2"/>
          </w:tcPr>
          <w:p w14:paraId="4A28C6A5" w14:textId="77777777" w:rsidR="00F01B3E" w:rsidRPr="005D71A4" w:rsidRDefault="00F01B3E" w:rsidP="00BB06A3">
            <w:pPr>
              <w:pStyle w:val="051Tabletext228pt"/>
              <w:rPr>
                <w:sz w:val="18"/>
                <w:szCs w:val="18"/>
              </w:rPr>
            </w:pPr>
          </w:p>
        </w:tc>
        <w:tc>
          <w:tcPr>
            <w:tcW w:w="806" w:type="pct"/>
            <w:tcBorders>
              <w:bottom w:val="nil"/>
            </w:tcBorders>
            <w:shd w:val="clear" w:color="auto" w:fill="E7E6E6" w:themeFill="background2"/>
          </w:tcPr>
          <w:p w14:paraId="19598B99" w14:textId="77777777" w:rsidR="00F01B3E" w:rsidRPr="005D71A4" w:rsidRDefault="00F01B3E" w:rsidP="00BB06A3">
            <w:pPr>
              <w:pStyle w:val="051Tabletext228pt"/>
              <w:rPr>
                <w:sz w:val="18"/>
                <w:szCs w:val="18"/>
              </w:rPr>
            </w:pPr>
          </w:p>
        </w:tc>
        <w:tc>
          <w:tcPr>
            <w:tcW w:w="1000" w:type="pct"/>
            <w:tcBorders>
              <w:bottom w:val="nil"/>
            </w:tcBorders>
            <w:shd w:val="clear" w:color="auto" w:fill="E7E6E6" w:themeFill="background2"/>
          </w:tcPr>
          <w:p w14:paraId="1B4D3664" w14:textId="77777777" w:rsidR="00F01B3E" w:rsidRPr="005D71A4" w:rsidRDefault="00F01B3E" w:rsidP="00BB06A3">
            <w:pPr>
              <w:pStyle w:val="051Tabletext228pt"/>
              <w:rPr>
                <w:sz w:val="18"/>
                <w:szCs w:val="18"/>
              </w:rPr>
            </w:pPr>
          </w:p>
        </w:tc>
        <w:tc>
          <w:tcPr>
            <w:tcW w:w="1000" w:type="pct"/>
            <w:tcBorders>
              <w:bottom w:val="nil"/>
            </w:tcBorders>
            <w:shd w:val="clear" w:color="auto" w:fill="E7E6E6" w:themeFill="background2"/>
          </w:tcPr>
          <w:p w14:paraId="7C2C4A94" w14:textId="77777777" w:rsidR="00F01B3E" w:rsidRPr="005D71A4" w:rsidRDefault="00F01B3E" w:rsidP="00BB06A3">
            <w:pPr>
              <w:pStyle w:val="051Tabletext228pt"/>
              <w:rPr>
                <w:sz w:val="18"/>
                <w:szCs w:val="18"/>
              </w:rPr>
            </w:pPr>
          </w:p>
        </w:tc>
      </w:tr>
      <w:tr w:rsidR="00496617" w14:paraId="4317D99A" w14:textId="77777777" w:rsidTr="00B226F7">
        <w:tc>
          <w:tcPr>
            <w:tcW w:w="1000" w:type="pct"/>
            <w:tcBorders>
              <w:top w:val="nil"/>
              <w:bottom w:val="nil"/>
            </w:tcBorders>
          </w:tcPr>
          <w:p w14:paraId="16ECF065" w14:textId="77777777" w:rsidR="00F01B3E" w:rsidRPr="005D71A4" w:rsidRDefault="00F01B3E" w:rsidP="00BB06A3">
            <w:pPr>
              <w:pStyle w:val="051Tabletext228pt"/>
              <w:rPr>
                <w:sz w:val="18"/>
                <w:szCs w:val="18"/>
              </w:rPr>
            </w:pPr>
            <w:r w:rsidRPr="005D71A4">
              <w:rPr>
                <w:sz w:val="18"/>
                <w:szCs w:val="18"/>
              </w:rPr>
              <w:t>for SUI</w:t>
            </w:r>
          </w:p>
        </w:tc>
        <w:tc>
          <w:tcPr>
            <w:tcW w:w="1194" w:type="pct"/>
            <w:tcBorders>
              <w:top w:val="nil"/>
              <w:bottom w:val="nil"/>
            </w:tcBorders>
            <w:shd w:val="clear" w:color="auto" w:fill="auto"/>
          </w:tcPr>
          <w:p w14:paraId="1ACF17C7" w14:textId="77777777" w:rsidR="00F01B3E" w:rsidRPr="005D71A4" w:rsidRDefault="00F01B3E" w:rsidP="00BB06A3">
            <w:pPr>
              <w:pStyle w:val="051Tabletext228pt"/>
              <w:rPr>
                <w:sz w:val="18"/>
                <w:szCs w:val="18"/>
              </w:rPr>
            </w:pPr>
            <w:r w:rsidRPr="005D71A4">
              <w:rPr>
                <w:sz w:val="18"/>
                <w:szCs w:val="18"/>
              </w:rPr>
              <w:t>5, N=1,114 (S)</w:t>
            </w:r>
          </w:p>
        </w:tc>
        <w:tc>
          <w:tcPr>
            <w:tcW w:w="806" w:type="pct"/>
            <w:tcBorders>
              <w:top w:val="nil"/>
              <w:bottom w:val="nil"/>
            </w:tcBorders>
            <w:shd w:val="clear" w:color="auto" w:fill="FFE599" w:themeFill="accent4" w:themeFillTint="66"/>
          </w:tcPr>
          <w:p w14:paraId="15CFF2E7" w14:textId="77777777" w:rsidR="00F01B3E" w:rsidRPr="005D71A4" w:rsidRDefault="00F01B3E" w:rsidP="00BB06A3">
            <w:pPr>
              <w:pStyle w:val="051Tabletext228pt"/>
              <w:rPr>
                <w:sz w:val="18"/>
                <w:szCs w:val="18"/>
              </w:rPr>
            </w:pPr>
            <w:r w:rsidRPr="005D71A4">
              <w:rPr>
                <w:sz w:val="18"/>
                <w:szCs w:val="18"/>
              </w:rPr>
              <w:t>Low</w:t>
            </w:r>
          </w:p>
        </w:tc>
        <w:tc>
          <w:tcPr>
            <w:tcW w:w="1000" w:type="pct"/>
            <w:tcBorders>
              <w:top w:val="nil"/>
              <w:bottom w:val="nil"/>
            </w:tcBorders>
            <w:shd w:val="clear" w:color="auto" w:fill="E5DDEB"/>
          </w:tcPr>
          <w:p w14:paraId="65A657F0" w14:textId="77777777" w:rsidR="00F01B3E" w:rsidRPr="005D71A4" w:rsidRDefault="00F01B3E" w:rsidP="00BB06A3">
            <w:pPr>
              <w:pStyle w:val="051Tabletext228pt"/>
              <w:rPr>
                <w:sz w:val="18"/>
                <w:szCs w:val="18"/>
              </w:rPr>
            </w:pPr>
            <w:r w:rsidRPr="005D71A4">
              <w:rPr>
                <w:sz w:val="18"/>
                <w:szCs w:val="18"/>
              </w:rPr>
              <w:t>Favours RP-MUS (S)</w:t>
            </w:r>
          </w:p>
        </w:tc>
        <w:tc>
          <w:tcPr>
            <w:tcW w:w="1000" w:type="pct"/>
            <w:tcBorders>
              <w:top w:val="nil"/>
              <w:bottom w:val="nil"/>
            </w:tcBorders>
            <w:shd w:val="clear" w:color="auto" w:fill="E5DDEB"/>
          </w:tcPr>
          <w:p w14:paraId="39889217" w14:textId="77777777" w:rsidR="00F01B3E" w:rsidRPr="005D71A4" w:rsidRDefault="00F01B3E" w:rsidP="00BB06A3">
            <w:pPr>
              <w:pStyle w:val="051Tabletext228pt"/>
              <w:rPr>
                <w:sz w:val="18"/>
                <w:szCs w:val="18"/>
              </w:rPr>
            </w:pPr>
            <w:r w:rsidRPr="005D71A4">
              <w:rPr>
                <w:sz w:val="18"/>
                <w:szCs w:val="18"/>
              </w:rPr>
              <w:t>Favours RP-MUS (S)</w:t>
            </w:r>
          </w:p>
        </w:tc>
      </w:tr>
      <w:tr w:rsidR="009C69FE" w14:paraId="68FF5B88" w14:textId="77777777" w:rsidTr="00B226F7">
        <w:tc>
          <w:tcPr>
            <w:tcW w:w="1000" w:type="pct"/>
            <w:tcBorders>
              <w:top w:val="nil"/>
              <w:bottom w:val="nil"/>
            </w:tcBorders>
          </w:tcPr>
          <w:p w14:paraId="49A5A9D4" w14:textId="77777777" w:rsidR="00F01B3E" w:rsidRPr="005D71A4" w:rsidRDefault="00F01B3E" w:rsidP="00BB06A3">
            <w:pPr>
              <w:pStyle w:val="051Tabletext228pt"/>
              <w:rPr>
                <w:sz w:val="18"/>
                <w:szCs w:val="18"/>
              </w:rPr>
            </w:pPr>
          </w:p>
        </w:tc>
        <w:tc>
          <w:tcPr>
            <w:tcW w:w="1194" w:type="pct"/>
            <w:tcBorders>
              <w:top w:val="nil"/>
              <w:bottom w:val="nil"/>
            </w:tcBorders>
            <w:shd w:val="clear" w:color="auto" w:fill="auto"/>
          </w:tcPr>
          <w:p w14:paraId="7370F6BD" w14:textId="77777777" w:rsidR="00F01B3E" w:rsidRPr="005D71A4" w:rsidRDefault="00F01B3E" w:rsidP="00BB06A3">
            <w:pPr>
              <w:pStyle w:val="051Tabletext228pt"/>
              <w:rPr>
                <w:sz w:val="18"/>
                <w:szCs w:val="18"/>
              </w:rPr>
            </w:pPr>
            <w:r w:rsidRPr="005D71A4">
              <w:rPr>
                <w:sz w:val="18"/>
                <w:szCs w:val="18"/>
              </w:rPr>
              <w:t>6, N=1,022 (M); 1, N=87 (L)</w:t>
            </w:r>
          </w:p>
        </w:tc>
        <w:tc>
          <w:tcPr>
            <w:tcW w:w="806" w:type="pct"/>
            <w:tcBorders>
              <w:top w:val="nil"/>
              <w:bottom w:val="nil"/>
            </w:tcBorders>
            <w:shd w:val="clear" w:color="auto" w:fill="F4B083" w:themeFill="accent2" w:themeFillTint="99"/>
          </w:tcPr>
          <w:p w14:paraId="4FB6B0DD"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2EABE009" w14:textId="77777777" w:rsidR="00F01B3E" w:rsidRPr="005D71A4" w:rsidRDefault="00F01B3E" w:rsidP="00BB06A3">
            <w:pPr>
              <w:pStyle w:val="051Tabletext228pt"/>
              <w:rPr>
                <w:sz w:val="18"/>
                <w:szCs w:val="18"/>
              </w:rPr>
            </w:pPr>
            <w:r w:rsidRPr="005D71A4">
              <w:rPr>
                <w:sz w:val="18"/>
                <w:szCs w:val="18"/>
              </w:rPr>
              <w:t>No difference (M, L)</w:t>
            </w:r>
          </w:p>
        </w:tc>
        <w:tc>
          <w:tcPr>
            <w:tcW w:w="1000" w:type="pct"/>
            <w:tcBorders>
              <w:top w:val="nil"/>
              <w:bottom w:val="nil"/>
            </w:tcBorders>
            <w:shd w:val="clear" w:color="auto" w:fill="auto"/>
          </w:tcPr>
          <w:p w14:paraId="12BE7344" w14:textId="77777777" w:rsidR="00F01B3E" w:rsidRPr="005D71A4" w:rsidRDefault="00F01B3E" w:rsidP="00BB06A3">
            <w:pPr>
              <w:pStyle w:val="051Tabletext228pt"/>
              <w:rPr>
                <w:sz w:val="18"/>
                <w:szCs w:val="18"/>
              </w:rPr>
            </w:pPr>
            <w:r w:rsidRPr="005D71A4">
              <w:rPr>
                <w:sz w:val="18"/>
                <w:szCs w:val="18"/>
              </w:rPr>
              <w:t>No difference (M, L)</w:t>
            </w:r>
          </w:p>
        </w:tc>
      </w:tr>
      <w:tr w:rsidR="009C69FE" w14:paraId="343411D0" w14:textId="77777777" w:rsidTr="00B226F7">
        <w:tc>
          <w:tcPr>
            <w:tcW w:w="1000" w:type="pct"/>
            <w:tcBorders>
              <w:top w:val="nil"/>
              <w:bottom w:val="nil"/>
            </w:tcBorders>
          </w:tcPr>
          <w:p w14:paraId="7B0FEE53" w14:textId="77777777" w:rsidR="00F01B3E" w:rsidRPr="005D71A4" w:rsidRDefault="00F01B3E" w:rsidP="00BB06A3">
            <w:pPr>
              <w:pStyle w:val="051Tabletext228pt"/>
              <w:rPr>
                <w:sz w:val="18"/>
                <w:szCs w:val="18"/>
              </w:rPr>
            </w:pPr>
            <w:r w:rsidRPr="005D71A4">
              <w:rPr>
                <w:sz w:val="18"/>
                <w:szCs w:val="18"/>
              </w:rPr>
              <w:t>for POP</w:t>
            </w:r>
          </w:p>
        </w:tc>
        <w:tc>
          <w:tcPr>
            <w:tcW w:w="1194" w:type="pct"/>
            <w:tcBorders>
              <w:top w:val="nil"/>
              <w:bottom w:val="nil"/>
            </w:tcBorders>
            <w:shd w:val="clear" w:color="auto" w:fill="auto"/>
          </w:tcPr>
          <w:p w14:paraId="2D36D4F9" w14:textId="77777777" w:rsidR="00F01B3E" w:rsidRPr="005D71A4" w:rsidRDefault="00F01B3E" w:rsidP="00BB06A3">
            <w:pPr>
              <w:pStyle w:val="051Tabletext228pt"/>
              <w:rPr>
                <w:sz w:val="18"/>
                <w:szCs w:val="18"/>
              </w:rPr>
            </w:pPr>
            <w:r w:rsidRPr="005D71A4">
              <w:rPr>
                <w:sz w:val="18"/>
                <w:szCs w:val="18"/>
              </w:rPr>
              <w:t>1, N=554 (S)</w:t>
            </w:r>
          </w:p>
        </w:tc>
        <w:tc>
          <w:tcPr>
            <w:tcW w:w="806" w:type="pct"/>
            <w:tcBorders>
              <w:top w:val="nil"/>
              <w:bottom w:val="nil"/>
            </w:tcBorders>
            <w:shd w:val="clear" w:color="auto" w:fill="F4B083" w:themeFill="accent2" w:themeFillTint="99"/>
          </w:tcPr>
          <w:p w14:paraId="2B9520CF"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13188290" w14:textId="77777777" w:rsidR="00F01B3E" w:rsidRPr="005D71A4" w:rsidRDefault="00F01B3E" w:rsidP="00BB06A3">
            <w:pPr>
              <w:pStyle w:val="051Tabletext228pt"/>
              <w:rPr>
                <w:sz w:val="18"/>
                <w:szCs w:val="18"/>
              </w:rPr>
            </w:pPr>
            <w:r w:rsidRPr="005D71A4">
              <w:rPr>
                <w:sz w:val="18"/>
                <w:szCs w:val="18"/>
              </w:rPr>
              <w:t>No events (S)</w:t>
            </w:r>
          </w:p>
        </w:tc>
        <w:tc>
          <w:tcPr>
            <w:tcW w:w="1000" w:type="pct"/>
            <w:tcBorders>
              <w:top w:val="nil"/>
              <w:bottom w:val="nil"/>
            </w:tcBorders>
            <w:shd w:val="clear" w:color="auto" w:fill="auto"/>
          </w:tcPr>
          <w:p w14:paraId="2E558E3A" w14:textId="77777777" w:rsidR="00F01B3E" w:rsidRPr="005D71A4" w:rsidRDefault="00F01B3E" w:rsidP="00BB06A3">
            <w:pPr>
              <w:pStyle w:val="051Tabletext228pt"/>
              <w:rPr>
                <w:sz w:val="18"/>
                <w:szCs w:val="18"/>
              </w:rPr>
            </w:pPr>
            <w:r w:rsidRPr="005D71A4">
              <w:rPr>
                <w:sz w:val="18"/>
                <w:szCs w:val="18"/>
              </w:rPr>
              <w:t>No events (S)</w:t>
            </w:r>
          </w:p>
        </w:tc>
      </w:tr>
      <w:tr w:rsidR="009C69FE" w14:paraId="1025DA6E" w14:textId="77777777" w:rsidTr="00B226F7">
        <w:tc>
          <w:tcPr>
            <w:tcW w:w="1000" w:type="pct"/>
            <w:tcBorders>
              <w:top w:val="nil"/>
              <w:bottom w:val="nil"/>
            </w:tcBorders>
          </w:tcPr>
          <w:p w14:paraId="21284054" w14:textId="77777777" w:rsidR="00F01B3E" w:rsidRPr="005D71A4" w:rsidRDefault="00F01B3E" w:rsidP="00BB06A3">
            <w:pPr>
              <w:pStyle w:val="051Tabletext228pt"/>
              <w:rPr>
                <w:sz w:val="18"/>
                <w:szCs w:val="18"/>
              </w:rPr>
            </w:pPr>
          </w:p>
        </w:tc>
        <w:tc>
          <w:tcPr>
            <w:tcW w:w="1194" w:type="pct"/>
            <w:tcBorders>
              <w:top w:val="nil"/>
              <w:bottom w:val="nil"/>
            </w:tcBorders>
            <w:shd w:val="clear" w:color="auto" w:fill="auto"/>
          </w:tcPr>
          <w:p w14:paraId="20389635" w14:textId="77777777" w:rsidR="00F01B3E" w:rsidRPr="005D71A4" w:rsidRDefault="00F01B3E" w:rsidP="00BB06A3">
            <w:pPr>
              <w:pStyle w:val="051Tabletext228pt"/>
              <w:rPr>
                <w:sz w:val="18"/>
                <w:szCs w:val="18"/>
              </w:rPr>
            </w:pPr>
            <w:r w:rsidRPr="005D71A4">
              <w:rPr>
                <w:sz w:val="18"/>
                <w:szCs w:val="18"/>
              </w:rPr>
              <w:t>1, N=87 (L)</w:t>
            </w:r>
          </w:p>
        </w:tc>
        <w:tc>
          <w:tcPr>
            <w:tcW w:w="806" w:type="pct"/>
            <w:tcBorders>
              <w:top w:val="nil"/>
              <w:bottom w:val="nil"/>
            </w:tcBorders>
            <w:shd w:val="clear" w:color="auto" w:fill="F4B083" w:themeFill="accent2" w:themeFillTint="99"/>
          </w:tcPr>
          <w:p w14:paraId="35E731DE"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bottom w:val="nil"/>
            </w:tcBorders>
            <w:shd w:val="clear" w:color="auto" w:fill="auto"/>
          </w:tcPr>
          <w:p w14:paraId="0170D77C" w14:textId="77777777" w:rsidR="00F01B3E" w:rsidRPr="005D71A4" w:rsidRDefault="00F01B3E" w:rsidP="00BB06A3">
            <w:pPr>
              <w:pStyle w:val="051Tabletext228pt"/>
              <w:rPr>
                <w:sz w:val="18"/>
                <w:szCs w:val="18"/>
              </w:rPr>
            </w:pPr>
            <w:r w:rsidRPr="005D71A4">
              <w:rPr>
                <w:sz w:val="18"/>
                <w:szCs w:val="18"/>
              </w:rPr>
              <w:t>No difference (L)</w:t>
            </w:r>
          </w:p>
        </w:tc>
        <w:tc>
          <w:tcPr>
            <w:tcW w:w="1000" w:type="pct"/>
            <w:tcBorders>
              <w:top w:val="nil"/>
              <w:bottom w:val="nil"/>
            </w:tcBorders>
            <w:shd w:val="clear" w:color="auto" w:fill="auto"/>
          </w:tcPr>
          <w:p w14:paraId="61076E9C" w14:textId="77777777" w:rsidR="00F01B3E" w:rsidRPr="005D71A4" w:rsidRDefault="00F01B3E" w:rsidP="00BB06A3">
            <w:pPr>
              <w:pStyle w:val="051Tabletext228pt"/>
              <w:rPr>
                <w:sz w:val="18"/>
                <w:szCs w:val="18"/>
              </w:rPr>
            </w:pPr>
            <w:r w:rsidRPr="005D71A4">
              <w:rPr>
                <w:sz w:val="18"/>
                <w:szCs w:val="18"/>
              </w:rPr>
              <w:t>No difference (L)</w:t>
            </w:r>
          </w:p>
        </w:tc>
      </w:tr>
      <w:tr w:rsidR="009C69FE" w14:paraId="289D060F" w14:textId="77777777" w:rsidTr="00B226F7">
        <w:tc>
          <w:tcPr>
            <w:tcW w:w="1000" w:type="pct"/>
            <w:tcBorders>
              <w:top w:val="nil"/>
            </w:tcBorders>
          </w:tcPr>
          <w:p w14:paraId="18CAE25F" w14:textId="77777777" w:rsidR="00F01B3E" w:rsidRPr="005D71A4" w:rsidRDefault="00F01B3E" w:rsidP="00BB06A3">
            <w:pPr>
              <w:pStyle w:val="051Tabletext228pt"/>
              <w:rPr>
                <w:sz w:val="18"/>
                <w:szCs w:val="18"/>
              </w:rPr>
            </w:pPr>
            <w:r w:rsidRPr="005D71A4">
              <w:rPr>
                <w:sz w:val="18"/>
                <w:szCs w:val="18"/>
              </w:rPr>
              <w:t>for mesh complications</w:t>
            </w:r>
          </w:p>
        </w:tc>
        <w:tc>
          <w:tcPr>
            <w:tcW w:w="1194" w:type="pct"/>
            <w:tcBorders>
              <w:top w:val="nil"/>
            </w:tcBorders>
            <w:shd w:val="clear" w:color="auto" w:fill="auto"/>
          </w:tcPr>
          <w:p w14:paraId="3A5B0797" w14:textId="77777777" w:rsidR="00F01B3E" w:rsidRPr="005D71A4" w:rsidRDefault="00F01B3E" w:rsidP="00BB06A3">
            <w:pPr>
              <w:pStyle w:val="051Tabletext228pt"/>
              <w:rPr>
                <w:sz w:val="18"/>
                <w:szCs w:val="18"/>
              </w:rPr>
            </w:pPr>
            <w:r w:rsidRPr="005D71A4">
              <w:rPr>
                <w:sz w:val="18"/>
                <w:szCs w:val="18"/>
              </w:rPr>
              <w:t>13, N=2,447 (S); 8, N=1,688 (M); 1, N=87 (L)</w:t>
            </w:r>
          </w:p>
        </w:tc>
        <w:tc>
          <w:tcPr>
            <w:tcW w:w="806" w:type="pct"/>
            <w:tcBorders>
              <w:top w:val="nil"/>
            </w:tcBorders>
            <w:shd w:val="clear" w:color="auto" w:fill="F4B083" w:themeFill="accent2" w:themeFillTint="99"/>
          </w:tcPr>
          <w:p w14:paraId="513F04B8" w14:textId="77777777" w:rsidR="00F01B3E" w:rsidRPr="005D71A4" w:rsidRDefault="00F01B3E" w:rsidP="00BB06A3">
            <w:pPr>
              <w:pStyle w:val="051Tabletext228pt"/>
              <w:rPr>
                <w:sz w:val="18"/>
                <w:szCs w:val="18"/>
              </w:rPr>
            </w:pPr>
            <w:r w:rsidRPr="005D71A4">
              <w:rPr>
                <w:sz w:val="18"/>
                <w:szCs w:val="18"/>
              </w:rPr>
              <w:t>Very low</w:t>
            </w:r>
          </w:p>
        </w:tc>
        <w:tc>
          <w:tcPr>
            <w:tcW w:w="1000" w:type="pct"/>
            <w:tcBorders>
              <w:top w:val="nil"/>
            </w:tcBorders>
            <w:shd w:val="clear" w:color="auto" w:fill="auto"/>
          </w:tcPr>
          <w:p w14:paraId="79A4F104" w14:textId="77777777" w:rsidR="00F01B3E" w:rsidRPr="005D71A4" w:rsidRDefault="00F01B3E" w:rsidP="00BB06A3">
            <w:pPr>
              <w:pStyle w:val="051Tabletext228pt"/>
              <w:rPr>
                <w:sz w:val="18"/>
                <w:szCs w:val="18"/>
              </w:rPr>
            </w:pPr>
            <w:r w:rsidRPr="005D71A4">
              <w:rPr>
                <w:sz w:val="18"/>
                <w:szCs w:val="18"/>
              </w:rPr>
              <w:t>No difference (S, M, L)</w:t>
            </w:r>
          </w:p>
        </w:tc>
        <w:tc>
          <w:tcPr>
            <w:tcW w:w="1000" w:type="pct"/>
            <w:tcBorders>
              <w:top w:val="nil"/>
            </w:tcBorders>
            <w:shd w:val="clear" w:color="auto" w:fill="auto"/>
          </w:tcPr>
          <w:p w14:paraId="47BF0F0E" w14:textId="77777777" w:rsidR="00F01B3E" w:rsidRPr="005D71A4" w:rsidRDefault="00F01B3E" w:rsidP="00BB06A3">
            <w:pPr>
              <w:pStyle w:val="051Tabletext228pt"/>
              <w:rPr>
                <w:sz w:val="18"/>
                <w:szCs w:val="18"/>
              </w:rPr>
            </w:pPr>
            <w:r w:rsidRPr="005D71A4">
              <w:rPr>
                <w:sz w:val="18"/>
                <w:szCs w:val="18"/>
              </w:rPr>
              <w:t>No difference (S, M, L)</w:t>
            </w:r>
          </w:p>
        </w:tc>
      </w:tr>
    </w:tbl>
    <w:p w14:paraId="2CDE6205" w14:textId="15824022" w:rsidR="00453055" w:rsidRDefault="00453055" w:rsidP="00453055">
      <w:pPr>
        <w:pStyle w:val="101Tablefootnotes8pt"/>
      </w:pPr>
      <w:r>
        <w:t xml:space="preserve">Source: based on data from NICE Evidence review </w:t>
      </w:r>
      <w:r w:rsidR="00245CE2">
        <w:rPr>
          <w:noProof/>
        </w:rPr>
        <w:t>(NICE 2019b)</w:t>
      </w:r>
    </w:p>
    <w:p w14:paraId="3927A339" w14:textId="5A9E7449" w:rsidR="00F01B3E" w:rsidRDefault="00F01B3E" w:rsidP="00083412">
      <w:pPr>
        <w:pStyle w:val="101Tablefootnotes8pt"/>
      </w:pPr>
      <w:r>
        <w:t xml:space="preserve">Abbreviations: </w:t>
      </w:r>
      <w:proofErr w:type="spellStart"/>
      <w:r w:rsidR="009A7F02">
        <w:t>HRQoL</w:t>
      </w:r>
      <w:proofErr w:type="spellEnd"/>
      <w:r w:rsidR="009A7F02">
        <w:t>, health-related quality of life;</w:t>
      </w:r>
      <w:r>
        <w:t xml:space="preserve"> L, long-term; M, medium-term; MUS, mid-urethral sling; POP, pelvic organ prolapse; RP, retropubic; S, short-term; SUI, stress urinary incontinence; TO, </w:t>
      </w:r>
      <w:proofErr w:type="spellStart"/>
      <w:r>
        <w:t>transobturator</w:t>
      </w:r>
      <w:proofErr w:type="spellEnd"/>
    </w:p>
    <w:p w14:paraId="4F9B7235" w14:textId="630C3169" w:rsidR="00083412" w:rsidRDefault="006424C7" w:rsidP="0017457B">
      <w:pPr>
        <w:pStyle w:val="101Tablefootnotes8pt"/>
      </w:pPr>
      <w:r>
        <w:rPr>
          <w:vertAlign w:val="superscript"/>
        </w:rPr>
        <w:t>1</w:t>
      </w:r>
      <w:r w:rsidR="00083412">
        <w:t xml:space="preserve"> </w:t>
      </w:r>
      <w:r w:rsidR="00E51740">
        <w:t>NICE defined c</w:t>
      </w:r>
      <w:r w:rsidR="00E51740" w:rsidRPr="002E44EE">
        <w:t xml:space="preserve">linically important </w:t>
      </w:r>
      <w:proofErr w:type="gramStart"/>
      <w:r w:rsidR="00E51740" w:rsidRPr="002E44EE">
        <w:t>outcomes</w:t>
      </w:r>
      <w:proofErr w:type="gramEnd"/>
      <w:r w:rsidR="00E51740" w:rsidRPr="002E44EE">
        <w:t xml:space="preserve"> based on published literature and consultation with the Guideline Committee. If no published or acceptable minimally important difference (MID) was identified, the committee considered whether to use GRADE defaults.</w:t>
      </w:r>
    </w:p>
    <w:p w14:paraId="36AA8EE4" w14:textId="77777777" w:rsidR="0017457B" w:rsidRPr="0017457B" w:rsidRDefault="0017457B" w:rsidP="0017457B">
      <w:pPr>
        <w:pStyle w:val="111Tablefootnoteslast-nostick8pt"/>
      </w:pPr>
      <w:r>
        <w:t xml:space="preserve">Key: orange = very </w:t>
      </w:r>
      <w:proofErr w:type="gramStart"/>
      <w:r>
        <w:t>low quality</w:t>
      </w:r>
      <w:proofErr w:type="gramEnd"/>
      <w:r>
        <w:t xml:space="preserve"> evidence; yellow = low quality evidence; blue = moderate quality evidence; purple = </w:t>
      </w:r>
      <w:proofErr w:type="spellStart"/>
      <w:r>
        <w:t>favours</w:t>
      </w:r>
      <w:proofErr w:type="spellEnd"/>
      <w:r>
        <w:t xml:space="preserve"> RP-MUS; pink = </w:t>
      </w:r>
      <w:proofErr w:type="spellStart"/>
      <w:r>
        <w:t>favours</w:t>
      </w:r>
      <w:proofErr w:type="spellEnd"/>
      <w:r>
        <w:t xml:space="preserve"> TO-MUS. </w:t>
      </w:r>
    </w:p>
    <w:p w14:paraId="535D71EB" w14:textId="0A3611A1" w:rsidR="00F01B3E" w:rsidRPr="00F01B3E" w:rsidRDefault="00683BF6" w:rsidP="00EE6EF3">
      <w:pPr>
        <w:pStyle w:val="Heading3"/>
      </w:pPr>
      <w:bookmarkStart w:id="170" w:name="_Toc165627851"/>
      <w:r>
        <w:t>Long term</w:t>
      </w:r>
      <w:r w:rsidR="00E46E13">
        <w:t xml:space="preserve"> complications</w:t>
      </w:r>
      <w:bookmarkEnd w:id="170"/>
    </w:p>
    <w:p w14:paraId="44BF9D2A" w14:textId="6FB8CA3B" w:rsidR="00E46E13" w:rsidRPr="00E46E13" w:rsidRDefault="005D5CF8" w:rsidP="00E46E13">
      <w:pPr>
        <w:pStyle w:val="BodyText"/>
      </w:pPr>
      <w:r>
        <w:t>Data on long-term complications</w:t>
      </w:r>
      <w:r w:rsidR="00290E48">
        <w:t xml:space="preserve"> (&gt;5 years)</w:t>
      </w:r>
      <w:r>
        <w:t xml:space="preserve"> was derived from both comparative and non-comparative studies. </w:t>
      </w:r>
      <w:r w:rsidR="007E6B7A">
        <w:t>NICE reported a weighted average rate of mesh erosion or exposure of 1.5% for RP-MUS (</w:t>
      </w:r>
      <w:r w:rsidR="006E74F7">
        <w:t xml:space="preserve">15 studies, </w:t>
      </w:r>
      <w:r w:rsidR="00907579">
        <w:t xml:space="preserve">1,6010 women) and </w:t>
      </w:r>
      <w:r w:rsidR="00167EEF">
        <w:t>2.3% for TO-MUS (9 studies, 1,335 women).</w:t>
      </w:r>
    </w:p>
    <w:p w14:paraId="774FAF28" w14:textId="5107BE42" w:rsidR="009011D1" w:rsidRPr="00E46E13" w:rsidRDefault="00005BBE" w:rsidP="00A01E88">
      <w:pPr>
        <w:pStyle w:val="Heading3"/>
      </w:pPr>
      <w:bookmarkStart w:id="171" w:name="_Toc165627852"/>
      <w:r>
        <w:t>Summary on clinical</w:t>
      </w:r>
      <w:r w:rsidR="00A01E88">
        <w:t xml:space="preserve"> effectiveness</w:t>
      </w:r>
      <w:bookmarkEnd w:id="171"/>
    </w:p>
    <w:p w14:paraId="724A41BC" w14:textId="55414606" w:rsidR="00414CAB" w:rsidRDefault="006F0702" w:rsidP="00414CAB">
      <w:pPr>
        <w:pStyle w:val="BodyText"/>
      </w:pPr>
      <w:r>
        <w:t>Although based on RCT</w:t>
      </w:r>
      <w:r w:rsidR="00780095">
        <w:t>s</w:t>
      </w:r>
      <w:r>
        <w:t xml:space="preserve">, the evidence </w:t>
      </w:r>
      <w:r w:rsidR="00666C5F">
        <w:t xml:space="preserve">is predominantly of low or very low certainty </w:t>
      </w:r>
      <w:r w:rsidR="00593A96">
        <w:t xml:space="preserve">with NICE downgrading the </w:t>
      </w:r>
      <w:r w:rsidR="009C461C">
        <w:t xml:space="preserve">available </w:t>
      </w:r>
      <w:r w:rsidR="00593A96">
        <w:t xml:space="preserve">evidence </w:t>
      </w:r>
      <w:r w:rsidR="009C461C">
        <w:t xml:space="preserve">due </w:t>
      </w:r>
      <w:r w:rsidR="00593A96">
        <w:t xml:space="preserve">largely </w:t>
      </w:r>
      <w:r w:rsidR="009C461C">
        <w:t>to</w:t>
      </w:r>
      <w:r w:rsidR="00414CAB" w:rsidRPr="00B0485F">
        <w:t xml:space="preserve"> key limitations in the reporting of </w:t>
      </w:r>
      <w:r w:rsidR="00414CAB">
        <w:t>participant characteristics</w:t>
      </w:r>
      <w:r w:rsidR="00414CAB" w:rsidRPr="00B0485F">
        <w:t>. F</w:t>
      </w:r>
      <w:r w:rsidR="00CE3CF9">
        <w:t>irstly, f</w:t>
      </w:r>
      <w:r w:rsidR="00414CAB" w:rsidRPr="00B0485F">
        <w:t xml:space="preserve">or </w:t>
      </w:r>
      <w:proofErr w:type="gramStart"/>
      <w:r w:rsidR="00414CAB" w:rsidRPr="00B0485F">
        <w:t>the majority of</w:t>
      </w:r>
      <w:proofErr w:type="gramEnd"/>
      <w:r w:rsidR="00414CAB" w:rsidRPr="00B0485F">
        <w:t xml:space="preserve"> studies, it was unclear whether participants with POP received concomitant POP surgery </w:t>
      </w:r>
      <w:r w:rsidR="00414CAB" w:rsidRPr="00B0485F">
        <w:lastRenderedPageBreak/>
        <w:t xml:space="preserve">at the time of surgery for SUI. </w:t>
      </w:r>
      <w:r w:rsidR="00CE3CF9">
        <w:t>Secondly</w:t>
      </w:r>
      <w:r w:rsidR="00414CAB" w:rsidRPr="00B0485F">
        <w:t xml:space="preserve">, </w:t>
      </w:r>
      <w:proofErr w:type="gramStart"/>
      <w:r w:rsidR="00414CAB" w:rsidRPr="00B0485F">
        <w:t>the majority of</w:t>
      </w:r>
      <w:proofErr w:type="gramEnd"/>
      <w:r w:rsidR="00414CAB" w:rsidRPr="00B0485F">
        <w:t xml:space="preserve"> studies did not report whether participants had failed or declined conservative treatment prior to surgical intervention. These limitations should be </w:t>
      </w:r>
      <w:proofErr w:type="gramStart"/>
      <w:r w:rsidR="00414CAB" w:rsidRPr="00B0485F">
        <w:t>taken into account</w:t>
      </w:r>
      <w:proofErr w:type="gramEnd"/>
      <w:r w:rsidR="00414CAB" w:rsidRPr="00B0485F">
        <w:t xml:space="preserve"> when </w:t>
      </w:r>
      <w:r w:rsidR="00414CAB">
        <w:t>interpreting the findings</w:t>
      </w:r>
      <w:r w:rsidR="00414CAB" w:rsidRPr="00B0485F">
        <w:t xml:space="preserve"> </w:t>
      </w:r>
      <w:r w:rsidR="00414CAB">
        <w:t xml:space="preserve">and </w:t>
      </w:r>
      <w:r w:rsidR="00414CAB" w:rsidRPr="00B0485F">
        <w:t xml:space="preserve">considering </w:t>
      </w:r>
      <w:r w:rsidR="00414CAB">
        <w:t>their</w:t>
      </w:r>
      <w:r w:rsidR="00414CAB" w:rsidRPr="00B0485F">
        <w:t xml:space="preserve"> generalisability. </w:t>
      </w:r>
      <w:r w:rsidR="00414872">
        <w:t>Nevertheless, the evidence</w:t>
      </w:r>
      <w:r w:rsidR="00624C73">
        <w:t xml:space="preserve"> </w:t>
      </w:r>
      <w:r w:rsidR="007F79D3">
        <w:t xml:space="preserve">synthesis finds </w:t>
      </w:r>
      <w:r w:rsidR="00F342F9">
        <w:t>few differences in the clinical effectiveness of MUS versus</w:t>
      </w:r>
      <w:r w:rsidR="00B2425B">
        <w:t xml:space="preserve"> </w:t>
      </w:r>
      <w:r w:rsidR="001E356D">
        <w:t xml:space="preserve">either </w:t>
      </w:r>
      <w:proofErr w:type="spellStart"/>
      <w:r w:rsidR="001E356D">
        <w:t>colposuspension</w:t>
      </w:r>
      <w:proofErr w:type="spellEnd"/>
      <w:r w:rsidR="001E356D">
        <w:t xml:space="preserve"> </w:t>
      </w:r>
      <w:r w:rsidR="00FE5B51">
        <w:t xml:space="preserve">or </w:t>
      </w:r>
      <w:r w:rsidR="00175E99">
        <w:t>pubovaginal</w:t>
      </w:r>
      <w:r w:rsidR="00B61F6B">
        <w:t xml:space="preserve"> sling</w:t>
      </w:r>
      <w:r w:rsidR="00E508B2">
        <w:t xml:space="preserve">s. With respect to </w:t>
      </w:r>
      <w:r w:rsidR="009F0E7B">
        <w:t>MUS types,</w:t>
      </w:r>
      <w:r w:rsidR="00EE3B17">
        <w:t xml:space="preserve"> </w:t>
      </w:r>
      <w:r w:rsidR="00037D02">
        <w:t xml:space="preserve">a greater number of </w:t>
      </w:r>
      <w:r w:rsidR="00EE3B17">
        <w:t>outcomes favour RP-MUS over TO-MUS</w:t>
      </w:r>
      <w:r w:rsidR="00992C87">
        <w:t>.</w:t>
      </w:r>
    </w:p>
    <w:p w14:paraId="4170959F" w14:textId="1F33209D" w:rsidR="000B67A6" w:rsidRDefault="00013AA2" w:rsidP="00013AA2">
      <w:pPr>
        <w:pStyle w:val="BodyText"/>
      </w:pPr>
      <w:r w:rsidRPr="008E6A04">
        <w:t xml:space="preserve">The Urological Society of Australia and New Zealand (USANZ) noted in their submission to this review that the technique for placement of </w:t>
      </w:r>
      <w:r w:rsidR="006C0904">
        <w:t>pubovaginal</w:t>
      </w:r>
      <w:r w:rsidR="006C0904" w:rsidRPr="008E6A04">
        <w:t xml:space="preserve"> </w:t>
      </w:r>
      <w:r w:rsidRPr="008E6A04">
        <w:t>slings has evolved in recent years</w:t>
      </w:r>
      <w:r w:rsidR="00497270">
        <w:t xml:space="preserve"> towards a technique </w:t>
      </w:r>
      <w:r w:rsidR="00FB2DCA">
        <w:t xml:space="preserve">more </w:t>
      </w:r>
      <w:proofErr w:type="gramStart"/>
      <w:r w:rsidR="00FB2DCA">
        <w:t>similar to</w:t>
      </w:r>
      <w:proofErr w:type="gramEnd"/>
      <w:r w:rsidR="00FB2DCA">
        <w:t xml:space="preserve"> the placement of MUS</w:t>
      </w:r>
      <w:r w:rsidRPr="008E6A04">
        <w:t xml:space="preserve">. </w:t>
      </w:r>
      <w:r w:rsidR="00061893">
        <w:t>They raise the possibility that more recent, or f</w:t>
      </w:r>
      <w:r w:rsidRPr="008E6A04">
        <w:t>uture research</w:t>
      </w:r>
      <w:r w:rsidR="00061893">
        <w:t>,</w:t>
      </w:r>
      <w:r w:rsidRPr="008E6A04">
        <w:t xml:space="preserve"> may identify different outcomes </w:t>
      </w:r>
      <w:r w:rsidR="00E84DCE">
        <w:t>regarding</w:t>
      </w:r>
      <w:r w:rsidRPr="008E6A04">
        <w:t xml:space="preserve"> modern </w:t>
      </w:r>
      <w:r w:rsidR="006C0904">
        <w:t>pubovaginal</w:t>
      </w:r>
      <w:r w:rsidRPr="008E6A04">
        <w:t xml:space="preserve"> sling placement</w:t>
      </w:r>
      <w:r w:rsidR="00E84DCE">
        <w:t xml:space="preserve"> </w:t>
      </w:r>
      <w:r w:rsidRPr="008E6A04">
        <w:t>compared to MUS</w:t>
      </w:r>
      <w:r w:rsidR="00E84DCE">
        <w:t xml:space="preserve"> than historical studies</w:t>
      </w:r>
      <w:r w:rsidRPr="008E6A04">
        <w:t>.</w:t>
      </w:r>
      <w:r w:rsidRPr="00B0485F">
        <w:t xml:space="preserve"> </w:t>
      </w:r>
      <w:r w:rsidR="00F03EE1">
        <w:t xml:space="preserve">This </w:t>
      </w:r>
      <w:r w:rsidR="005D404C">
        <w:t>po</w:t>
      </w:r>
      <w:r w:rsidR="00BE26F3">
        <w:t>st-listing review</w:t>
      </w:r>
      <w:r w:rsidR="00F03EE1">
        <w:t xml:space="preserve"> relies on the NICE evidence reviews </w:t>
      </w:r>
      <w:r w:rsidR="00C93E7C">
        <w:t xml:space="preserve">with </w:t>
      </w:r>
      <w:r w:rsidR="00F03EE1">
        <w:t>literature search</w:t>
      </w:r>
      <w:r w:rsidR="00C93E7C">
        <w:t>es</w:t>
      </w:r>
      <w:r w:rsidR="00F03EE1">
        <w:t xml:space="preserve"> in </w:t>
      </w:r>
      <w:r w:rsidR="00612214">
        <w:t>June 2018</w:t>
      </w:r>
      <w:r w:rsidR="00B80866">
        <w:t>;</w:t>
      </w:r>
      <w:r w:rsidR="00612214">
        <w:t xml:space="preserve"> </w:t>
      </w:r>
      <w:r w:rsidR="00EA6196">
        <w:t>it is possible</w:t>
      </w:r>
      <w:r w:rsidR="00612214">
        <w:t xml:space="preserve"> that more recent studies </w:t>
      </w:r>
      <w:r w:rsidR="00A374D3">
        <w:t>may have reache</w:t>
      </w:r>
      <w:r w:rsidR="00BE26F3">
        <w:t>d</w:t>
      </w:r>
      <w:r w:rsidR="00A374D3">
        <w:t xml:space="preserve"> different conclusions, particularly regarding </w:t>
      </w:r>
      <w:r w:rsidR="006C0904">
        <w:t>pubovaginal</w:t>
      </w:r>
      <w:r w:rsidR="00A374D3">
        <w:t xml:space="preserve"> slings</w:t>
      </w:r>
      <w:r w:rsidR="00AB2E06">
        <w:t>.</w:t>
      </w:r>
      <w:r w:rsidR="00A374D3">
        <w:t xml:space="preserve"> </w:t>
      </w:r>
      <w:r w:rsidR="00AB2E06">
        <w:t>N</w:t>
      </w:r>
      <w:r w:rsidR="00A374D3">
        <w:t>evertheless</w:t>
      </w:r>
      <w:r w:rsidR="00AB2E06">
        <w:t>,</w:t>
      </w:r>
      <w:r w:rsidR="00A374D3">
        <w:t xml:space="preserve"> no pivotal studies were identified </w:t>
      </w:r>
      <w:r w:rsidR="008200B9">
        <w:t xml:space="preserve">in stakeholder consultation </w:t>
      </w:r>
      <w:r w:rsidR="00AB2E06">
        <w:t xml:space="preserve">that </w:t>
      </w:r>
      <w:r w:rsidR="008200B9">
        <w:t>would have altered the overall findings.</w:t>
      </w:r>
    </w:p>
    <w:p w14:paraId="1967DFBB" w14:textId="765BDD3E" w:rsidR="00F3063F" w:rsidRPr="00B0485F" w:rsidRDefault="003B15C5" w:rsidP="00013AA2">
      <w:pPr>
        <w:pStyle w:val="BodyText"/>
      </w:pPr>
      <w:r>
        <w:t>The key challenge in i</w:t>
      </w:r>
      <w:r w:rsidR="00C82300">
        <w:t xml:space="preserve">nterpretation of the clinical and economic evidence was </w:t>
      </w:r>
      <w:r w:rsidR="000D4601">
        <w:t>the</w:t>
      </w:r>
      <w:r w:rsidR="00C82300">
        <w:t xml:space="preserve"> </w:t>
      </w:r>
      <w:r w:rsidR="0014701C">
        <w:t xml:space="preserve">variation in terminology and </w:t>
      </w:r>
      <w:r w:rsidR="00E1550E">
        <w:t>categorisation</w:t>
      </w:r>
      <w:r w:rsidR="0014701C">
        <w:t xml:space="preserve"> of different surgical techniques for SUI</w:t>
      </w:r>
      <w:r w:rsidR="009374AF">
        <w:t>.</w:t>
      </w:r>
      <w:r w:rsidR="00002B48">
        <w:t xml:space="preserve"> </w:t>
      </w:r>
      <w:r w:rsidR="009374AF">
        <w:t>In particular</w:t>
      </w:r>
      <w:r w:rsidR="00002B48">
        <w:t xml:space="preserve">, </w:t>
      </w:r>
      <w:r w:rsidR="00F3063F" w:rsidRPr="00F3063F">
        <w:t>the term sub-</w:t>
      </w:r>
      <w:r w:rsidR="00C936AA" w:rsidRPr="00F3063F">
        <w:t>urethral</w:t>
      </w:r>
      <w:r w:rsidR="00F3063F" w:rsidRPr="00F3063F">
        <w:t xml:space="preserve"> sling and whether this </w:t>
      </w:r>
      <w:r w:rsidR="005B191A">
        <w:t>referred to</w:t>
      </w:r>
      <w:r w:rsidR="005B191A" w:rsidRPr="00F3063F">
        <w:t xml:space="preserve"> </w:t>
      </w:r>
      <w:r w:rsidR="00F3063F" w:rsidRPr="00F3063F">
        <w:t xml:space="preserve">a type of MUS or </w:t>
      </w:r>
      <w:r w:rsidR="000915FA">
        <w:t xml:space="preserve">a </w:t>
      </w:r>
      <w:r w:rsidR="00F3063F" w:rsidRPr="00F3063F">
        <w:t>trad</w:t>
      </w:r>
      <w:r w:rsidR="00A22CF7">
        <w:t>itional</w:t>
      </w:r>
      <w:r w:rsidR="00F3063F" w:rsidRPr="00F3063F">
        <w:t xml:space="preserve"> sling</w:t>
      </w:r>
      <w:r w:rsidR="00001E77">
        <w:t>,</w:t>
      </w:r>
      <w:r w:rsidR="008B62DA">
        <w:t xml:space="preserve"> as varying </w:t>
      </w:r>
      <w:r w:rsidR="00C936AA">
        <w:t>definitions</w:t>
      </w:r>
      <w:r w:rsidR="008B62DA">
        <w:t xml:space="preserve"> were used across the included studies.</w:t>
      </w:r>
    </w:p>
    <w:p w14:paraId="04EC1A60" w14:textId="0776DF29" w:rsidR="00D94314" w:rsidRPr="00B0485F" w:rsidRDefault="001643CD" w:rsidP="00013AA2">
      <w:pPr>
        <w:pStyle w:val="BodyText"/>
      </w:pPr>
      <w:r>
        <w:t>Data on long-term complication rates is of low-quality and uncertain.</w:t>
      </w:r>
    </w:p>
    <w:p w14:paraId="546F515E" w14:textId="2843CD05" w:rsidR="00087F6A" w:rsidRPr="00B0485F" w:rsidRDefault="00627EFB" w:rsidP="00087F6A">
      <w:pPr>
        <w:pStyle w:val="Heading2"/>
      </w:pPr>
      <w:bookmarkStart w:id="172" w:name="_Toc165627853"/>
      <w:r>
        <w:t>Clinical Practice Guidelines</w:t>
      </w:r>
      <w:r w:rsidR="008D4591">
        <w:t xml:space="preserve"> and Regulatory Advice</w:t>
      </w:r>
      <w:bookmarkEnd w:id="172"/>
    </w:p>
    <w:p w14:paraId="7D35595D" w14:textId="06C1338B" w:rsidR="0003262F" w:rsidRPr="0003262F" w:rsidRDefault="00215731" w:rsidP="0003262F">
      <w:pPr>
        <w:pStyle w:val="BodyText"/>
      </w:pPr>
      <w:r>
        <w:t xml:space="preserve">Ten clinical practice guidelines or position </w:t>
      </w:r>
      <w:r w:rsidRPr="00215731">
        <w:rPr>
          <w:rStyle w:val="BodyTextChar"/>
        </w:rPr>
        <w:t>statements are summarised in</w:t>
      </w:r>
      <w:r>
        <w:t xml:space="preserve"> </w:t>
      </w:r>
      <w:r w:rsidR="009F71DD" w:rsidRPr="00C50180">
        <w:rPr>
          <w:b/>
          <w:bCs/>
        </w:rPr>
        <w:fldChar w:fldCharType="begin"/>
      </w:r>
      <w:r w:rsidR="009F71DD" w:rsidRPr="00C50180">
        <w:rPr>
          <w:b/>
          <w:bCs/>
        </w:rPr>
        <w:instrText xml:space="preserve"> REF _Ref129788540 \n \h  \* MERGEFORMAT </w:instrText>
      </w:r>
      <w:r w:rsidR="009F71DD" w:rsidRPr="00C50180">
        <w:rPr>
          <w:b/>
          <w:bCs/>
        </w:rPr>
      </w:r>
      <w:r w:rsidR="009F71DD" w:rsidRPr="00C50180">
        <w:rPr>
          <w:b/>
          <w:bCs/>
        </w:rPr>
        <w:fldChar w:fldCharType="separate"/>
      </w:r>
      <w:r w:rsidR="007105D3">
        <w:rPr>
          <w:b/>
          <w:bCs/>
        </w:rPr>
        <w:t>Appendix E</w:t>
      </w:r>
      <w:r w:rsidR="009F71DD" w:rsidRPr="00C50180">
        <w:rPr>
          <w:b/>
          <w:bCs/>
        </w:rPr>
        <w:fldChar w:fldCharType="end"/>
      </w:r>
      <w:r w:rsidR="00B8138B">
        <w:t xml:space="preserve">. All </w:t>
      </w:r>
      <w:r w:rsidR="00DE5FB2">
        <w:t xml:space="preserve">consistently </w:t>
      </w:r>
      <w:r w:rsidR="0048463B">
        <w:t>recommend MUS as a surgical option for the treatment of SUI</w:t>
      </w:r>
      <w:r w:rsidR="00A27711">
        <w:t xml:space="preserve">. Those </w:t>
      </w:r>
      <w:r w:rsidR="00042A27">
        <w:t>that</w:t>
      </w:r>
      <w:r w:rsidR="00A27711">
        <w:t xml:space="preserve"> make a statement on </w:t>
      </w:r>
      <w:r w:rsidR="00E02FA5">
        <w:t>the type of MUS</w:t>
      </w:r>
      <w:r w:rsidR="00196ED6">
        <w:t xml:space="preserve"> </w:t>
      </w:r>
      <w:r w:rsidR="009A05E9">
        <w:t xml:space="preserve">recommend </w:t>
      </w:r>
      <w:r w:rsidR="00437145">
        <w:t>RP</w:t>
      </w:r>
      <w:r w:rsidR="009F71DD">
        <w:t>-</w:t>
      </w:r>
      <w:r w:rsidR="009A05E9">
        <w:t xml:space="preserve">MUS </w:t>
      </w:r>
      <w:r w:rsidR="00E02FA5">
        <w:t xml:space="preserve">over </w:t>
      </w:r>
      <w:r w:rsidR="00437145">
        <w:t>TO</w:t>
      </w:r>
      <w:r w:rsidR="009F71DD">
        <w:t>-</w:t>
      </w:r>
      <w:r w:rsidR="00E02FA5">
        <w:t xml:space="preserve">MUS </w:t>
      </w:r>
      <w:r w:rsidR="008B1BA6">
        <w:t xml:space="preserve">unless there are specific </w:t>
      </w:r>
      <w:r w:rsidR="00B354CF">
        <w:t>clinical circumstances</w:t>
      </w:r>
      <w:r w:rsidR="007F36A5">
        <w:t>.</w:t>
      </w:r>
    </w:p>
    <w:p w14:paraId="272314E3" w14:textId="3D8D6943" w:rsidR="0005224D" w:rsidRDefault="0005224D" w:rsidP="0005224D">
      <w:pPr>
        <w:pStyle w:val="Heading2"/>
      </w:pPr>
      <w:bookmarkStart w:id="173" w:name="_Ref131672690"/>
      <w:bookmarkStart w:id="174" w:name="_Toc165627854"/>
      <w:r>
        <w:t>Cost-</w:t>
      </w:r>
      <w:r w:rsidR="00341F5B">
        <w:t>e</w:t>
      </w:r>
      <w:r>
        <w:t>ffectiveness</w:t>
      </w:r>
      <w:r w:rsidR="00341F5B">
        <w:t xml:space="preserve"> and cost analysis</w:t>
      </w:r>
      <w:bookmarkEnd w:id="173"/>
      <w:bookmarkEnd w:id="174"/>
    </w:p>
    <w:p w14:paraId="6C2E2BE8" w14:textId="017C2B6A" w:rsidR="00E80CFF" w:rsidRPr="0003262F" w:rsidRDefault="00E80CFF" w:rsidP="00E80CFF">
      <w:pPr>
        <w:pStyle w:val="BodyText"/>
      </w:pPr>
      <w:r>
        <w:t xml:space="preserve">The economics literature for </w:t>
      </w:r>
      <w:r w:rsidR="00046644">
        <w:t>MUS</w:t>
      </w:r>
      <w:r>
        <w:t xml:space="preserve"> is dominated by studies of cost-effectiveness in US health</w:t>
      </w:r>
      <w:r w:rsidR="001F754B">
        <w:t xml:space="preserve"> </w:t>
      </w:r>
      <w:r>
        <w:t>care which may have limited applicability to the Australian setting given the different factors driving costs of medical devices and medical services in the US.</w:t>
      </w:r>
    </w:p>
    <w:p w14:paraId="146939C6" w14:textId="3660881A" w:rsidR="00A935F1" w:rsidRDefault="005207DC" w:rsidP="00244C2A">
      <w:pPr>
        <w:pStyle w:val="BodyText"/>
      </w:pPr>
      <w:r>
        <w:t>Of the four modelled economic studies</w:t>
      </w:r>
      <w:r w:rsidR="00575594">
        <w:t xml:space="preserve"> </w:t>
      </w:r>
      <w:r w:rsidR="00675D09">
        <w:t xml:space="preserve">that </w:t>
      </w:r>
      <w:r>
        <w:t>compared MUS to alternative surgical interventions</w:t>
      </w:r>
      <w:r w:rsidR="00575594">
        <w:t xml:space="preserve"> </w:t>
      </w:r>
      <w:r w:rsidR="00245CE2">
        <w:rPr>
          <w:noProof/>
        </w:rPr>
        <w:t>(Chang 2022; Javanbakht 2020b; Jia 2023; Laudano 2013)</w:t>
      </w:r>
      <w:r>
        <w:t xml:space="preserve">, all found MUS to be the most cost-effective. </w:t>
      </w:r>
      <w:r w:rsidR="00A350D8">
        <w:t xml:space="preserve">Where the </w:t>
      </w:r>
      <w:r w:rsidR="000F2596">
        <w:t xml:space="preserve">two </w:t>
      </w:r>
      <w:r w:rsidR="00A350D8">
        <w:t>types of MUS were compared</w:t>
      </w:r>
      <w:r w:rsidR="00635094">
        <w:t xml:space="preserve">, </w:t>
      </w:r>
      <w:r w:rsidR="00143985">
        <w:t xml:space="preserve">the two studies </w:t>
      </w:r>
      <w:r w:rsidR="00566D7A">
        <w:t>considering the pairwise comparison only</w:t>
      </w:r>
      <w:r w:rsidR="00635094">
        <w:t xml:space="preserve"> </w:t>
      </w:r>
      <w:r w:rsidR="00245CE2">
        <w:rPr>
          <w:noProof/>
        </w:rPr>
        <w:t>(Lier 2017; Seklehner 2014)</w:t>
      </w:r>
      <w:r w:rsidR="00566D7A">
        <w:t xml:space="preserve"> </w:t>
      </w:r>
      <w:r w:rsidR="00D04FD2">
        <w:t xml:space="preserve">found </w:t>
      </w:r>
      <w:r w:rsidR="006100BB">
        <w:t>T</w:t>
      </w:r>
      <w:r w:rsidR="00FC3AC4">
        <w:t>O</w:t>
      </w:r>
      <w:r w:rsidR="006100BB">
        <w:t xml:space="preserve">-MUS </w:t>
      </w:r>
      <w:r w:rsidR="00D04FD2">
        <w:t xml:space="preserve">to be </w:t>
      </w:r>
      <w:r w:rsidR="006100BB">
        <w:t>more cost effective</w:t>
      </w:r>
      <w:r w:rsidR="00D759A6">
        <w:t xml:space="preserve"> than RP-MUS</w:t>
      </w:r>
      <w:r w:rsidR="003C7E10">
        <w:t>, whereas</w:t>
      </w:r>
      <w:r w:rsidR="00566D7A">
        <w:t xml:space="preserve"> th</w:t>
      </w:r>
      <w:r w:rsidR="006717EB">
        <w:t xml:space="preserve">e study </w:t>
      </w:r>
      <w:r w:rsidR="003C7E10">
        <w:t xml:space="preserve">that </w:t>
      </w:r>
      <w:r w:rsidR="00566D7A">
        <w:t>compar</w:t>
      </w:r>
      <w:r w:rsidR="006717EB">
        <w:t>ed</w:t>
      </w:r>
      <w:r w:rsidR="00566D7A">
        <w:t xml:space="preserve"> </w:t>
      </w:r>
      <w:r w:rsidR="003C7E10">
        <w:t xml:space="preserve">MUS </w:t>
      </w:r>
      <w:r w:rsidR="00566D7A">
        <w:t>within a suite of options</w:t>
      </w:r>
      <w:r w:rsidR="006717EB">
        <w:t xml:space="preserve"> </w:t>
      </w:r>
      <w:r w:rsidR="00245CE2">
        <w:rPr>
          <w:noProof/>
        </w:rPr>
        <w:t>(Javanbakht 2020b)</w:t>
      </w:r>
      <w:r w:rsidR="006100BB">
        <w:t xml:space="preserve"> </w:t>
      </w:r>
      <w:r w:rsidR="005A3E50">
        <w:t xml:space="preserve">found that </w:t>
      </w:r>
      <w:r w:rsidR="006100BB">
        <w:t>R</w:t>
      </w:r>
      <w:r w:rsidR="00FC3AC4">
        <w:t>P</w:t>
      </w:r>
      <w:r w:rsidR="006100BB">
        <w:t>-MUS dominates</w:t>
      </w:r>
      <w:r w:rsidR="000F2596">
        <w:t xml:space="preserve"> TO-MUS</w:t>
      </w:r>
      <w:r w:rsidR="00142E76">
        <w:t xml:space="preserve">. Similarly, bulking agents were found to be </w:t>
      </w:r>
      <w:r w:rsidR="005B4067">
        <w:t xml:space="preserve">more </w:t>
      </w:r>
      <w:r w:rsidR="00142E76">
        <w:t xml:space="preserve">cost-effective </w:t>
      </w:r>
      <w:r w:rsidR="001A3E30">
        <w:t xml:space="preserve">at one year </w:t>
      </w:r>
      <w:r w:rsidR="005B4067">
        <w:t xml:space="preserve">than MUS </w:t>
      </w:r>
      <w:r w:rsidR="00142E76">
        <w:t>i</w:t>
      </w:r>
      <w:r w:rsidR="00A92176">
        <w:t>n</w:t>
      </w:r>
      <w:r w:rsidR="00142E76">
        <w:t xml:space="preserve"> two </w:t>
      </w:r>
      <w:r w:rsidR="00B12388">
        <w:t xml:space="preserve">studies </w:t>
      </w:r>
      <w:r w:rsidR="00245CE2">
        <w:rPr>
          <w:noProof/>
        </w:rPr>
        <w:t>(Casteleijn 2023; Kunkle 2015)</w:t>
      </w:r>
      <w:r w:rsidR="00F4060E">
        <w:t xml:space="preserve"> but not in the larger analyses </w:t>
      </w:r>
      <w:r w:rsidR="00996563">
        <w:t>with a longer time horizon</w:t>
      </w:r>
      <w:r w:rsidR="00652F14">
        <w:t xml:space="preserve"> </w:t>
      </w:r>
      <w:r w:rsidR="00245CE2">
        <w:rPr>
          <w:noProof/>
        </w:rPr>
        <w:t>(Chang 2022; Javanbakht 2020b)</w:t>
      </w:r>
      <w:r w:rsidR="00A92176">
        <w:t>.</w:t>
      </w:r>
    </w:p>
    <w:p w14:paraId="7E8146BB" w14:textId="71D06ADD" w:rsidR="00A92176" w:rsidRDefault="00A92176" w:rsidP="00244C2A">
      <w:pPr>
        <w:pStyle w:val="BodyText"/>
      </w:pPr>
      <w:r>
        <w:t xml:space="preserve">The </w:t>
      </w:r>
      <w:r w:rsidR="004E7490">
        <w:t xml:space="preserve">pivotal economic analysis is </w:t>
      </w:r>
      <w:r w:rsidR="00245CE2">
        <w:rPr>
          <w:noProof/>
        </w:rPr>
        <w:t>(Javanbakht 2020b)</w:t>
      </w:r>
      <w:r w:rsidR="00104265">
        <w:t xml:space="preserve"> based on comprehensiveness, methodology and source of funding</w:t>
      </w:r>
      <w:r w:rsidR="00F93F41">
        <w:t>.</w:t>
      </w:r>
      <w:r w:rsidR="00236DD7">
        <w:t xml:space="preserve"> </w:t>
      </w:r>
      <w:r w:rsidR="00E45A23">
        <w:t>The study</w:t>
      </w:r>
      <w:r w:rsidR="00283190">
        <w:t xml:space="preserve"> found R</w:t>
      </w:r>
      <w:r w:rsidR="00683104">
        <w:t>P</w:t>
      </w:r>
      <w:r w:rsidR="00283190">
        <w:t>-MUS to dominate all relevant comparators at 10</w:t>
      </w:r>
      <w:r w:rsidR="00392206">
        <w:t>-</w:t>
      </w:r>
      <w:r w:rsidR="00E45A23">
        <w:t>year</w:t>
      </w:r>
      <w:r w:rsidR="00283190">
        <w:t xml:space="preserve"> and lifetime horizons</w:t>
      </w:r>
      <w:r w:rsidR="00104265">
        <w:t xml:space="preserve">. </w:t>
      </w:r>
      <w:r w:rsidR="006D3CB4">
        <w:t xml:space="preserve">One of the comparators in </w:t>
      </w:r>
      <w:proofErr w:type="spellStart"/>
      <w:r w:rsidR="006254DD">
        <w:t>Javanbakht</w:t>
      </w:r>
      <w:proofErr w:type="spellEnd"/>
      <w:r w:rsidR="006254DD">
        <w:t xml:space="preserve"> </w:t>
      </w:r>
      <w:r w:rsidR="006D3CB4">
        <w:t xml:space="preserve">2020b was </w:t>
      </w:r>
      <w:r w:rsidR="006254DD">
        <w:t>‘traditional slings’</w:t>
      </w:r>
      <w:r w:rsidR="007F702E">
        <w:t>,</w:t>
      </w:r>
      <w:r w:rsidR="006254DD">
        <w:t xml:space="preserve"> which included both </w:t>
      </w:r>
      <w:r w:rsidR="00854A06">
        <w:t>autologous</w:t>
      </w:r>
      <w:r w:rsidR="006254DD">
        <w:t xml:space="preserve"> and </w:t>
      </w:r>
      <w:r w:rsidR="00854A06">
        <w:t xml:space="preserve">synthetic </w:t>
      </w:r>
      <w:proofErr w:type="spellStart"/>
      <w:r w:rsidR="00E45A23">
        <w:t>suburethral</w:t>
      </w:r>
      <w:proofErr w:type="spellEnd"/>
      <w:r w:rsidR="00EE603C">
        <w:t xml:space="preserve"> slings</w:t>
      </w:r>
      <w:r w:rsidR="006D3CB4">
        <w:t>.</w:t>
      </w:r>
      <w:r w:rsidR="007F702E">
        <w:t xml:space="preserve"> </w:t>
      </w:r>
      <w:r w:rsidR="006D3CB4">
        <w:t>Traditional slings</w:t>
      </w:r>
      <w:r w:rsidR="00EE603C">
        <w:t xml:space="preserve"> </w:t>
      </w:r>
      <w:r w:rsidR="00803D99">
        <w:t>also had</w:t>
      </w:r>
      <w:r w:rsidR="00724114">
        <w:t xml:space="preserve"> a high probability of being cost-effective over a lifetime horizon</w:t>
      </w:r>
      <w:r w:rsidR="00803D99">
        <w:t>.</w:t>
      </w:r>
      <w:r w:rsidR="00F93F41">
        <w:t xml:space="preserve"> The </w:t>
      </w:r>
      <w:r w:rsidR="00C51D46">
        <w:t>most significant source of uncertainty in the study is the extrapolation of both effectiveness and complication rates beyond trial data, although varying complication rates were tested in sensitivity analysis.</w:t>
      </w:r>
    </w:p>
    <w:p w14:paraId="5A434E16" w14:textId="6D628119" w:rsidR="00244C2A" w:rsidRPr="00A9442A" w:rsidRDefault="00244C2A" w:rsidP="00244C2A">
      <w:pPr>
        <w:pStyle w:val="BodyText"/>
      </w:pPr>
      <w:r>
        <w:t xml:space="preserve">An overview of cost-effectiveness findings from the included studies is presented in </w:t>
      </w:r>
      <w:r w:rsidRPr="00683104">
        <w:rPr>
          <w:b/>
          <w:bCs/>
        </w:rPr>
        <w:fldChar w:fldCharType="begin"/>
      </w:r>
      <w:r w:rsidRPr="00683104">
        <w:rPr>
          <w:b/>
          <w:bCs/>
        </w:rPr>
        <w:instrText xml:space="preserve"> REF _Ref131507002 \h </w:instrText>
      </w:r>
      <w:r w:rsidR="00683104">
        <w:rPr>
          <w:b/>
          <w:bCs/>
        </w:rPr>
        <w:instrText xml:space="preserve"> \* MERGEFORMAT </w:instrText>
      </w:r>
      <w:r w:rsidRPr="00683104">
        <w:rPr>
          <w:b/>
          <w:bCs/>
        </w:rPr>
      </w:r>
      <w:r w:rsidRPr="00683104">
        <w:rPr>
          <w:b/>
          <w:bCs/>
        </w:rPr>
        <w:fldChar w:fldCharType="separate"/>
      </w:r>
      <w:r w:rsidR="007105D3" w:rsidRPr="007105D3">
        <w:rPr>
          <w:b/>
          <w:bCs/>
        </w:rPr>
        <w:t xml:space="preserve">Table </w:t>
      </w:r>
      <w:r w:rsidR="007105D3" w:rsidRPr="007105D3">
        <w:rPr>
          <w:b/>
          <w:bCs/>
          <w:noProof/>
        </w:rPr>
        <w:t>35</w:t>
      </w:r>
      <w:r w:rsidRPr="00683104">
        <w:rPr>
          <w:b/>
          <w:bCs/>
        </w:rPr>
        <w:fldChar w:fldCharType="end"/>
      </w:r>
      <w:r>
        <w:t>.</w:t>
      </w:r>
    </w:p>
    <w:p w14:paraId="2AE47292" w14:textId="017F286C" w:rsidR="00244C2A" w:rsidRPr="00B0485F" w:rsidRDefault="00244C2A" w:rsidP="00453055">
      <w:pPr>
        <w:pStyle w:val="Caption"/>
      </w:pPr>
      <w:bookmarkStart w:id="175" w:name="_Ref131507002"/>
      <w:bookmarkStart w:id="176" w:name="_Toc165627903"/>
      <w:r w:rsidRPr="00B0485F">
        <w:lastRenderedPageBreak/>
        <w:t xml:space="preserve">Table </w:t>
      </w:r>
      <w:fldSimple w:instr=" SEQ Table \* ARABIC ">
        <w:r w:rsidR="007105D3">
          <w:rPr>
            <w:noProof/>
          </w:rPr>
          <w:t>35</w:t>
        </w:r>
      </w:fldSimple>
      <w:bookmarkEnd w:id="175"/>
      <w:r w:rsidRPr="00B0485F">
        <w:tab/>
      </w:r>
      <w:r>
        <w:t>Summary of cost-effectiveness findings</w:t>
      </w:r>
      <w:bookmarkEnd w:id="176"/>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cost-effectiveness findings"/>
        <w:tblDescription w:val="This table presents a summary of the cost-effectiveness findings. For each relevant study the intervention, comparator, time horizon, effectiveness, cost, and cost-effectiveness is shown."/>
      </w:tblPr>
      <w:tblGrid>
        <w:gridCol w:w="983"/>
        <w:gridCol w:w="1097"/>
        <w:gridCol w:w="1881"/>
        <w:gridCol w:w="721"/>
        <w:gridCol w:w="1531"/>
        <w:gridCol w:w="1619"/>
        <w:gridCol w:w="1806"/>
      </w:tblGrid>
      <w:tr w:rsidR="004B7A0C" w:rsidRPr="00D40D4C" w14:paraId="7465EB70" w14:textId="77777777" w:rsidTr="004B7A0C">
        <w:trPr>
          <w:cantSplit/>
          <w:tblHeader/>
        </w:trPr>
        <w:tc>
          <w:tcPr>
            <w:tcW w:w="510" w:type="pct"/>
            <w:shd w:val="clear" w:color="auto" w:fill="BFBFBF"/>
          </w:tcPr>
          <w:p w14:paraId="190C0569" w14:textId="77777777" w:rsidR="005B55F6" w:rsidRPr="005D71A4" w:rsidRDefault="005B55F6" w:rsidP="00453055">
            <w:pPr>
              <w:pStyle w:val="011TableHeading8pt"/>
              <w:keepNext/>
              <w:spacing w:before="40"/>
              <w:ind w:left="-57" w:right="-57"/>
              <w:rPr>
                <w:sz w:val="18"/>
                <w:szCs w:val="18"/>
              </w:rPr>
            </w:pPr>
            <w:r w:rsidRPr="005D71A4">
              <w:rPr>
                <w:sz w:val="18"/>
                <w:szCs w:val="18"/>
              </w:rPr>
              <w:t>Study ID</w:t>
            </w:r>
          </w:p>
        </w:tc>
        <w:tc>
          <w:tcPr>
            <w:tcW w:w="568" w:type="pct"/>
            <w:shd w:val="clear" w:color="auto" w:fill="BFBFBF"/>
          </w:tcPr>
          <w:p w14:paraId="7D3853B9" w14:textId="77777777" w:rsidR="005B55F6" w:rsidRPr="005D71A4" w:rsidRDefault="005B55F6" w:rsidP="00453055">
            <w:pPr>
              <w:pStyle w:val="011TableHeading8pt"/>
              <w:keepNext/>
              <w:spacing w:before="40"/>
              <w:ind w:left="-57" w:right="-57"/>
              <w:rPr>
                <w:sz w:val="18"/>
                <w:szCs w:val="18"/>
              </w:rPr>
            </w:pPr>
            <w:r w:rsidRPr="005D71A4">
              <w:rPr>
                <w:sz w:val="18"/>
                <w:szCs w:val="18"/>
              </w:rPr>
              <w:t>Intervention</w:t>
            </w:r>
          </w:p>
        </w:tc>
        <w:tc>
          <w:tcPr>
            <w:tcW w:w="976" w:type="pct"/>
            <w:shd w:val="clear" w:color="auto" w:fill="BFBFBF"/>
          </w:tcPr>
          <w:p w14:paraId="74F0E474" w14:textId="77777777" w:rsidR="005B55F6" w:rsidRPr="005D71A4" w:rsidRDefault="005B55F6" w:rsidP="00453055">
            <w:pPr>
              <w:pStyle w:val="011TableHeading8pt"/>
              <w:keepNext/>
              <w:spacing w:before="40"/>
              <w:ind w:left="-57" w:right="-57"/>
              <w:rPr>
                <w:sz w:val="18"/>
                <w:szCs w:val="18"/>
              </w:rPr>
            </w:pPr>
            <w:r w:rsidRPr="005D71A4">
              <w:rPr>
                <w:sz w:val="18"/>
                <w:szCs w:val="18"/>
              </w:rPr>
              <w:t>Comparator(s)</w:t>
            </w:r>
          </w:p>
        </w:tc>
        <w:tc>
          <w:tcPr>
            <w:tcW w:w="374" w:type="pct"/>
            <w:shd w:val="clear" w:color="auto" w:fill="BFBFBF"/>
          </w:tcPr>
          <w:p w14:paraId="11BB04EB" w14:textId="2138E289" w:rsidR="005B55F6" w:rsidRPr="005D71A4" w:rsidRDefault="005B55F6" w:rsidP="00453055">
            <w:pPr>
              <w:pStyle w:val="011TableHeading8pt"/>
              <w:keepNext/>
              <w:spacing w:before="40"/>
              <w:ind w:left="-57" w:right="-57"/>
              <w:rPr>
                <w:sz w:val="18"/>
                <w:szCs w:val="18"/>
              </w:rPr>
            </w:pPr>
            <w:r>
              <w:rPr>
                <w:sz w:val="18"/>
                <w:szCs w:val="18"/>
              </w:rPr>
              <w:t>Time horizon</w:t>
            </w:r>
          </w:p>
        </w:tc>
        <w:tc>
          <w:tcPr>
            <w:tcW w:w="794" w:type="pct"/>
            <w:shd w:val="clear" w:color="auto" w:fill="BFBFBF"/>
          </w:tcPr>
          <w:p w14:paraId="587926E8" w14:textId="2B41ADF3" w:rsidR="005B55F6" w:rsidRPr="005D71A4" w:rsidRDefault="005B55F6" w:rsidP="00453055">
            <w:pPr>
              <w:pStyle w:val="011TableHeading8pt"/>
              <w:keepNext/>
              <w:spacing w:before="40"/>
              <w:ind w:left="-57" w:right="-57"/>
              <w:rPr>
                <w:sz w:val="18"/>
                <w:szCs w:val="18"/>
              </w:rPr>
            </w:pPr>
            <w:r w:rsidRPr="005D71A4">
              <w:rPr>
                <w:sz w:val="18"/>
                <w:szCs w:val="18"/>
              </w:rPr>
              <w:t>Effectiveness</w:t>
            </w:r>
          </w:p>
        </w:tc>
        <w:tc>
          <w:tcPr>
            <w:tcW w:w="840" w:type="pct"/>
            <w:shd w:val="clear" w:color="auto" w:fill="BFBFBF"/>
          </w:tcPr>
          <w:p w14:paraId="3AD67A5B" w14:textId="77777777" w:rsidR="005B55F6" w:rsidRPr="005D71A4" w:rsidRDefault="005B55F6" w:rsidP="00453055">
            <w:pPr>
              <w:pStyle w:val="011TableHeading8pt"/>
              <w:keepNext/>
              <w:spacing w:before="40"/>
              <w:ind w:left="-57" w:right="-57"/>
              <w:rPr>
                <w:sz w:val="18"/>
                <w:szCs w:val="18"/>
              </w:rPr>
            </w:pPr>
            <w:r w:rsidRPr="005D71A4">
              <w:rPr>
                <w:sz w:val="18"/>
                <w:szCs w:val="18"/>
              </w:rPr>
              <w:t>Cost</w:t>
            </w:r>
          </w:p>
        </w:tc>
        <w:tc>
          <w:tcPr>
            <w:tcW w:w="938" w:type="pct"/>
            <w:shd w:val="clear" w:color="auto" w:fill="BFBFBF"/>
          </w:tcPr>
          <w:p w14:paraId="5120DA5C" w14:textId="77777777" w:rsidR="005B55F6" w:rsidRPr="005D71A4" w:rsidRDefault="005B55F6" w:rsidP="00453055">
            <w:pPr>
              <w:pStyle w:val="011TableHeading8pt"/>
              <w:keepNext/>
              <w:spacing w:before="40"/>
              <w:ind w:left="-57" w:right="-57"/>
              <w:rPr>
                <w:sz w:val="18"/>
                <w:szCs w:val="18"/>
              </w:rPr>
            </w:pPr>
            <w:r w:rsidRPr="005D71A4">
              <w:rPr>
                <w:sz w:val="18"/>
                <w:szCs w:val="18"/>
              </w:rPr>
              <w:t>Cost-effectiveness</w:t>
            </w:r>
          </w:p>
        </w:tc>
      </w:tr>
      <w:tr w:rsidR="004B7A0C" w:rsidRPr="002D2C79" w14:paraId="541A283F" w14:textId="77777777" w:rsidTr="004B7A0C">
        <w:trPr>
          <w:cantSplit/>
        </w:trPr>
        <w:tc>
          <w:tcPr>
            <w:tcW w:w="1079" w:type="pct"/>
            <w:gridSpan w:val="2"/>
            <w:shd w:val="clear" w:color="auto" w:fill="000000" w:themeFill="text1"/>
          </w:tcPr>
          <w:p w14:paraId="050616BC" w14:textId="2D9898EB" w:rsidR="005B55F6" w:rsidRPr="005D71A4" w:rsidRDefault="005B55F6" w:rsidP="00453055">
            <w:pPr>
              <w:pStyle w:val="051Tabletext228pt"/>
              <w:keepNext/>
              <w:ind w:left="-57" w:right="-57"/>
              <w:rPr>
                <w:b/>
                <w:bCs/>
                <w:sz w:val="18"/>
                <w:szCs w:val="18"/>
              </w:rPr>
            </w:pPr>
            <w:r w:rsidRPr="005D71A4">
              <w:rPr>
                <w:b/>
                <w:bCs/>
                <w:sz w:val="18"/>
                <w:szCs w:val="18"/>
              </w:rPr>
              <w:t xml:space="preserve">Modelled </w:t>
            </w:r>
            <w:r>
              <w:rPr>
                <w:b/>
                <w:bCs/>
                <w:sz w:val="18"/>
                <w:szCs w:val="18"/>
              </w:rPr>
              <w:t>e</w:t>
            </w:r>
            <w:r w:rsidRPr="005D71A4">
              <w:rPr>
                <w:b/>
                <w:bCs/>
                <w:sz w:val="18"/>
                <w:szCs w:val="18"/>
              </w:rPr>
              <w:t>valuations</w:t>
            </w:r>
          </w:p>
        </w:tc>
        <w:tc>
          <w:tcPr>
            <w:tcW w:w="976" w:type="pct"/>
            <w:shd w:val="clear" w:color="auto" w:fill="000000" w:themeFill="text1"/>
          </w:tcPr>
          <w:p w14:paraId="55A2E544" w14:textId="77777777" w:rsidR="005B55F6" w:rsidRPr="005D71A4" w:rsidRDefault="005B55F6" w:rsidP="00453055">
            <w:pPr>
              <w:pStyle w:val="051Tabletext228pt"/>
              <w:keepNext/>
              <w:ind w:left="-57" w:right="-57"/>
              <w:rPr>
                <w:b/>
                <w:bCs/>
                <w:sz w:val="18"/>
                <w:szCs w:val="18"/>
              </w:rPr>
            </w:pPr>
          </w:p>
        </w:tc>
        <w:tc>
          <w:tcPr>
            <w:tcW w:w="374" w:type="pct"/>
            <w:shd w:val="clear" w:color="auto" w:fill="000000" w:themeFill="text1"/>
          </w:tcPr>
          <w:p w14:paraId="089E6A02" w14:textId="77777777" w:rsidR="005B55F6" w:rsidRPr="005D71A4" w:rsidRDefault="005B55F6" w:rsidP="00453055">
            <w:pPr>
              <w:pStyle w:val="051Tabletext228pt"/>
              <w:keepNext/>
              <w:ind w:left="-57" w:right="-57"/>
              <w:rPr>
                <w:b/>
                <w:bCs/>
                <w:sz w:val="18"/>
                <w:szCs w:val="18"/>
              </w:rPr>
            </w:pPr>
          </w:p>
        </w:tc>
        <w:tc>
          <w:tcPr>
            <w:tcW w:w="794" w:type="pct"/>
            <w:shd w:val="clear" w:color="auto" w:fill="000000" w:themeFill="text1"/>
          </w:tcPr>
          <w:p w14:paraId="654239AB" w14:textId="1C050BB2" w:rsidR="005B55F6" w:rsidRPr="005D71A4" w:rsidRDefault="005B55F6" w:rsidP="00453055">
            <w:pPr>
              <w:pStyle w:val="051Tabletext228pt"/>
              <w:keepNext/>
              <w:ind w:left="-57" w:right="-57"/>
              <w:rPr>
                <w:b/>
                <w:bCs/>
                <w:sz w:val="18"/>
                <w:szCs w:val="18"/>
              </w:rPr>
            </w:pPr>
          </w:p>
        </w:tc>
        <w:tc>
          <w:tcPr>
            <w:tcW w:w="840" w:type="pct"/>
            <w:shd w:val="clear" w:color="auto" w:fill="000000" w:themeFill="text1"/>
          </w:tcPr>
          <w:p w14:paraId="38AB3867" w14:textId="77777777" w:rsidR="005B55F6" w:rsidRPr="005D71A4" w:rsidRDefault="005B55F6" w:rsidP="00453055">
            <w:pPr>
              <w:pStyle w:val="051Tabletext228pt"/>
              <w:keepNext/>
              <w:ind w:left="-57" w:right="-57"/>
              <w:rPr>
                <w:b/>
                <w:bCs/>
                <w:sz w:val="18"/>
                <w:szCs w:val="18"/>
              </w:rPr>
            </w:pPr>
          </w:p>
        </w:tc>
        <w:tc>
          <w:tcPr>
            <w:tcW w:w="938" w:type="pct"/>
            <w:shd w:val="clear" w:color="auto" w:fill="000000" w:themeFill="text1"/>
          </w:tcPr>
          <w:p w14:paraId="1B9F94BF" w14:textId="77777777" w:rsidR="005B55F6" w:rsidRPr="005D71A4" w:rsidRDefault="005B55F6" w:rsidP="00453055">
            <w:pPr>
              <w:pStyle w:val="051Tabletext228pt"/>
              <w:keepNext/>
              <w:ind w:left="-57" w:right="-57"/>
              <w:rPr>
                <w:b/>
                <w:bCs/>
                <w:sz w:val="18"/>
                <w:szCs w:val="18"/>
              </w:rPr>
            </w:pPr>
          </w:p>
        </w:tc>
      </w:tr>
      <w:tr w:rsidR="00D743AD" w:rsidRPr="00D40D4C" w14:paraId="3D75FE7B" w14:textId="77777777" w:rsidTr="004B7A0C">
        <w:trPr>
          <w:cantSplit/>
        </w:trPr>
        <w:tc>
          <w:tcPr>
            <w:tcW w:w="510" w:type="pct"/>
          </w:tcPr>
          <w:p w14:paraId="738C678E" w14:textId="77777777" w:rsidR="00D743AD" w:rsidRPr="005D71A4" w:rsidRDefault="00D743AD" w:rsidP="00A9208C">
            <w:pPr>
              <w:pStyle w:val="051Tabletext228pt"/>
              <w:ind w:left="-57" w:right="-57"/>
              <w:rPr>
                <w:sz w:val="18"/>
                <w:szCs w:val="18"/>
              </w:rPr>
            </w:pPr>
            <w:r w:rsidRPr="005D71A4">
              <w:rPr>
                <w:sz w:val="18"/>
                <w:szCs w:val="18"/>
              </w:rPr>
              <w:t>Jia 2023</w:t>
            </w:r>
          </w:p>
        </w:tc>
        <w:tc>
          <w:tcPr>
            <w:tcW w:w="568" w:type="pct"/>
          </w:tcPr>
          <w:p w14:paraId="6C6D96C3" w14:textId="77777777" w:rsidR="00D743AD" w:rsidRPr="005D71A4" w:rsidRDefault="00D743AD" w:rsidP="00A9208C">
            <w:pPr>
              <w:pStyle w:val="051Tabletext228pt"/>
              <w:ind w:left="-57" w:right="-57"/>
              <w:rPr>
                <w:sz w:val="18"/>
                <w:szCs w:val="18"/>
              </w:rPr>
            </w:pPr>
            <w:r w:rsidRPr="005D71A4">
              <w:rPr>
                <w:sz w:val="18"/>
                <w:szCs w:val="18"/>
              </w:rPr>
              <w:t xml:space="preserve">RP-MUS </w:t>
            </w:r>
          </w:p>
        </w:tc>
        <w:tc>
          <w:tcPr>
            <w:tcW w:w="976" w:type="pct"/>
            <w:shd w:val="clear" w:color="auto" w:fill="auto"/>
          </w:tcPr>
          <w:p w14:paraId="433DB17F" w14:textId="77777777" w:rsidR="00D743AD" w:rsidRPr="005D71A4" w:rsidRDefault="00D743AD" w:rsidP="00A9208C">
            <w:pPr>
              <w:pStyle w:val="051Tabletext228pt"/>
              <w:ind w:left="-57" w:right="-57"/>
              <w:rPr>
                <w:sz w:val="18"/>
                <w:szCs w:val="18"/>
              </w:rPr>
            </w:pPr>
            <w:r>
              <w:rPr>
                <w:sz w:val="18"/>
                <w:szCs w:val="18"/>
              </w:rPr>
              <w:t>PVS</w:t>
            </w:r>
          </w:p>
        </w:tc>
        <w:tc>
          <w:tcPr>
            <w:tcW w:w="374" w:type="pct"/>
          </w:tcPr>
          <w:p w14:paraId="30CF3C50" w14:textId="77777777" w:rsidR="00D743AD" w:rsidRPr="005D71A4" w:rsidRDefault="00D743AD" w:rsidP="00A9208C">
            <w:pPr>
              <w:pStyle w:val="051Tabletext228pt"/>
              <w:ind w:left="-57" w:right="-57"/>
              <w:rPr>
                <w:sz w:val="18"/>
                <w:szCs w:val="18"/>
              </w:rPr>
            </w:pPr>
            <w:r>
              <w:rPr>
                <w:sz w:val="18"/>
                <w:szCs w:val="18"/>
              </w:rPr>
              <w:t xml:space="preserve">1 </w:t>
            </w:r>
            <w:proofErr w:type="spellStart"/>
            <w:r>
              <w:rPr>
                <w:sz w:val="18"/>
                <w:szCs w:val="18"/>
              </w:rPr>
              <w:t>yr</w:t>
            </w:r>
            <w:proofErr w:type="spellEnd"/>
          </w:p>
        </w:tc>
        <w:tc>
          <w:tcPr>
            <w:tcW w:w="794" w:type="pct"/>
          </w:tcPr>
          <w:p w14:paraId="1949A77A" w14:textId="77777777" w:rsidR="00D743AD" w:rsidRPr="005D71A4" w:rsidRDefault="00D743AD" w:rsidP="00A9208C">
            <w:pPr>
              <w:pStyle w:val="051Tabletext228pt"/>
              <w:ind w:left="-57" w:right="-57"/>
              <w:rPr>
                <w:sz w:val="18"/>
                <w:szCs w:val="18"/>
              </w:rPr>
            </w:pPr>
            <w:r w:rsidRPr="005D71A4">
              <w:rPr>
                <w:sz w:val="18"/>
                <w:szCs w:val="18"/>
              </w:rPr>
              <w:t xml:space="preserve">RP-MUS slightly more effective </w:t>
            </w:r>
          </w:p>
        </w:tc>
        <w:tc>
          <w:tcPr>
            <w:tcW w:w="840" w:type="pct"/>
          </w:tcPr>
          <w:p w14:paraId="39AAA1B4" w14:textId="77777777" w:rsidR="00D743AD" w:rsidRPr="005D71A4" w:rsidRDefault="00D743AD" w:rsidP="00A9208C">
            <w:pPr>
              <w:pStyle w:val="051Tabletext228pt"/>
              <w:ind w:left="-57" w:right="-57"/>
              <w:rPr>
                <w:sz w:val="18"/>
                <w:szCs w:val="18"/>
              </w:rPr>
            </w:pPr>
            <w:r w:rsidRPr="005D71A4">
              <w:rPr>
                <w:sz w:val="18"/>
                <w:szCs w:val="18"/>
              </w:rPr>
              <w:t>RP-MUS less costly</w:t>
            </w:r>
          </w:p>
        </w:tc>
        <w:tc>
          <w:tcPr>
            <w:tcW w:w="938" w:type="pct"/>
          </w:tcPr>
          <w:p w14:paraId="620A3A93" w14:textId="77777777" w:rsidR="00D743AD" w:rsidRPr="005D71A4" w:rsidRDefault="00D743AD" w:rsidP="00A9208C">
            <w:pPr>
              <w:pStyle w:val="051Tabletext228pt"/>
              <w:ind w:left="-57" w:right="-57"/>
              <w:rPr>
                <w:sz w:val="18"/>
                <w:szCs w:val="18"/>
              </w:rPr>
            </w:pPr>
            <w:r w:rsidRPr="005D71A4">
              <w:rPr>
                <w:sz w:val="18"/>
                <w:szCs w:val="18"/>
              </w:rPr>
              <w:t>RP-MUS more cost-effective</w:t>
            </w:r>
          </w:p>
        </w:tc>
      </w:tr>
      <w:tr w:rsidR="007B342C" w:rsidRPr="00D40D4C" w14:paraId="1DF53836" w14:textId="77777777" w:rsidTr="004B7A0C">
        <w:trPr>
          <w:cantSplit/>
        </w:trPr>
        <w:tc>
          <w:tcPr>
            <w:tcW w:w="510" w:type="pct"/>
          </w:tcPr>
          <w:p w14:paraId="1A718B6A" w14:textId="77777777" w:rsidR="007B342C" w:rsidRPr="005D71A4" w:rsidRDefault="007B342C">
            <w:pPr>
              <w:pStyle w:val="051Tabletext228pt"/>
              <w:ind w:left="-57" w:right="-57"/>
              <w:rPr>
                <w:sz w:val="18"/>
                <w:szCs w:val="18"/>
              </w:rPr>
            </w:pPr>
            <w:r w:rsidRPr="005D71A4">
              <w:rPr>
                <w:sz w:val="18"/>
                <w:szCs w:val="18"/>
              </w:rPr>
              <w:t>Chang 202</w:t>
            </w:r>
            <w:r>
              <w:rPr>
                <w:sz w:val="18"/>
                <w:szCs w:val="18"/>
              </w:rPr>
              <w:t>2</w:t>
            </w:r>
          </w:p>
        </w:tc>
        <w:tc>
          <w:tcPr>
            <w:tcW w:w="568" w:type="pct"/>
          </w:tcPr>
          <w:p w14:paraId="10FE1E47" w14:textId="77777777" w:rsidR="007B342C" w:rsidRPr="005D71A4" w:rsidRDefault="007B342C">
            <w:pPr>
              <w:pStyle w:val="051Tabletext228pt"/>
              <w:ind w:left="-57" w:right="-57"/>
              <w:rPr>
                <w:sz w:val="18"/>
                <w:szCs w:val="18"/>
              </w:rPr>
            </w:pPr>
            <w:r w:rsidRPr="005D71A4">
              <w:rPr>
                <w:sz w:val="18"/>
                <w:szCs w:val="18"/>
              </w:rPr>
              <w:t>MUS (</w:t>
            </w:r>
            <w:r>
              <w:rPr>
                <w:sz w:val="18"/>
                <w:szCs w:val="18"/>
              </w:rPr>
              <w:t>RP</w:t>
            </w:r>
            <w:r w:rsidRPr="005D71A4">
              <w:rPr>
                <w:sz w:val="18"/>
                <w:szCs w:val="18"/>
              </w:rPr>
              <w:t xml:space="preserve">- </w:t>
            </w:r>
            <w:r>
              <w:rPr>
                <w:sz w:val="18"/>
                <w:szCs w:val="18"/>
              </w:rPr>
              <w:br/>
            </w:r>
            <w:r w:rsidRPr="005D71A4">
              <w:rPr>
                <w:sz w:val="18"/>
                <w:szCs w:val="18"/>
              </w:rPr>
              <w:t xml:space="preserve">or </w:t>
            </w:r>
            <w:r>
              <w:rPr>
                <w:sz w:val="18"/>
                <w:szCs w:val="18"/>
              </w:rPr>
              <w:t>TO</w:t>
            </w:r>
            <w:r w:rsidRPr="005D71A4">
              <w:rPr>
                <w:sz w:val="18"/>
                <w:szCs w:val="18"/>
              </w:rPr>
              <w:t>-)</w:t>
            </w:r>
          </w:p>
        </w:tc>
        <w:tc>
          <w:tcPr>
            <w:tcW w:w="976" w:type="pct"/>
            <w:shd w:val="clear" w:color="auto" w:fill="auto"/>
          </w:tcPr>
          <w:p w14:paraId="7FDC492E" w14:textId="77777777" w:rsidR="007B342C" w:rsidRPr="005D71A4" w:rsidRDefault="007B342C">
            <w:pPr>
              <w:pStyle w:val="051Tabletext228pt"/>
              <w:ind w:left="-57" w:right="-57"/>
              <w:rPr>
                <w:sz w:val="18"/>
                <w:szCs w:val="18"/>
              </w:rPr>
            </w:pPr>
            <w:r w:rsidRPr="005D71A4">
              <w:rPr>
                <w:sz w:val="18"/>
                <w:szCs w:val="18"/>
              </w:rPr>
              <w:t xml:space="preserve">Open </w:t>
            </w:r>
            <w:proofErr w:type="spellStart"/>
            <w:r w:rsidRPr="005D71A4">
              <w:rPr>
                <w:sz w:val="18"/>
                <w:szCs w:val="18"/>
              </w:rPr>
              <w:t>colposuspension</w:t>
            </w:r>
            <w:proofErr w:type="spellEnd"/>
            <w:r w:rsidRPr="005D71A4">
              <w:rPr>
                <w:sz w:val="18"/>
                <w:szCs w:val="18"/>
              </w:rPr>
              <w:br/>
              <w:t>PVS</w:t>
            </w:r>
            <w:r w:rsidRPr="005D71A4">
              <w:rPr>
                <w:sz w:val="18"/>
                <w:szCs w:val="18"/>
              </w:rPr>
              <w:br/>
              <w:t xml:space="preserve">Laparoscopic </w:t>
            </w:r>
            <w:proofErr w:type="spellStart"/>
            <w:r w:rsidRPr="005D71A4">
              <w:rPr>
                <w:sz w:val="18"/>
                <w:szCs w:val="18"/>
              </w:rPr>
              <w:t>colpo</w:t>
            </w:r>
            <w:proofErr w:type="spellEnd"/>
            <w:r w:rsidRPr="005D71A4">
              <w:rPr>
                <w:sz w:val="18"/>
                <w:szCs w:val="18"/>
              </w:rPr>
              <w:t>.</w:t>
            </w:r>
            <w:r w:rsidRPr="005D71A4">
              <w:rPr>
                <w:sz w:val="18"/>
                <w:szCs w:val="18"/>
              </w:rPr>
              <w:br/>
              <w:t>Bulking agents</w:t>
            </w:r>
          </w:p>
        </w:tc>
        <w:tc>
          <w:tcPr>
            <w:tcW w:w="374" w:type="pct"/>
          </w:tcPr>
          <w:p w14:paraId="40F05D2D" w14:textId="77777777" w:rsidR="007B342C" w:rsidRPr="005D71A4" w:rsidRDefault="007B342C">
            <w:pPr>
              <w:pStyle w:val="051Tabletext228pt"/>
              <w:ind w:left="-57" w:right="-57"/>
              <w:rPr>
                <w:sz w:val="18"/>
                <w:szCs w:val="18"/>
              </w:rPr>
            </w:pPr>
            <w:r>
              <w:rPr>
                <w:sz w:val="18"/>
                <w:szCs w:val="18"/>
              </w:rPr>
              <w:t xml:space="preserve">2 </w:t>
            </w:r>
            <w:proofErr w:type="spellStart"/>
            <w:r>
              <w:rPr>
                <w:sz w:val="18"/>
                <w:szCs w:val="18"/>
              </w:rPr>
              <w:t>yr</w:t>
            </w:r>
            <w:proofErr w:type="spellEnd"/>
          </w:p>
        </w:tc>
        <w:tc>
          <w:tcPr>
            <w:tcW w:w="794" w:type="pct"/>
          </w:tcPr>
          <w:p w14:paraId="60335DBD" w14:textId="77777777" w:rsidR="007B342C" w:rsidRPr="005D71A4" w:rsidRDefault="007B342C">
            <w:pPr>
              <w:pStyle w:val="051Tabletext228pt"/>
              <w:ind w:left="-57" w:right="-57"/>
              <w:rPr>
                <w:sz w:val="18"/>
                <w:szCs w:val="18"/>
                <w:highlight w:val="yellow"/>
              </w:rPr>
            </w:pPr>
            <w:r w:rsidRPr="005D71A4">
              <w:rPr>
                <w:sz w:val="18"/>
                <w:szCs w:val="18"/>
              </w:rPr>
              <w:t>MUS most effective</w:t>
            </w:r>
          </w:p>
        </w:tc>
        <w:tc>
          <w:tcPr>
            <w:tcW w:w="840" w:type="pct"/>
          </w:tcPr>
          <w:p w14:paraId="2DA0060F" w14:textId="77777777" w:rsidR="007B342C" w:rsidRPr="005D71A4" w:rsidRDefault="007B342C">
            <w:pPr>
              <w:pStyle w:val="051Tabletext228pt"/>
              <w:ind w:left="-57" w:right="-57"/>
              <w:rPr>
                <w:sz w:val="18"/>
                <w:szCs w:val="18"/>
                <w:highlight w:val="yellow"/>
              </w:rPr>
            </w:pPr>
            <w:r w:rsidRPr="005D71A4">
              <w:rPr>
                <w:sz w:val="18"/>
                <w:szCs w:val="18"/>
              </w:rPr>
              <w:t>MUS least costly</w:t>
            </w:r>
          </w:p>
        </w:tc>
        <w:tc>
          <w:tcPr>
            <w:tcW w:w="938" w:type="pct"/>
          </w:tcPr>
          <w:p w14:paraId="6F154497" w14:textId="77777777" w:rsidR="007B342C" w:rsidRPr="005D71A4" w:rsidRDefault="007B342C" w:rsidP="00EF5489">
            <w:pPr>
              <w:pStyle w:val="051Tabletext228pt"/>
              <w:ind w:left="-57" w:right="-57"/>
              <w:rPr>
                <w:sz w:val="18"/>
                <w:szCs w:val="18"/>
              </w:rPr>
            </w:pPr>
            <w:r w:rsidRPr="005D71A4">
              <w:rPr>
                <w:sz w:val="18"/>
                <w:szCs w:val="18"/>
              </w:rPr>
              <w:t>MUS is only cost-effective option</w:t>
            </w:r>
          </w:p>
        </w:tc>
      </w:tr>
      <w:tr w:rsidR="007B342C" w:rsidRPr="00D40D4C" w14:paraId="0BFD1EF5" w14:textId="77777777" w:rsidTr="004B7A0C">
        <w:trPr>
          <w:cantSplit/>
        </w:trPr>
        <w:tc>
          <w:tcPr>
            <w:tcW w:w="510" w:type="pct"/>
          </w:tcPr>
          <w:p w14:paraId="1FF90C09" w14:textId="77777777" w:rsidR="007B342C" w:rsidRPr="005D71A4" w:rsidRDefault="007B342C" w:rsidP="00123566">
            <w:pPr>
              <w:pStyle w:val="051Tabletext228pt"/>
              <w:ind w:left="-57" w:right="-57"/>
              <w:rPr>
                <w:sz w:val="18"/>
                <w:szCs w:val="18"/>
              </w:rPr>
            </w:pPr>
            <w:proofErr w:type="spellStart"/>
            <w:r w:rsidRPr="00456FF6">
              <w:rPr>
                <w:sz w:val="18"/>
                <w:szCs w:val="18"/>
              </w:rPr>
              <w:t>Javanbakht</w:t>
            </w:r>
            <w:proofErr w:type="spellEnd"/>
            <w:r w:rsidRPr="00456FF6">
              <w:rPr>
                <w:sz w:val="18"/>
                <w:szCs w:val="18"/>
              </w:rPr>
              <w:t xml:space="preserve"> 2020b</w:t>
            </w:r>
          </w:p>
        </w:tc>
        <w:tc>
          <w:tcPr>
            <w:tcW w:w="568" w:type="pct"/>
          </w:tcPr>
          <w:p w14:paraId="304F7662" w14:textId="77777777" w:rsidR="007B342C" w:rsidRPr="005D71A4" w:rsidRDefault="007B342C" w:rsidP="00123566">
            <w:pPr>
              <w:pStyle w:val="051Tabletext228pt"/>
              <w:ind w:left="-57" w:right="-57"/>
              <w:rPr>
                <w:sz w:val="18"/>
                <w:szCs w:val="18"/>
              </w:rPr>
            </w:pPr>
            <w:r w:rsidRPr="005D71A4">
              <w:rPr>
                <w:sz w:val="18"/>
                <w:szCs w:val="18"/>
              </w:rPr>
              <w:t xml:space="preserve">RP-MUS </w:t>
            </w:r>
          </w:p>
        </w:tc>
        <w:tc>
          <w:tcPr>
            <w:tcW w:w="976" w:type="pct"/>
            <w:shd w:val="clear" w:color="auto" w:fill="auto"/>
          </w:tcPr>
          <w:p w14:paraId="737D6185" w14:textId="77777777" w:rsidR="007B342C" w:rsidRPr="005D71A4" w:rsidRDefault="007B342C" w:rsidP="00123566">
            <w:pPr>
              <w:pStyle w:val="051Tabletext228pt"/>
              <w:ind w:left="-57" w:right="-57"/>
              <w:rPr>
                <w:sz w:val="18"/>
                <w:szCs w:val="18"/>
              </w:rPr>
            </w:pPr>
            <w:r w:rsidRPr="005D71A4">
              <w:rPr>
                <w:sz w:val="18"/>
                <w:szCs w:val="18"/>
              </w:rPr>
              <w:t xml:space="preserve">TO-MUS </w:t>
            </w:r>
            <w:r w:rsidRPr="005D71A4">
              <w:rPr>
                <w:sz w:val="18"/>
                <w:szCs w:val="18"/>
              </w:rPr>
              <w:br/>
              <w:t xml:space="preserve">Bulking agents </w:t>
            </w:r>
            <w:r w:rsidRPr="005D71A4">
              <w:rPr>
                <w:sz w:val="18"/>
                <w:szCs w:val="18"/>
              </w:rPr>
              <w:br/>
              <w:t xml:space="preserve">Open </w:t>
            </w:r>
            <w:proofErr w:type="spellStart"/>
            <w:r w:rsidRPr="005D71A4">
              <w:rPr>
                <w:sz w:val="18"/>
                <w:szCs w:val="18"/>
              </w:rPr>
              <w:t>colposuspension</w:t>
            </w:r>
            <w:proofErr w:type="spellEnd"/>
            <w:r w:rsidRPr="005D71A4">
              <w:rPr>
                <w:sz w:val="18"/>
                <w:szCs w:val="18"/>
              </w:rPr>
              <w:br/>
              <w:t xml:space="preserve">Laparoscopic </w:t>
            </w:r>
            <w:proofErr w:type="spellStart"/>
            <w:r w:rsidRPr="005D71A4">
              <w:rPr>
                <w:sz w:val="18"/>
                <w:szCs w:val="18"/>
              </w:rPr>
              <w:t>colpo</w:t>
            </w:r>
            <w:proofErr w:type="spellEnd"/>
            <w:r w:rsidRPr="005D71A4">
              <w:rPr>
                <w:sz w:val="18"/>
                <w:szCs w:val="18"/>
              </w:rPr>
              <w:t>.</w:t>
            </w:r>
          </w:p>
        </w:tc>
        <w:tc>
          <w:tcPr>
            <w:tcW w:w="374" w:type="pct"/>
          </w:tcPr>
          <w:p w14:paraId="2C1315F1" w14:textId="77777777" w:rsidR="007B342C" w:rsidRPr="005D71A4" w:rsidRDefault="007B342C" w:rsidP="00123566">
            <w:pPr>
              <w:pStyle w:val="051Tabletext228pt"/>
              <w:ind w:left="-57" w:right="-57"/>
              <w:rPr>
                <w:sz w:val="18"/>
                <w:szCs w:val="18"/>
              </w:rPr>
            </w:pPr>
            <w:r>
              <w:rPr>
                <w:sz w:val="18"/>
                <w:szCs w:val="18"/>
              </w:rPr>
              <w:t xml:space="preserve">10 </w:t>
            </w:r>
            <w:proofErr w:type="spellStart"/>
            <w:r>
              <w:rPr>
                <w:sz w:val="18"/>
                <w:szCs w:val="18"/>
              </w:rPr>
              <w:t>yr</w:t>
            </w:r>
            <w:proofErr w:type="spellEnd"/>
            <w:r>
              <w:rPr>
                <w:sz w:val="18"/>
                <w:szCs w:val="18"/>
              </w:rPr>
              <w:t>, lifetime</w:t>
            </w:r>
          </w:p>
        </w:tc>
        <w:tc>
          <w:tcPr>
            <w:tcW w:w="794" w:type="pct"/>
          </w:tcPr>
          <w:p w14:paraId="733D844E" w14:textId="77777777" w:rsidR="007B342C" w:rsidRPr="005D71A4" w:rsidRDefault="007B342C" w:rsidP="00123566">
            <w:pPr>
              <w:pStyle w:val="051Tabletext228pt"/>
              <w:ind w:left="-57" w:right="-57"/>
              <w:rPr>
                <w:sz w:val="18"/>
                <w:szCs w:val="18"/>
              </w:rPr>
            </w:pPr>
            <w:r w:rsidRPr="005D71A4">
              <w:rPr>
                <w:sz w:val="18"/>
                <w:szCs w:val="18"/>
              </w:rPr>
              <w:t>RP-MUS most effective</w:t>
            </w:r>
          </w:p>
        </w:tc>
        <w:tc>
          <w:tcPr>
            <w:tcW w:w="840" w:type="pct"/>
          </w:tcPr>
          <w:p w14:paraId="1A09A8A9" w14:textId="77777777" w:rsidR="007B342C" w:rsidRPr="005D71A4" w:rsidRDefault="007B342C" w:rsidP="00123566">
            <w:pPr>
              <w:pStyle w:val="051Tabletext228pt"/>
              <w:ind w:left="-57" w:right="-57"/>
              <w:rPr>
                <w:sz w:val="18"/>
                <w:szCs w:val="18"/>
                <w:highlight w:val="yellow"/>
              </w:rPr>
            </w:pPr>
            <w:r w:rsidRPr="005D71A4">
              <w:rPr>
                <w:sz w:val="18"/>
                <w:szCs w:val="18"/>
              </w:rPr>
              <w:t>RP-MUS least costly</w:t>
            </w:r>
          </w:p>
        </w:tc>
        <w:tc>
          <w:tcPr>
            <w:tcW w:w="938" w:type="pct"/>
          </w:tcPr>
          <w:p w14:paraId="7F982CD7" w14:textId="77777777" w:rsidR="007B342C" w:rsidRPr="005D71A4" w:rsidRDefault="007B342C" w:rsidP="005D3160">
            <w:pPr>
              <w:pStyle w:val="051Tabletext228pt"/>
              <w:ind w:left="-57" w:right="-57"/>
              <w:rPr>
                <w:sz w:val="18"/>
                <w:szCs w:val="18"/>
              </w:rPr>
            </w:pPr>
            <w:r w:rsidRPr="005D71A4">
              <w:rPr>
                <w:sz w:val="18"/>
                <w:szCs w:val="18"/>
              </w:rPr>
              <w:t xml:space="preserve">RP-MUS </w:t>
            </w:r>
            <w:r w:rsidRPr="005D71A4" w:rsidDel="00BA7DD7">
              <w:rPr>
                <w:sz w:val="18"/>
                <w:szCs w:val="18"/>
              </w:rPr>
              <w:t xml:space="preserve">is </w:t>
            </w:r>
            <w:r w:rsidRPr="005D71A4">
              <w:rPr>
                <w:sz w:val="18"/>
                <w:szCs w:val="18"/>
              </w:rPr>
              <w:t xml:space="preserve">most cost-effective </w:t>
            </w:r>
          </w:p>
        </w:tc>
      </w:tr>
      <w:tr w:rsidR="007B342C" w:rsidRPr="00D40D4C" w14:paraId="4019D697" w14:textId="77777777" w:rsidTr="004B7A0C">
        <w:trPr>
          <w:cantSplit/>
        </w:trPr>
        <w:tc>
          <w:tcPr>
            <w:tcW w:w="510" w:type="pct"/>
          </w:tcPr>
          <w:p w14:paraId="4B236254" w14:textId="77777777" w:rsidR="007B342C" w:rsidRPr="005D71A4" w:rsidRDefault="007B342C" w:rsidP="00123566">
            <w:pPr>
              <w:pStyle w:val="051Tabletext228pt"/>
              <w:ind w:left="-57" w:right="-57"/>
              <w:rPr>
                <w:sz w:val="18"/>
                <w:szCs w:val="18"/>
              </w:rPr>
            </w:pPr>
            <w:r w:rsidRPr="005D71A4">
              <w:rPr>
                <w:sz w:val="18"/>
                <w:szCs w:val="18"/>
              </w:rPr>
              <w:t>Kunkle 2015</w:t>
            </w:r>
          </w:p>
        </w:tc>
        <w:tc>
          <w:tcPr>
            <w:tcW w:w="568" w:type="pct"/>
          </w:tcPr>
          <w:p w14:paraId="27801A8A" w14:textId="77777777" w:rsidR="007B342C" w:rsidRPr="005D71A4" w:rsidRDefault="007B342C" w:rsidP="00123566">
            <w:pPr>
              <w:pStyle w:val="051Tabletext228pt"/>
              <w:ind w:left="-57" w:right="-57"/>
              <w:rPr>
                <w:sz w:val="18"/>
                <w:szCs w:val="18"/>
              </w:rPr>
            </w:pPr>
            <w:r w:rsidRPr="005D71A4">
              <w:rPr>
                <w:sz w:val="18"/>
                <w:szCs w:val="18"/>
              </w:rPr>
              <w:t>Bulking agents</w:t>
            </w:r>
          </w:p>
        </w:tc>
        <w:tc>
          <w:tcPr>
            <w:tcW w:w="976" w:type="pct"/>
            <w:shd w:val="clear" w:color="auto" w:fill="auto"/>
          </w:tcPr>
          <w:p w14:paraId="7886FACB" w14:textId="77777777" w:rsidR="007B342C" w:rsidRPr="005D71A4" w:rsidRDefault="007B342C" w:rsidP="00123566">
            <w:pPr>
              <w:pStyle w:val="051Tabletext228pt"/>
              <w:ind w:left="-57" w:right="-57"/>
              <w:rPr>
                <w:sz w:val="18"/>
                <w:szCs w:val="18"/>
              </w:rPr>
            </w:pPr>
            <w:r w:rsidRPr="005D71A4">
              <w:rPr>
                <w:sz w:val="18"/>
                <w:szCs w:val="18"/>
              </w:rPr>
              <w:t>MUS (retro- or trans-)</w:t>
            </w:r>
          </w:p>
        </w:tc>
        <w:tc>
          <w:tcPr>
            <w:tcW w:w="374" w:type="pct"/>
          </w:tcPr>
          <w:p w14:paraId="6D5035B4" w14:textId="77777777" w:rsidR="007B342C" w:rsidRPr="005D71A4" w:rsidRDefault="007B342C" w:rsidP="00123566">
            <w:pPr>
              <w:pStyle w:val="051Tabletext228pt"/>
              <w:ind w:left="-57" w:right="-57"/>
              <w:rPr>
                <w:sz w:val="18"/>
                <w:szCs w:val="18"/>
              </w:rPr>
            </w:pPr>
            <w:r>
              <w:rPr>
                <w:sz w:val="18"/>
                <w:szCs w:val="18"/>
              </w:rPr>
              <w:t xml:space="preserve">1 </w:t>
            </w:r>
            <w:proofErr w:type="spellStart"/>
            <w:r>
              <w:rPr>
                <w:sz w:val="18"/>
                <w:szCs w:val="18"/>
              </w:rPr>
              <w:t>yr</w:t>
            </w:r>
            <w:proofErr w:type="spellEnd"/>
          </w:p>
        </w:tc>
        <w:tc>
          <w:tcPr>
            <w:tcW w:w="794" w:type="pct"/>
          </w:tcPr>
          <w:p w14:paraId="39293340" w14:textId="77777777" w:rsidR="007B342C" w:rsidRPr="005D71A4" w:rsidRDefault="007B342C" w:rsidP="00123566">
            <w:pPr>
              <w:pStyle w:val="051Tabletext228pt"/>
              <w:ind w:left="-57" w:right="-57"/>
              <w:rPr>
                <w:sz w:val="18"/>
                <w:szCs w:val="18"/>
              </w:rPr>
            </w:pPr>
            <w:r w:rsidRPr="005D71A4">
              <w:rPr>
                <w:sz w:val="18"/>
                <w:szCs w:val="18"/>
              </w:rPr>
              <w:t>MUS more effective</w:t>
            </w:r>
          </w:p>
        </w:tc>
        <w:tc>
          <w:tcPr>
            <w:tcW w:w="840" w:type="pct"/>
          </w:tcPr>
          <w:p w14:paraId="7C9FF7A3" w14:textId="77777777" w:rsidR="007B342C" w:rsidRPr="005D71A4" w:rsidRDefault="007B342C" w:rsidP="00123566">
            <w:pPr>
              <w:pStyle w:val="051Tabletext228pt"/>
              <w:ind w:left="-57" w:right="-57"/>
              <w:rPr>
                <w:sz w:val="18"/>
                <w:szCs w:val="18"/>
              </w:rPr>
            </w:pPr>
            <w:r w:rsidRPr="005D71A4">
              <w:rPr>
                <w:sz w:val="18"/>
                <w:szCs w:val="18"/>
              </w:rPr>
              <w:t>Bulking agents less costly</w:t>
            </w:r>
          </w:p>
        </w:tc>
        <w:tc>
          <w:tcPr>
            <w:tcW w:w="938" w:type="pct"/>
          </w:tcPr>
          <w:p w14:paraId="1FEC1CCE" w14:textId="77777777" w:rsidR="007B342C" w:rsidRPr="005D71A4" w:rsidRDefault="007B342C" w:rsidP="00123566">
            <w:pPr>
              <w:pStyle w:val="051Tabletext228pt"/>
              <w:ind w:left="-57" w:right="-57"/>
              <w:rPr>
                <w:sz w:val="18"/>
                <w:szCs w:val="18"/>
              </w:rPr>
            </w:pPr>
            <w:r w:rsidRPr="005D71A4">
              <w:rPr>
                <w:sz w:val="18"/>
                <w:szCs w:val="18"/>
              </w:rPr>
              <w:t>Bulking agents more cost-effective</w:t>
            </w:r>
          </w:p>
        </w:tc>
      </w:tr>
      <w:tr w:rsidR="004B7A0C" w:rsidRPr="005F2B15" w14:paraId="2C0D1C7D" w14:textId="77777777" w:rsidTr="004B7A0C">
        <w:trPr>
          <w:cantSplit/>
        </w:trPr>
        <w:tc>
          <w:tcPr>
            <w:tcW w:w="510" w:type="pct"/>
          </w:tcPr>
          <w:p w14:paraId="1FC2DE83" w14:textId="77777777" w:rsidR="005B55F6" w:rsidRPr="005D71A4" w:rsidRDefault="005B55F6" w:rsidP="00123566">
            <w:pPr>
              <w:pStyle w:val="051Tabletext228pt"/>
              <w:ind w:left="-57" w:right="-57"/>
              <w:rPr>
                <w:sz w:val="18"/>
                <w:szCs w:val="18"/>
              </w:rPr>
            </w:pPr>
            <w:proofErr w:type="spellStart"/>
            <w:r w:rsidRPr="005D71A4">
              <w:rPr>
                <w:sz w:val="18"/>
                <w:szCs w:val="18"/>
              </w:rPr>
              <w:t>Seklehner</w:t>
            </w:r>
            <w:proofErr w:type="spellEnd"/>
            <w:r w:rsidRPr="005D71A4">
              <w:rPr>
                <w:sz w:val="18"/>
                <w:szCs w:val="18"/>
              </w:rPr>
              <w:t xml:space="preserve"> 2014</w:t>
            </w:r>
          </w:p>
        </w:tc>
        <w:tc>
          <w:tcPr>
            <w:tcW w:w="568" w:type="pct"/>
          </w:tcPr>
          <w:p w14:paraId="11DF04E2" w14:textId="78E59DFC" w:rsidR="005B55F6" w:rsidRPr="005D71A4" w:rsidRDefault="005B55F6" w:rsidP="00123566">
            <w:pPr>
              <w:pStyle w:val="051Tabletext228pt"/>
              <w:ind w:left="-57" w:right="-57"/>
              <w:rPr>
                <w:sz w:val="18"/>
                <w:szCs w:val="18"/>
              </w:rPr>
            </w:pPr>
            <w:r w:rsidRPr="005D71A4">
              <w:rPr>
                <w:sz w:val="18"/>
                <w:szCs w:val="18"/>
              </w:rPr>
              <w:t>RP-MUS</w:t>
            </w:r>
          </w:p>
        </w:tc>
        <w:tc>
          <w:tcPr>
            <w:tcW w:w="976" w:type="pct"/>
            <w:shd w:val="clear" w:color="auto" w:fill="auto"/>
          </w:tcPr>
          <w:p w14:paraId="33CB1BE8" w14:textId="44804B36" w:rsidR="005B55F6" w:rsidRPr="005D71A4" w:rsidRDefault="005B55F6" w:rsidP="00123566">
            <w:pPr>
              <w:pStyle w:val="051Tabletext228pt"/>
              <w:ind w:left="-57" w:right="-57"/>
              <w:rPr>
                <w:sz w:val="18"/>
                <w:szCs w:val="18"/>
              </w:rPr>
            </w:pPr>
            <w:r w:rsidRPr="005D71A4">
              <w:rPr>
                <w:sz w:val="18"/>
                <w:szCs w:val="18"/>
              </w:rPr>
              <w:t>TO-MUS</w:t>
            </w:r>
          </w:p>
        </w:tc>
        <w:tc>
          <w:tcPr>
            <w:tcW w:w="374" w:type="pct"/>
          </w:tcPr>
          <w:p w14:paraId="24566C83" w14:textId="1C0058C9" w:rsidR="005B55F6" w:rsidRPr="005D71A4" w:rsidRDefault="005B55F6" w:rsidP="00123566">
            <w:pPr>
              <w:pStyle w:val="051Tabletext228pt"/>
              <w:ind w:left="-57" w:right="-57"/>
              <w:rPr>
                <w:sz w:val="18"/>
                <w:szCs w:val="18"/>
              </w:rPr>
            </w:pPr>
            <w:r>
              <w:rPr>
                <w:sz w:val="18"/>
                <w:szCs w:val="18"/>
              </w:rPr>
              <w:t xml:space="preserve">10 </w:t>
            </w:r>
            <w:proofErr w:type="spellStart"/>
            <w:r>
              <w:rPr>
                <w:sz w:val="18"/>
                <w:szCs w:val="18"/>
              </w:rPr>
              <w:t>yr</w:t>
            </w:r>
            <w:proofErr w:type="spellEnd"/>
          </w:p>
        </w:tc>
        <w:tc>
          <w:tcPr>
            <w:tcW w:w="794" w:type="pct"/>
          </w:tcPr>
          <w:p w14:paraId="11FA69E7" w14:textId="482DE928" w:rsidR="005B55F6" w:rsidRPr="005D71A4" w:rsidRDefault="005B55F6" w:rsidP="00123566">
            <w:pPr>
              <w:pStyle w:val="051Tabletext228pt"/>
              <w:ind w:left="-57" w:right="-57"/>
              <w:rPr>
                <w:sz w:val="18"/>
                <w:szCs w:val="18"/>
              </w:rPr>
            </w:pPr>
            <w:r w:rsidRPr="005D71A4">
              <w:rPr>
                <w:sz w:val="18"/>
                <w:szCs w:val="18"/>
              </w:rPr>
              <w:t>RP-MUS slightly more effective</w:t>
            </w:r>
          </w:p>
        </w:tc>
        <w:tc>
          <w:tcPr>
            <w:tcW w:w="840" w:type="pct"/>
          </w:tcPr>
          <w:p w14:paraId="4EBD757E" w14:textId="0458C61B" w:rsidR="005B55F6" w:rsidRPr="005D71A4" w:rsidRDefault="005B55F6" w:rsidP="00123566">
            <w:pPr>
              <w:pStyle w:val="051Tabletext228pt"/>
              <w:ind w:left="-57" w:right="-57"/>
              <w:rPr>
                <w:sz w:val="18"/>
                <w:szCs w:val="18"/>
              </w:rPr>
            </w:pPr>
            <w:r w:rsidRPr="005D71A4">
              <w:rPr>
                <w:sz w:val="18"/>
                <w:szCs w:val="18"/>
              </w:rPr>
              <w:t>TO-MUS less costly</w:t>
            </w:r>
          </w:p>
        </w:tc>
        <w:tc>
          <w:tcPr>
            <w:tcW w:w="938" w:type="pct"/>
          </w:tcPr>
          <w:p w14:paraId="555153EA" w14:textId="1C90825D" w:rsidR="005B55F6" w:rsidRPr="005D71A4" w:rsidRDefault="005B55F6" w:rsidP="00123566">
            <w:pPr>
              <w:pStyle w:val="051Tabletext228pt"/>
              <w:ind w:left="-57" w:right="-57"/>
              <w:rPr>
                <w:sz w:val="18"/>
                <w:szCs w:val="18"/>
              </w:rPr>
            </w:pPr>
            <w:r w:rsidRPr="005D71A4">
              <w:rPr>
                <w:sz w:val="18"/>
                <w:szCs w:val="18"/>
              </w:rPr>
              <w:t>TO-MUS more cost effective</w:t>
            </w:r>
          </w:p>
        </w:tc>
      </w:tr>
      <w:tr w:rsidR="00D743AD" w:rsidRPr="005F2B15" w14:paraId="50951939" w14:textId="77777777" w:rsidTr="004B7A0C">
        <w:trPr>
          <w:cantSplit/>
        </w:trPr>
        <w:tc>
          <w:tcPr>
            <w:tcW w:w="510" w:type="pct"/>
          </w:tcPr>
          <w:p w14:paraId="73601761" w14:textId="77777777" w:rsidR="00D743AD" w:rsidRPr="005D71A4" w:rsidRDefault="00D743AD" w:rsidP="00123566">
            <w:pPr>
              <w:pStyle w:val="051Tabletext228pt"/>
              <w:ind w:left="-57" w:right="-57"/>
              <w:rPr>
                <w:sz w:val="18"/>
                <w:szCs w:val="18"/>
              </w:rPr>
            </w:pPr>
            <w:r w:rsidRPr="005D71A4">
              <w:rPr>
                <w:sz w:val="18"/>
                <w:szCs w:val="18"/>
              </w:rPr>
              <w:t>Laudano 2013</w:t>
            </w:r>
          </w:p>
        </w:tc>
        <w:tc>
          <w:tcPr>
            <w:tcW w:w="568" w:type="pct"/>
          </w:tcPr>
          <w:p w14:paraId="486DC7D1" w14:textId="77777777" w:rsidR="00D743AD" w:rsidRPr="005D71A4" w:rsidRDefault="00D743AD" w:rsidP="00123566">
            <w:pPr>
              <w:pStyle w:val="051Tabletext228pt"/>
              <w:ind w:left="-57" w:right="-57"/>
              <w:rPr>
                <w:sz w:val="18"/>
                <w:szCs w:val="18"/>
              </w:rPr>
            </w:pPr>
            <w:r w:rsidRPr="005D71A4">
              <w:rPr>
                <w:sz w:val="18"/>
                <w:szCs w:val="18"/>
              </w:rPr>
              <w:t>RP-MUS</w:t>
            </w:r>
          </w:p>
        </w:tc>
        <w:tc>
          <w:tcPr>
            <w:tcW w:w="976" w:type="pct"/>
            <w:shd w:val="clear" w:color="auto" w:fill="auto"/>
          </w:tcPr>
          <w:p w14:paraId="36978633" w14:textId="77777777" w:rsidR="00D743AD" w:rsidRPr="005D71A4" w:rsidRDefault="00D743AD" w:rsidP="00123566">
            <w:pPr>
              <w:pStyle w:val="051Tabletext228pt"/>
              <w:ind w:left="-57" w:right="-57"/>
              <w:rPr>
                <w:sz w:val="18"/>
                <w:szCs w:val="18"/>
              </w:rPr>
            </w:pPr>
            <w:r w:rsidRPr="005D71A4">
              <w:rPr>
                <w:sz w:val="18"/>
                <w:szCs w:val="18"/>
              </w:rPr>
              <w:t xml:space="preserve">Open </w:t>
            </w:r>
            <w:proofErr w:type="spellStart"/>
            <w:r w:rsidRPr="005D71A4">
              <w:rPr>
                <w:sz w:val="18"/>
                <w:szCs w:val="18"/>
              </w:rPr>
              <w:t>colposuspension</w:t>
            </w:r>
            <w:proofErr w:type="spellEnd"/>
          </w:p>
        </w:tc>
        <w:tc>
          <w:tcPr>
            <w:tcW w:w="374" w:type="pct"/>
          </w:tcPr>
          <w:p w14:paraId="6E04343B" w14:textId="77777777" w:rsidR="00D743AD" w:rsidRPr="005D71A4" w:rsidRDefault="00D743AD" w:rsidP="00123566">
            <w:pPr>
              <w:pStyle w:val="051Tabletext228pt"/>
              <w:ind w:left="-57" w:right="-57"/>
              <w:rPr>
                <w:sz w:val="18"/>
                <w:szCs w:val="18"/>
              </w:rPr>
            </w:pPr>
            <w:r>
              <w:rPr>
                <w:sz w:val="18"/>
                <w:szCs w:val="18"/>
              </w:rPr>
              <w:t xml:space="preserve">10 </w:t>
            </w:r>
            <w:proofErr w:type="spellStart"/>
            <w:r>
              <w:rPr>
                <w:sz w:val="18"/>
                <w:szCs w:val="18"/>
              </w:rPr>
              <w:t>yr</w:t>
            </w:r>
            <w:proofErr w:type="spellEnd"/>
          </w:p>
        </w:tc>
        <w:tc>
          <w:tcPr>
            <w:tcW w:w="794" w:type="pct"/>
          </w:tcPr>
          <w:p w14:paraId="3254B63E" w14:textId="77777777" w:rsidR="00D743AD" w:rsidRPr="005D71A4" w:rsidRDefault="00D743AD" w:rsidP="00123566">
            <w:pPr>
              <w:pStyle w:val="051Tabletext228pt"/>
              <w:ind w:left="-57" w:right="-57"/>
              <w:rPr>
                <w:sz w:val="18"/>
                <w:szCs w:val="18"/>
              </w:rPr>
            </w:pPr>
            <w:r w:rsidRPr="005D71A4">
              <w:rPr>
                <w:sz w:val="18"/>
                <w:szCs w:val="18"/>
              </w:rPr>
              <w:t>RP-MUS similarly effective</w:t>
            </w:r>
          </w:p>
        </w:tc>
        <w:tc>
          <w:tcPr>
            <w:tcW w:w="840" w:type="pct"/>
          </w:tcPr>
          <w:p w14:paraId="76E03745" w14:textId="77777777" w:rsidR="00D743AD" w:rsidRPr="005D71A4" w:rsidRDefault="00D743AD" w:rsidP="00123566">
            <w:pPr>
              <w:pStyle w:val="051Tabletext228pt"/>
              <w:ind w:left="-57" w:right="-57"/>
              <w:rPr>
                <w:sz w:val="18"/>
                <w:szCs w:val="18"/>
              </w:rPr>
            </w:pPr>
            <w:r w:rsidRPr="005D71A4">
              <w:rPr>
                <w:sz w:val="18"/>
                <w:szCs w:val="18"/>
              </w:rPr>
              <w:t>RP-MUS less costly</w:t>
            </w:r>
          </w:p>
        </w:tc>
        <w:tc>
          <w:tcPr>
            <w:tcW w:w="938" w:type="pct"/>
          </w:tcPr>
          <w:p w14:paraId="12B54E9A" w14:textId="77777777" w:rsidR="00D743AD" w:rsidRPr="005D71A4" w:rsidRDefault="00D743AD" w:rsidP="00123566">
            <w:pPr>
              <w:pStyle w:val="051Tabletext228pt"/>
              <w:ind w:left="-57" w:right="-57"/>
              <w:rPr>
                <w:sz w:val="18"/>
                <w:szCs w:val="18"/>
              </w:rPr>
            </w:pPr>
            <w:r w:rsidRPr="005D71A4">
              <w:rPr>
                <w:sz w:val="18"/>
                <w:szCs w:val="18"/>
              </w:rPr>
              <w:t>RP-MUS more cost-effective</w:t>
            </w:r>
          </w:p>
        </w:tc>
      </w:tr>
      <w:tr w:rsidR="004B7A0C" w:rsidRPr="002D2C79" w14:paraId="13B2692C" w14:textId="77777777" w:rsidTr="004B7A0C">
        <w:trPr>
          <w:cantSplit/>
        </w:trPr>
        <w:tc>
          <w:tcPr>
            <w:tcW w:w="1079" w:type="pct"/>
            <w:gridSpan w:val="2"/>
            <w:shd w:val="clear" w:color="auto" w:fill="000000" w:themeFill="text1"/>
          </w:tcPr>
          <w:p w14:paraId="4E2BD9F4" w14:textId="7314F245" w:rsidR="005B55F6" w:rsidRPr="005D71A4" w:rsidRDefault="005B55F6" w:rsidP="00A9208C">
            <w:pPr>
              <w:pStyle w:val="051Tabletext228pt"/>
              <w:ind w:left="-57" w:right="-57"/>
              <w:rPr>
                <w:b/>
                <w:bCs/>
                <w:sz w:val="18"/>
                <w:szCs w:val="18"/>
              </w:rPr>
            </w:pPr>
            <w:r w:rsidRPr="005D71A4">
              <w:rPr>
                <w:b/>
                <w:sz w:val="18"/>
                <w:szCs w:val="18"/>
              </w:rPr>
              <w:t xml:space="preserve">Trial-based </w:t>
            </w:r>
            <w:r>
              <w:rPr>
                <w:b/>
                <w:sz w:val="18"/>
                <w:szCs w:val="18"/>
              </w:rPr>
              <w:t>e</w:t>
            </w:r>
            <w:r w:rsidRPr="005D71A4">
              <w:rPr>
                <w:b/>
                <w:sz w:val="18"/>
                <w:szCs w:val="18"/>
              </w:rPr>
              <w:t>valuations</w:t>
            </w:r>
          </w:p>
        </w:tc>
        <w:tc>
          <w:tcPr>
            <w:tcW w:w="976" w:type="pct"/>
            <w:shd w:val="clear" w:color="auto" w:fill="000000" w:themeFill="text1"/>
          </w:tcPr>
          <w:p w14:paraId="035548C6" w14:textId="77777777" w:rsidR="005B55F6" w:rsidRPr="005D71A4" w:rsidRDefault="005B55F6" w:rsidP="00A9208C">
            <w:pPr>
              <w:pStyle w:val="051Tabletext228pt"/>
              <w:ind w:left="-57" w:right="-57"/>
              <w:rPr>
                <w:b/>
                <w:bCs/>
                <w:sz w:val="18"/>
                <w:szCs w:val="18"/>
              </w:rPr>
            </w:pPr>
          </w:p>
        </w:tc>
        <w:tc>
          <w:tcPr>
            <w:tcW w:w="374" w:type="pct"/>
            <w:shd w:val="clear" w:color="auto" w:fill="000000" w:themeFill="text1"/>
          </w:tcPr>
          <w:p w14:paraId="24373D2B" w14:textId="77777777" w:rsidR="005B55F6" w:rsidRPr="005D71A4" w:rsidRDefault="005B55F6" w:rsidP="00A9208C">
            <w:pPr>
              <w:pStyle w:val="051Tabletext228pt"/>
              <w:ind w:left="-57" w:right="-57"/>
              <w:rPr>
                <w:b/>
                <w:bCs/>
                <w:sz w:val="18"/>
                <w:szCs w:val="18"/>
              </w:rPr>
            </w:pPr>
          </w:p>
        </w:tc>
        <w:tc>
          <w:tcPr>
            <w:tcW w:w="794" w:type="pct"/>
            <w:shd w:val="clear" w:color="auto" w:fill="000000" w:themeFill="text1"/>
          </w:tcPr>
          <w:p w14:paraId="79D59351" w14:textId="0F2F4A04" w:rsidR="005B55F6" w:rsidRPr="005D71A4" w:rsidRDefault="005B55F6" w:rsidP="00A9208C">
            <w:pPr>
              <w:pStyle w:val="051Tabletext228pt"/>
              <w:ind w:left="-57" w:right="-57"/>
              <w:rPr>
                <w:b/>
                <w:bCs/>
                <w:sz w:val="18"/>
                <w:szCs w:val="18"/>
              </w:rPr>
            </w:pPr>
          </w:p>
        </w:tc>
        <w:tc>
          <w:tcPr>
            <w:tcW w:w="840" w:type="pct"/>
            <w:shd w:val="clear" w:color="auto" w:fill="000000" w:themeFill="text1"/>
          </w:tcPr>
          <w:p w14:paraId="11817DE5" w14:textId="77777777" w:rsidR="005B55F6" w:rsidRPr="005D71A4" w:rsidRDefault="005B55F6" w:rsidP="00A9208C">
            <w:pPr>
              <w:pStyle w:val="051Tabletext228pt"/>
              <w:ind w:left="-57" w:right="-57"/>
              <w:rPr>
                <w:b/>
                <w:bCs/>
                <w:sz w:val="18"/>
                <w:szCs w:val="18"/>
              </w:rPr>
            </w:pPr>
          </w:p>
        </w:tc>
        <w:tc>
          <w:tcPr>
            <w:tcW w:w="938" w:type="pct"/>
            <w:shd w:val="clear" w:color="auto" w:fill="000000" w:themeFill="text1"/>
          </w:tcPr>
          <w:p w14:paraId="2FC78126" w14:textId="77777777" w:rsidR="005B55F6" w:rsidRPr="005D71A4" w:rsidRDefault="005B55F6" w:rsidP="00A9208C">
            <w:pPr>
              <w:pStyle w:val="051Tabletext228pt"/>
              <w:ind w:left="-57" w:right="-57"/>
              <w:rPr>
                <w:b/>
                <w:bCs/>
                <w:sz w:val="18"/>
                <w:szCs w:val="18"/>
              </w:rPr>
            </w:pPr>
          </w:p>
        </w:tc>
      </w:tr>
      <w:tr w:rsidR="007B342C" w:rsidRPr="00D40D4C" w14:paraId="1177FD6C" w14:textId="77777777" w:rsidTr="004B7A0C">
        <w:trPr>
          <w:cantSplit/>
        </w:trPr>
        <w:tc>
          <w:tcPr>
            <w:tcW w:w="510" w:type="pct"/>
          </w:tcPr>
          <w:p w14:paraId="0F6BCCA3" w14:textId="77777777" w:rsidR="007B342C" w:rsidRPr="005D71A4" w:rsidRDefault="007B342C" w:rsidP="00A9208C">
            <w:pPr>
              <w:pStyle w:val="051Tabletext228pt"/>
              <w:ind w:left="-57" w:right="-57"/>
              <w:rPr>
                <w:sz w:val="18"/>
                <w:szCs w:val="18"/>
              </w:rPr>
            </w:pPr>
            <w:proofErr w:type="spellStart"/>
            <w:r w:rsidRPr="005D71A4">
              <w:rPr>
                <w:sz w:val="18"/>
                <w:szCs w:val="18"/>
              </w:rPr>
              <w:t>Casteleijn</w:t>
            </w:r>
            <w:proofErr w:type="spellEnd"/>
            <w:r w:rsidRPr="005D71A4">
              <w:rPr>
                <w:sz w:val="18"/>
                <w:szCs w:val="18"/>
              </w:rPr>
              <w:t xml:space="preserve"> 2023</w:t>
            </w:r>
          </w:p>
        </w:tc>
        <w:tc>
          <w:tcPr>
            <w:tcW w:w="568" w:type="pct"/>
          </w:tcPr>
          <w:p w14:paraId="359638B8" w14:textId="77777777" w:rsidR="007B342C" w:rsidRPr="005D71A4" w:rsidRDefault="007B342C" w:rsidP="00A9208C">
            <w:pPr>
              <w:pStyle w:val="051Tabletext228pt"/>
              <w:ind w:left="-57" w:right="-57"/>
              <w:rPr>
                <w:sz w:val="18"/>
                <w:szCs w:val="18"/>
              </w:rPr>
            </w:pPr>
            <w:r w:rsidRPr="005D71A4">
              <w:rPr>
                <w:sz w:val="18"/>
                <w:szCs w:val="18"/>
              </w:rPr>
              <w:t>Bulking agent (PDMS-U)</w:t>
            </w:r>
          </w:p>
        </w:tc>
        <w:tc>
          <w:tcPr>
            <w:tcW w:w="976" w:type="pct"/>
            <w:shd w:val="clear" w:color="auto" w:fill="auto"/>
          </w:tcPr>
          <w:p w14:paraId="5F0ACAD3" w14:textId="77777777" w:rsidR="007B342C" w:rsidRPr="005D71A4" w:rsidRDefault="007B342C" w:rsidP="00A9208C">
            <w:pPr>
              <w:pStyle w:val="051Tabletext228pt"/>
              <w:ind w:left="-57" w:right="-57"/>
              <w:rPr>
                <w:sz w:val="18"/>
                <w:szCs w:val="18"/>
              </w:rPr>
            </w:pPr>
            <w:r w:rsidRPr="005D71A4">
              <w:rPr>
                <w:sz w:val="18"/>
                <w:szCs w:val="18"/>
              </w:rPr>
              <w:t xml:space="preserve">MUS (retro-, trans- </w:t>
            </w:r>
            <w:r w:rsidRPr="005D71A4">
              <w:rPr>
                <w:i/>
                <w:iCs/>
                <w:sz w:val="18"/>
                <w:szCs w:val="18"/>
              </w:rPr>
              <w:t>or mini-</w:t>
            </w:r>
            <w:r w:rsidRPr="005D71A4">
              <w:rPr>
                <w:sz w:val="18"/>
                <w:szCs w:val="18"/>
              </w:rPr>
              <w:t>)</w:t>
            </w:r>
          </w:p>
        </w:tc>
        <w:tc>
          <w:tcPr>
            <w:tcW w:w="374" w:type="pct"/>
          </w:tcPr>
          <w:p w14:paraId="3C13F4A4" w14:textId="77777777" w:rsidR="007B342C" w:rsidRPr="005D71A4" w:rsidRDefault="007B342C" w:rsidP="00A9208C">
            <w:pPr>
              <w:pStyle w:val="051Tabletext228pt"/>
              <w:ind w:left="-57" w:right="-57"/>
              <w:rPr>
                <w:sz w:val="18"/>
                <w:szCs w:val="18"/>
              </w:rPr>
            </w:pPr>
            <w:r>
              <w:rPr>
                <w:sz w:val="18"/>
                <w:szCs w:val="18"/>
              </w:rPr>
              <w:t xml:space="preserve">1 </w:t>
            </w:r>
            <w:proofErr w:type="spellStart"/>
            <w:r>
              <w:rPr>
                <w:sz w:val="18"/>
                <w:szCs w:val="18"/>
              </w:rPr>
              <w:t>yr</w:t>
            </w:r>
            <w:proofErr w:type="spellEnd"/>
          </w:p>
        </w:tc>
        <w:tc>
          <w:tcPr>
            <w:tcW w:w="794" w:type="pct"/>
          </w:tcPr>
          <w:p w14:paraId="649D184F" w14:textId="77777777" w:rsidR="007B342C" w:rsidRPr="005D71A4" w:rsidRDefault="007B342C" w:rsidP="00A9208C">
            <w:pPr>
              <w:pStyle w:val="051Tabletext228pt"/>
              <w:ind w:left="-57" w:right="-57"/>
              <w:rPr>
                <w:sz w:val="18"/>
                <w:szCs w:val="18"/>
              </w:rPr>
            </w:pPr>
            <w:r w:rsidRPr="005D71A4">
              <w:rPr>
                <w:sz w:val="18"/>
                <w:szCs w:val="18"/>
              </w:rPr>
              <w:t>MUS more effective</w:t>
            </w:r>
          </w:p>
        </w:tc>
        <w:tc>
          <w:tcPr>
            <w:tcW w:w="840" w:type="pct"/>
          </w:tcPr>
          <w:p w14:paraId="79BA7BA4" w14:textId="77777777" w:rsidR="007B342C" w:rsidRPr="005D71A4" w:rsidRDefault="007B342C" w:rsidP="00A9208C">
            <w:pPr>
              <w:pStyle w:val="051Tabletext228pt"/>
              <w:ind w:left="-57" w:right="-57"/>
              <w:rPr>
                <w:sz w:val="18"/>
                <w:szCs w:val="18"/>
              </w:rPr>
            </w:pPr>
            <w:r w:rsidRPr="005D71A4">
              <w:rPr>
                <w:sz w:val="18"/>
                <w:szCs w:val="18"/>
              </w:rPr>
              <w:t>Bulking agent less costly</w:t>
            </w:r>
          </w:p>
        </w:tc>
        <w:tc>
          <w:tcPr>
            <w:tcW w:w="938" w:type="pct"/>
          </w:tcPr>
          <w:p w14:paraId="022646D5" w14:textId="77777777" w:rsidR="007B342C" w:rsidRPr="005D71A4" w:rsidRDefault="007B342C" w:rsidP="00A9208C">
            <w:pPr>
              <w:pStyle w:val="051Tabletext228pt"/>
              <w:ind w:left="-57" w:right="-57"/>
              <w:rPr>
                <w:sz w:val="18"/>
                <w:szCs w:val="18"/>
              </w:rPr>
            </w:pPr>
            <w:r w:rsidRPr="005D71A4">
              <w:rPr>
                <w:sz w:val="18"/>
                <w:szCs w:val="18"/>
              </w:rPr>
              <w:t>Bulking agent more cost-effective</w:t>
            </w:r>
          </w:p>
        </w:tc>
      </w:tr>
      <w:tr w:rsidR="004B7A0C" w:rsidRPr="00D40D4C" w14:paraId="52CB6867" w14:textId="77777777" w:rsidTr="004B7A0C">
        <w:trPr>
          <w:cantSplit/>
        </w:trPr>
        <w:tc>
          <w:tcPr>
            <w:tcW w:w="510" w:type="pct"/>
          </w:tcPr>
          <w:p w14:paraId="3E7972B5" w14:textId="77777777" w:rsidR="005B55F6" w:rsidRPr="005D71A4" w:rsidRDefault="005B55F6" w:rsidP="00A9208C">
            <w:pPr>
              <w:pStyle w:val="051Tabletext228pt"/>
              <w:ind w:left="-57" w:right="-57"/>
              <w:rPr>
                <w:sz w:val="18"/>
                <w:szCs w:val="18"/>
              </w:rPr>
            </w:pPr>
            <w:r w:rsidRPr="005D71A4">
              <w:rPr>
                <w:sz w:val="18"/>
                <w:szCs w:val="18"/>
              </w:rPr>
              <w:t>Lier 2017</w:t>
            </w:r>
          </w:p>
        </w:tc>
        <w:tc>
          <w:tcPr>
            <w:tcW w:w="568" w:type="pct"/>
          </w:tcPr>
          <w:p w14:paraId="54326CA9" w14:textId="7D322B9F" w:rsidR="005B55F6" w:rsidRPr="005D71A4" w:rsidRDefault="005B55F6" w:rsidP="00A9208C">
            <w:pPr>
              <w:pStyle w:val="051Tabletext228pt"/>
              <w:ind w:left="-57" w:right="-57"/>
              <w:rPr>
                <w:sz w:val="18"/>
                <w:szCs w:val="18"/>
              </w:rPr>
            </w:pPr>
            <w:r w:rsidRPr="005D71A4">
              <w:rPr>
                <w:sz w:val="18"/>
                <w:szCs w:val="18"/>
              </w:rPr>
              <w:t>TO-MUS</w:t>
            </w:r>
          </w:p>
        </w:tc>
        <w:tc>
          <w:tcPr>
            <w:tcW w:w="976" w:type="pct"/>
            <w:shd w:val="clear" w:color="auto" w:fill="auto"/>
          </w:tcPr>
          <w:p w14:paraId="2D7F603E" w14:textId="556049F8" w:rsidR="005B55F6" w:rsidRPr="005D71A4" w:rsidRDefault="005B55F6" w:rsidP="00A9208C">
            <w:pPr>
              <w:pStyle w:val="051Tabletext228pt"/>
              <w:ind w:left="-57" w:right="-57"/>
              <w:rPr>
                <w:sz w:val="18"/>
                <w:szCs w:val="18"/>
              </w:rPr>
            </w:pPr>
            <w:r w:rsidRPr="005D71A4">
              <w:rPr>
                <w:sz w:val="18"/>
                <w:szCs w:val="18"/>
              </w:rPr>
              <w:t>RP-MUS</w:t>
            </w:r>
          </w:p>
        </w:tc>
        <w:tc>
          <w:tcPr>
            <w:tcW w:w="374" w:type="pct"/>
          </w:tcPr>
          <w:p w14:paraId="756618FB" w14:textId="262FE0EB" w:rsidR="005B55F6" w:rsidRPr="005D71A4" w:rsidRDefault="000013B5" w:rsidP="00A9208C">
            <w:pPr>
              <w:pStyle w:val="051Tabletext228pt"/>
              <w:ind w:left="-57" w:right="-57"/>
              <w:rPr>
                <w:sz w:val="18"/>
                <w:szCs w:val="18"/>
              </w:rPr>
            </w:pPr>
            <w:r>
              <w:rPr>
                <w:sz w:val="18"/>
                <w:szCs w:val="18"/>
              </w:rPr>
              <w:t xml:space="preserve">5 </w:t>
            </w:r>
            <w:proofErr w:type="spellStart"/>
            <w:r>
              <w:rPr>
                <w:sz w:val="18"/>
                <w:szCs w:val="18"/>
              </w:rPr>
              <w:t>yr</w:t>
            </w:r>
            <w:proofErr w:type="spellEnd"/>
          </w:p>
        </w:tc>
        <w:tc>
          <w:tcPr>
            <w:tcW w:w="794" w:type="pct"/>
          </w:tcPr>
          <w:p w14:paraId="0A9C03FE" w14:textId="70B89CD9" w:rsidR="005B55F6" w:rsidRPr="005D71A4" w:rsidRDefault="005B55F6" w:rsidP="00A9208C">
            <w:pPr>
              <w:pStyle w:val="051Tabletext228pt"/>
              <w:ind w:left="-57" w:right="-57"/>
              <w:rPr>
                <w:sz w:val="18"/>
                <w:szCs w:val="18"/>
              </w:rPr>
            </w:pPr>
            <w:r w:rsidRPr="005D71A4">
              <w:rPr>
                <w:sz w:val="18"/>
                <w:szCs w:val="18"/>
              </w:rPr>
              <w:t>TO-MUS slightly more effective</w:t>
            </w:r>
          </w:p>
        </w:tc>
        <w:tc>
          <w:tcPr>
            <w:tcW w:w="840" w:type="pct"/>
          </w:tcPr>
          <w:p w14:paraId="1E51D61B" w14:textId="363D0E7E" w:rsidR="005B55F6" w:rsidRPr="005D71A4" w:rsidRDefault="005B55F6" w:rsidP="00A9208C">
            <w:pPr>
              <w:pStyle w:val="051Tabletext228pt"/>
              <w:ind w:left="-57" w:right="-57"/>
              <w:rPr>
                <w:sz w:val="18"/>
                <w:szCs w:val="18"/>
              </w:rPr>
            </w:pPr>
            <w:r w:rsidRPr="005D71A4">
              <w:rPr>
                <w:sz w:val="18"/>
                <w:szCs w:val="18"/>
              </w:rPr>
              <w:t>TO-MUS less costly</w:t>
            </w:r>
          </w:p>
        </w:tc>
        <w:tc>
          <w:tcPr>
            <w:tcW w:w="938" w:type="pct"/>
          </w:tcPr>
          <w:p w14:paraId="448F9171" w14:textId="059F3309" w:rsidR="005B55F6" w:rsidRPr="005D71A4" w:rsidRDefault="005B55F6" w:rsidP="00A9208C">
            <w:pPr>
              <w:pStyle w:val="051Tabletext228pt"/>
              <w:ind w:left="-57" w:right="-57"/>
              <w:rPr>
                <w:sz w:val="18"/>
                <w:szCs w:val="18"/>
              </w:rPr>
            </w:pPr>
            <w:r w:rsidRPr="005D71A4">
              <w:rPr>
                <w:sz w:val="18"/>
                <w:szCs w:val="18"/>
              </w:rPr>
              <w:t>TO-MUS more cost-effective</w:t>
            </w:r>
          </w:p>
        </w:tc>
      </w:tr>
    </w:tbl>
    <w:p w14:paraId="13FD6F74" w14:textId="36F1EC34" w:rsidR="00244C2A" w:rsidRPr="00B0485F" w:rsidRDefault="00683104" w:rsidP="00244C2A">
      <w:pPr>
        <w:pStyle w:val="111Tablefootnoteslast-nostick8pt"/>
        <w:rPr>
          <w:lang w:val="en-AU"/>
        </w:rPr>
      </w:pPr>
      <w:r>
        <w:rPr>
          <w:lang w:val="en-AU"/>
        </w:rPr>
        <w:t xml:space="preserve">Abbreviations: </w:t>
      </w:r>
      <w:r w:rsidR="00244C2A" w:rsidRPr="00B0485F">
        <w:rPr>
          <w:lang w:val="en-AU"/>
        </w:rPr>
        <w:t>COI</w:t>
      </w:r>
      <w:r>
        <w:rPr>
          <w:lang w:val="en-AU"/>
        </w:rPr>
        <w:t>,</w:t>
      </w:r>
      <w:r w:rsidR="00244C2A" w:rsidRPr="00B0485F">
        <w:rPr>
          <w:lang w:val="en-AU"/>
        </w:rPr>
        <w:t xml:space="preserve"> conflict of interest; EE</w:t>
      </w:r>
      <w:r>
        <w:rPr>
          <w:lang w:val="en-AU"/>
        </w:rPr>
        <w:t>,</w:t>
      </w:r>
      <w:r w:rsidR="00244C2A" w:rsidRPr="00B0485F">
        <w:rPr>
          <w:lang w:val="en-AU"/>
        </w:rPr>
        <w:t xml:space="preserve"> economic evaluation; MUS</w:t>
      </w:r>
      <w:r>
        <w:rPr>
          <w:lang w:val="en-AU"/>
        </w:rPr>
        <w:t>,</w:t>
      </w:r>
      <w:r w:rsidR="00244C2A" w:rsidRPr="00B0485F">
        <w:rPr>
          <w:lang w:val="en-AU"/>
        </w:rPr>
        <w:t xml:space="preserve"> mid-urethral sling; NR</w:t>
      </w:r>
      <w:r>
        <w:rPr>
          <w:lang w:val="en-AU"/>
        </w:rPr>
        <w:t>,</w:t>
      </w:r>
      <w:r w:rsidR="00244C2A" w:rsidRPr="00B0485F">
        <w:rPr>
          <w:lang w:val="en-AU"/>
        </w:rPr>
        <w:t xml:space="preserve"> not reported; </w:t>
      </w:r>
      <w:r w:rsidR="00244C2A">
        <w:rPr>
          <w:lang w:val="en-AU"/>
        </w:rPr>
        <w:t>PVS</w:t>
      </w:r>
      <w:r>
        <w:rPr>
          <w:lang w:val="en-AU"/>
        </w:rPr>
        <w:t>,</w:t>
      </w:r>
      <w:r w:rsidR="00244C2A">
        <w:rPr>
          <w:lang w:val="en-AU"/>
        </w:rPr>
        <w:t xml:space="preserve"> autologous pubovaginal sling; </w:t>
      </w:r>
      <w:r w:rsidR="00244C2A" w:rsidRPr="00B0485F">
        <w:rPr>
          <w:lang w:val="en-AU"/>
        </w:rPr>
        <w:t>RCT</w:t>
      </w:r>
      <w:r>
        <w:rPr>
          <w:lang w:val="en-AU"/>
        </w:rPr>
        <w:t>,</w:t>
      </w:r>
      <w:r w:rsidR="00244C2A" w:rsidRPr="00B0485F">
        <w:rPr>
          <w:lang w:val="en-AU"/>
        </w:rPr>
        <w:t xml:space="preserve"> randomised controlled trial;</w:t>
      </w:r>
      <w:r w:rsidR="00244C2A">
        <w:rPr>
          <w:lang w:val="en-AU"/>
        </w:rPr>
        <w:t xml:space="preserve"> </w:t>
      </w:r>
      <w:r w:rsidR="00B94BCF">
        <w:rPr>
          <w:lang w:val="en-AU"/>
        </w:rPr>
        <w:t>RP-MUS</w:t>
      </w:r>
      <w:r>
        <w:rPr>
          <w:lang w:val="en-AU"/>
        </w:rPr>
        <w:t>,</w:t>
      </w:r>
      <w:r w:rsidR="00244C2A">
        <w:rPr>
          <w:lang w:val="en-AU"/>
        </w:rPr>
        <w:t xml:space="preserve"> retropubic MUS; </w:t>
      </w:r>
      <w:r w:rsidR="00244C2A" w:rsidRPr="00B0485F">
        <w:rPr>
          <w:lang w:val="en-AU"/>
        </w:rPr>
        <w:t>SUI</w:t>
      </w:r>
      <w:r>
        <w:rPr>
          <w:lang w:val="en-AU"/>
        </w:rPr>
        <w:t>,</w:t>
      </w:r>
      <w:r w:rsidR="00244C2A" w:rsidRPr="00B0485F">
        <w:rPr>
          <w:lang w:val="en-AU"/>
        </w:rPr>
        <w:t xml:space="preserve"> stress urinary incontinence; </w:t>
      </w:r>
      <w:r w:rsidR="00B94BCF">
        <w:rPr>
          <w:lang w:val="en-AU"/>
        </w:rPr>
        <w:t>TO-MUS</w:t>
      </w:r>
      <w:r>
        <w:rPr>
          <w:lang w:val="en-AU"/>
        </w:rPr>
        <w:t>,</w:t>
      </w:r>
      <w:r w:rsidR="00244C2A">
        <w:rPr>
          <w:lang w:val="en-AU"/>
        </w:rPr>
        <w:t xml:space="preserve"> </w:t>
      </w:r>
      <w:proofErr w:type="spellStart"/>
      <w:r w:rsidR="00244C2A">
        <w:rPr>
          <w:lang w:val="en-AU"/>
        </w:rPr>
        <w:t>transobturator</w:t>
      </w:r>
      <w:proofErr w:type="spellEnd"/>
      <w:r w:rsidR="00244C2A">
        <w:rPr>
          <w:lang w:val="en-AU"/>
        </w:rPr>
        <w:t xml:space="preserve"> MUS; </w:t>
      </w:r>
      <w:proofErr w:type="spellStart"/>
      <w:r w:rsidR="00244C2A" w:rsidRPr="00B0485F">
        <w:rPr>
          <w:lang w:val="en-AU"/>
        </w:rPr>
        <w:t>yr</w:t>
      </w:r>
      <w:proofErr w:type="spellEnd"/>
      <w:r>
        <w:rPr>
          <w:lang w:val="en-AU"/>
        </w:rPr>
        <w:t>,</w:t>
      </w:r>
      <w:r w:rsidR="00244C2A" w:rsidRPr="00B0485F">
        <w:rPr>
          <w:lang w:val="en-AU"/>
        </w:rPr>
        <w:t xml:space="preserve"> year.</w:t>
      </w:r>
    </w:p>
    <w:p w14:paraId="06132D89" w14:textId="60AA44CE" w:rsidR="009E574F" w:rsidRDefault="00A21A22" w:rsidP="0003262F">
      <w:pPr>
        <w:pStyle w:val="BodyText"/>
      </w:pPr>
      <w:r>
        <w:t xml:space="preserve">Most of the </w:t>
      </w:r>
      <w:r w:rsidR="006F5991">
        <w:t xml:space="preserve">included </w:t>
      </w:r>
      <w:r>
        <w:t>economic studies</w:t>
      </w:r>
      <w:r w:rsidDel="006F5991">
        <w:t xml:space="preserve"> </w:t>
      </w:r>
      <w:r w:rsidR="00A53EBE">
        <w:t>found that cost-effectiveness was</w:t>
      </w:r>
      <w:r>
        <w:t xml:space="preserve"> </w:t>
      </w:r>
      <w:r w:rsidR="00C17606">
        <w:t>driven by the cost of the device itself or the device procedure</w:t>
      </w:r>
      <w:r w:rsidR="005B029D">
        <w:t xml:space="preserve">, so </w:t>
      </w:r>
      <w:proofErr w:type="spellStart"/>
      <w:r w:rsidR="005B029D">
        <w:t>colposuspension</w:t>
      </w:r>
      <w:proofErr w:type="spellEnd"/>
      <w:r w:rsidR="005B029D">
        <w:t xml:space="preserve"> </w:t>
      </w:r>
      <w:r w:rsidR="005804B2">
        <w:t xml:space="preserve">– </w:t>
      </w:r>
      <w:r w:rsidR="005B029D">
        <w:t xml:space="preserve">as a more expensive procedure than MUS </w:t>
      </w:r>
      <w:r w:rsidR="002D0BB3">
        <w:t>–</w:t>
      </w:r>
      <w:r w:rsidR="005804B2">
        <w:t xml:space="preserve"> </w:t>
      </w:r>
      <w:r w:rsidR="005B029D">
        <w:t>was always less cost-effective</w:t>
      </w:r>
      <w:r w:rsidR="00C17606">
        <w:t xml:space="preserve">. </w:t>
      </w:r>
      <w:r w:rsidR="00652464">
        <w:t>Therefore</w:t>
      </w:r>
      <w:r w:rsidR="00C17606" w:rsidRPr="00B0485F">
        <w:t xml:space="preserve">, an accurate measure of costs for each procedure </w:t>
      </w:r>
      <w:r w:rsidR="00750BBF">
        <w:t>would</w:t>
      </w:r>
      <w:r w:rsidR="00C17606" w:rsidRPr="00B0485F">
        <w:t xml:space="preserve"> be essential before a conclusion can be drawn </w:t>
      </w:r>
      <w:r w:rsidR="00326782">
        <w:t xml:space="preserve">regarding cost-effectiveness of </w:t>
      </w:r>
      <w:r w:rsidR="00652464">
        <w:t>MUS</w:t>
      </w:r>
      <w:r w:rsidR="00326782">
        <w:t xml:space="preserve"> and other surgical options for SUI in</w:t>
      </w:r>
      <w:r w:rsidR="00C17606" w:rsidRPr="00B0485F">
        <w:t xml:space="preserve"> the Australian clinical setting. </w:t>
      </w:r>
      <w:r w:rsidR="00FD3D61">
        <w:t>It will also be critical to understand long-term complication rates</w:t>
      </w:r>
      <w:r w:rsidR="00F17147">
        <w:t>, which may reduce the cost-effectiveness of MUS.</w:t>
      </w:r>
    </w:p>
    <w:p w14:paraId="55467054" w14:textId="27E09DFB" w:rsidR="0002570E" w:rsidRDefault="00357029" w:rsidP="0003262F">
      <w:pPr>
        <w:pStyle w:val="BodyText"/>
      </w:pPr>
      <w:r>
        <w:t xml:space="preserve">In considering the cost of the MUS procedure in the Australian setting, the </w:t>
      </w:r>
      <w:r w:rsidR="003F3D4F">
        <w:t xml:space="preserve">main </w:t>
      </w:r>
      <w:r>
        <w:t>cost</w:t>
      </w:r>
      <w:r w:rsidR="003F3D4F">
        <w:t>s are</w:t>
      </w:r>
      <w:r w:rsidR="00411467">
        <w:t xml:space="preserve"> for</w:t>
      </w:r>
      <w:r>
        <w:t xml:space="preserve"> the device (</w:t>
      </w:r>
      <w:r w:rsidR="006B7C34">
        <w:t xml:space="preserve">$822 PL benefit) </w:t>
      </w:r>
      <w:r w:rsidR="00411467">
        <w:t>and the procedure</w:t>
      </w:r>
      <w:r w:rsidR="00622A31">
        <w:t>,</w:t>
      </w:r>
      <w:r w:rsidR="00411467">
        <w:t xml:space="preserve"> which has</w:t>
      </w:r>
      <w:r w:rsidR="006B7C34">
        <w:t xml:space="preserve"> </w:t>
      </w:r>
      <w:r w:rsidR="00411467">
        <w:t>a</w:t>
      </w:r>
      <w:r w:rsidR="006B7C34">
        <w:t xml:space="preserve"> </w:t>
      </w:r>
      <w:r w:rsidR="00BF76E5">
        <w:t xml:space="preserve">total </w:t>
      </w:r>
      <w:r w:rsidR="006B7C34">
        <w:t xml:space="preserve">MBS cost </w:t>
      </w:r>
      <w:r w:rsidR="00646AFC">
        <w:t xml:space="preserve">of </w:t>
      </w:r>
      <w:r w:rsidR="00BF76E5">
        <w:t>$</w:t>
      </w:r>
      <w:r w:rsidR="00100FB3">
        <w:t>1,287</w:t>
      </w:r>
      <w:r w:rsidR="00271FAE">
        <w:t xml:space="preserve">. Additional costs may include pre-surgical tests such as urodynamic analysis and post-surgical </w:t>
      </w:r>
      <w:r w:rsidR="003D21D0">
        <w:t>pharmaceutical costs. Estimates of hospital costs are uncertain as there is no specific AR-DRG for the procedure</w:t>
      </w:r>
      <w:r w:rsidR="001F06F9">
        <w:t>. As MUS insertion is</w:t>
      </w:r>
      <w:r w:rsidR="001F06F9" w:rsidDel="00E846D0">
        <w:t xml:space="preserve"> </w:t>
      </w:r>
      <w:r w:rsidR="00E846D0">
        <w:t xml:space="preserve">often </w:t>
      </w:r>
      <w:r w:rsidR="001F06F9">
        <w:t>a same day procedure</w:t>
      </w:r>
      <w:r w:rsidR="006514F1">
        <w:t>,</w:t>
      </w:r>
      <w:r w:rsidR="001F06F9">
        <w:t xml:space="preserve"> the estimate of $</w:t>
      </w:r>
      <w:r w:rsidR="00C935F3">
        <w:t>5</w:t>
      </w:r>
      <w:r w:rsidR="001F06F9">
        <w:t>,</w:t>
      </w:r>
      <w:r w:rsidR="00C935F3">
        <w:t>020</w:t>
      </w:r>
      <w:r w:rsidR="001F06F9">
        <w:t xml:space="preserve"> is likely to be </w:t>
      </w:r>
      <w:r w:rsidR="000504D8">
        <w:t>an</w:t>
      </w:r>
      <w:r w:rsidR="001F06F9">
        <w:t xml:space="preserve"> overestimate</w:t>
      </w:r>
      <w:r w:rsidR="000504D8">
        <w:t>;</w:t>
      </w:r>
      <w:r w:rsidR="001F06F9">
        <w:t xml:space="preserve"> nevertheless</w:t>
      </w:r>
      <w:r w:rsidR="000504D8">
        <w:t>,</w:t>
      </w:r>
      <w:r w:rsidR="001F06F9">
        <w:t xml:space="preserve"> </w:t>
      </w:r>
      <w:r w:rsidR="00300E0B">
        <w:t>these costs do not accrue to the Commonwealth.</w:t>
      </w:r>
    </w:p>
    <w:p w14:paraId="333F8F7A" w14:textId="5AE7F5BC" w:rsidR="00304072" w:rsidRDefault="00304072" w:rsidP="00CF2DC6">
      <w:pPr>
        <w:pStyle w:val="Heading2"/>
      </w:pPr>
      <w:bookmarkStart w:id="177" w:name="_Toc165627855"/>
      <w:r>
        <w:t>Considerations for PLAC</w:t>
      </w:r>
      <w:bookmarkEnd w:id="177"/>
    </w:p>
    <w:p w14:paraId="7600DF6B" w14:textId="50530075" w:rsidR="00F25822" w:rsidRDefault="009B58B1" w:rsidP="00CF2DC6">
      <w:pPr>
        <w:pStyle w:val="BodyText"/>
        <w:keepNext/>
      </w:pPr>
      <w:r>
        <w:t xml:space="preserve">The evidence base </w:t>
      </w:r>
      <w:r w:rsidR="005D3898">
        <w:t xml:space="preserve">supports the </w:t>
      </w:r>
      <w:r w:rsidR="008D5B9B">
        <w:t xml:space="preserve">place of MUS </w:t>
      </w:r>
      <w:r w:rsidR="000658D5">
        <w:t>in</w:t>
      </w:r>
      <w:r w:rsidR="008D5B9B">
        <w:t xml:space="preserve"> the treatment of SUI</w:t>
      </w:r>
      <w:r w:rsidR="006D7358">
        <w:t>,</w:t>
      </w:r>
      <w:r w:rsidR="008D5B9B">
        <w:t xml:space="preserve"> </w:t>
      </w:r>
      <w:r w:rsidR="009151D0">
        <w:t>demonstrating comparable effectiveness to alternative surgical interventions.</w:t>
      </w:r>
      <w:r w:rsidR="0053291C">
        <w:t xml:space="preserve"> In international analyses, MUS is cost-effective based on lower procedure costs than alternative surgical interventions. </w:t>
      </w:r>
      <w:r w:rsidR="002353E1">
        <w:t>Of the two types of MUS device listed on the PL, the evidence base</w:t>
      </w:r>
      <w:r w:rsidR="00801CC4">
        <w:t xml:space="preserve"> appears to favour RP-MUS over TO-MUS and this is </w:t>
      </w:r>
      <w:r w:rsidR="00B7447E">
        <w:t>consistently recommended in clinical practice guidelines</w:t>
      </w:r>
      <w:r w:rsidR="00984F2F">
        <w:t>.</w:t>
      </w:r>
      <w:r w:rsidR="00E8123E">
        <w:t xml:space="preserve"> </w:t>
      </w:r>
      <w:r w:rsidR="00984F2F">
        <w:t>H</w:t>
      </w:r>
      <w:r w:rsidR="00E8123E">
        <w:t>owever</w:t>
      </w:r>
      <w:r w:rsidR="00984F2F">
        <w:t>,</w:t>
      </w:r>
      <w:r w:rsidR="00E8123E">
        <w:t xml:space="preserve"> a role for TO-MUS appears to remain in limited clinical circumstances. </w:t>
      </w:r>
      <w:r w:rsidR="00345D1E">
        <w:t>Therefore,</w:t>
      </w:r>
      <w:r w:rsidR="00E8123E">
        <w:t xml:space="preserve"> the comparative clinical effectiveness, long-term outcomes and </w:t>
      </w:r>
      <w:r w:rsidR="001C7853">
        <w:t xml:space="preserve">clinical practice guidelines are </w:t>
      </w:r>
      <w:r w:rsidR="001C7853">
        <w:lastRenderedPageBreak/>
        <w:t>all consistent with the care pathway as specified by the ACSQHC</w:t>
      </w:r>
      <w:r w:rsidR="003C545B">
        <w:t xml:space="preserve"> </w:t>
      </w:r>
      <w:r w:rsidR="00EB75A8">
        <w:t xml:space="preserve">(see </w:t>
      </w:r>
      <w:r w:rsidR="00EB75A8" w:rsidRPr="00EB75A8">
        <w:rPr>
          <w:b/>
          <w:bCs/>
        </w:rPr>
        <w:fldChar w:fldCharType="begin"/>
      </w:r>
      <w:r w:rsidR="00EB75A8" w:rsidRPr="00EB75A8">
        <w:rPr>
          <w:b/>
          <w:bCs/>
        </w:rPr>
        <w:instrText xml:space="preserve"> REF _Ref129345751 \h </w:instrText>
      </w:r>
      <w:r w:rsidR="00EB75A8">
        <w:rPr>
          <w:b/>
          <w:bCs/>
        </w:rPr>
        <w:instrText xml:space="preserve"> \* MERGEFORMAT </w:instrText>
      </w:r>
      <w:r w:rsidR="00EB75A8" w:rsidRPr="00EB75A8">
        <w:rPr>
          <w:b/>
          <w:bCs/>
        </w:rPr>
      </w:r>
      <w:r w:rsidR="00EB75A8" w:rsidRPr="00EB75A8">
        <w:rPr>
          <w:b/>
          <w:bCs/>
        </w:rPr>
        <w:fldChar w:fldCharType="separate"/>
      </w:r>
      <w:r w:rsidR="007105D3" w:rsidRPr="007105D3">
        <w:rPr>
          <w:b/>
          <w:bCs/>
        </w:rPr>
        <w:t xml:space="preserve">Figure </w:t>
      </w:r>
      <w:r w:rsidR="007105D3" w:rsidRPr="007105D3">
        <w:rPr>
          <w:b/>
          <w:bCs/>
          <w:noProof/>
        </w:rPr>
        <w:t>1</w:t>
      </w:r>
      <w:r w:rsidR="00EB75A8" w:rsidRPr="00EB75A8">
        <w:rPr>
          <w:b/>
          <w:bCs/>
        </w:rPr>
        <w:fldChar w:fldCharType="end"/>
      </w:r>
      <w:r w:rsidR="003C545B">
        <w:t>)</w:t>
      </w:r>
      <w:r w:rsidR="00245CE2">
        <w:rPr>
          <w:noProof/>
        </w:rPr>
        <w:t xml:space="preserve"> (ACSQHC 2018a)</w:t>
      </w:r>
      <w:r w:rsidR="001C7853">
        <w:t>.</w:t>
      </w:r>
      <w:r w:rsidR="006710E9">
        <w:t xml:space="preserve"> On this basis</w:t>
      </w:r>
      <w:r w:rsidR="00EC21D1">
        <w:t xml:space="preserve">, it </w:t>
      </w:r>
      <w:r w:rsidR="00F25822">
        <w:t>is recommended that PLAC:</w:t>
      </w:r>
    </w:p>
    <w:p w14:paraId="0EFAD2EA" w14:textId="519890B7" w:rsidR="00EE7744" w:rsidRDefault="00F25822" w:rsidP="00562CAE">
      <w:pPr>
        <w:pStyle w:val="Bulletpoint"/>
      </w:pPr>
      <w:r w:rsidRPr="00562CAE">
        <w:t>Continue to list both RP-MUS and TO-MUS devices on the PL</w:t>
      </w:r>
      <w:r w:rsidR="00CC4495">
        <w:t>.</w:t>
      </w:r>
    </w:p>
    <w:p w14:paraId="5DEC7ED6" w14:textId="4659E76C" w:rsidR="003A1714" w:rsidRDefault="00007094" w:rsidP="003A1714">
      <w:pPr>
        <w:pStyle w:val="Bulletpoint2ndlevel"/>
      </w:pPr>
      <w:r>
        <w:t xml:space="preserve">As both approaches are </w:t>
      </w:r>
      <w:r w:rsidR="00D51FCF">
        <w:t>for similar clinical indications and both types of devices have similar technical characteristics there is n</w:t>
      </w:r>
      <w:r w:rsidR="00CA5190">
        <w:t>o justification for listing them in separate groups</w:t>
      </w:r>
      <w:r w:rsidR="00B85BD5">
        <w:t>.</w:t>
      </w:r>
    </w:p>
    <w:p w14:paraId="09D5A2E6" w14:textId="4FC16F34" w:rsidR="00AA48A6" w:rsidRPr="00562CAE" w:rsidRDefault="007A302A" w:rsidP="003A1714">
      <w:pPr>
        <w:pStyle w:val="Bulletpoint2ndlevel"/>
      </w:pPr>
      <w:r>
        <w:t>MUS is likely to be cost-effective at the current benefit</w:t>
      </w:r>
      <w:r w:rsidR="004359B9">
        <w:t xml:space="preserve"> based </w:t>
      </w:r>
      <w:r w:rsidR="00222043">
        <w:t xml:space="preserve">on </w:t>
      </w:r>
      <w:r w:rsidR="004359B9">
        <w:t>a lower</w:t>
      </w:r>
      <w:r w:rsidR="005F7FAE">
        <w:t xml:space="preserve"> expected</w:t>
      </w:r>
      <w:r w:rsidR="004359B9">
        <w:t xml:space="preserve"> </w:t>
      </w:r>
      <w:r w:rsidR="00F4107F">
        <w:t>procedure cost than the comparators</w:t>
      </w:r>
      <w:r w:rsidR="002428BF">
        <w:t>,</w:t>
      </w:r>
      <w:r w:rsidR="00354242">
        <w:t xml:space="preserve"> with similar effectiveness.</w:t>
      </w:r>
      <w:r w:rsidR="005F7FAE">
        <w:t xml:space="preserve"> The annual cost to the PL </w:t>
      </w:r>
      <w:r w:rsidR="00363D59">
        <w:t xml:space="preserve">in 2021-22 was $822,000. </w:t>
      </w:r>
      <w:r w:rsidR="00CD28CC">
        <w:t xml:space="preserve">No evidence was located to support a change to the </w:t>
      </w:r>
      <w:r w:rsidR="00123080">
        <w:t>current benefit.</w:t>
      </w:r>
    </w:p>
    <w:p w14:paraId="7D9801E8" w14:textId="3E6B40E0" w:rsidR="00304072" w:rsidRPr="00562CAE" w:rsidRDefault="00E05866" w:rsidP="00562CAE">
      <w:pPr>
        <w:pStyle w:val="Bulletpoint"/>
      </w:pPr>
      <w:r w:rsidRPr="00562CAE">
        <w:t>In collaboration with the TGA, c</w:t>
      </w:r>
      <w:r w:rsidR="00304072" w:rsidRPr="00562CAE">
        <w:t xml:space="preserve">ontinue to monitor the long-term safety of </w:t>
      </w:r>
      <w:r w:rsidR="005D71A4">
        <w:t>MUS</w:t>
      </w:r>
      <w:r w:rsidR="00CD7779" w:rsidRPr="00562CAE">
        <w:t xml:space="preserve"> based on</w:t>
      </w:r>
      <w:r w:rsidR="00CB3CF5">
        <w:t>:</w:t>
      </w:r>
    </w:p>
    <w:p w14:paraId="2EF45070" w14:textId="61F7290D" w:rsidR="00E05866" w:rsidRPr="00562CAE" w:rsidRDefault="00304072" w:rsidP="00562CAE">
      <w:pPr>
        <w:pStyle w:val="Bulletpoint2ndlevel"/>
      </w:pPr>
      <w:r w:rsidRPr="00562CAE">
        <w:t>data collected via the APFPR</w:t>
      </w:r>
      <w:r w:rsidR="001338FB">
        <w:t>,</w:t>
      </w:r>
      <w:r w:rsidRPr="00562CAE">
        <w:t xml:space="preserve"> when data from a sufficiently sized sample </w:t>
      </w:r>
      <w:proofErr w:type="gramStart"/>
      <w:r w:rsidRPr="00562CAE">
        <w:t>is able to</w:t>
      </w:r>
      <w:proofErr w:type="gramEnd"/>
      <w:r w:rsidRPr="00562CAE">
        <w:t xml:space="preserve"> ensure it is </w:t>
      </w:r>
      <w:r w:rsidR="00562CAE" w:rsidRPr="00562CAE">
        <w:t>representative</w:t>
      </w:r>
    </w:p>
    <w:p w14:paraId="5FDC79F3" w14:textId="05C3A7AF" w:rsidR="00622A2B" w:rsidRDefault="001338FB" w:rsidP="00622A2B">
      <w:pPr>
        <w:pStyle w:val="Bulletpoint2ndlevel"/>
      </w:pPr>
      <w:r>
        <w:t>o</w:t>
      </w:r>
      <w:r w:rsidR="00E05866" w:rsidRPr="00562CAE">
        <w:t xml:space="preserve">ngoing </w:t>
      </w:r>
      <w:r w:rsidR="008D383E" w:rsidRPr="00562CAE">
        <w:t>advice from international regulators</w:t>
      </w:r>
      <w:r>
        <w:t>.</w:t>
      </w:r>
    </w:p>
    <w:p w14:paraId="4959E283" w14:textId="2A580C7C" w:rsidR="00304072" w:rsidRPr="00304072" w:rsidRDefault="00BF1236" w:rsidP="00304072">
      <w:pPr>
        <w:pStyle w:val="Bulletpoint"/>
      </w:pPr>
      <w:r w:rsidRPr="00801CCE">
        <w:t xml:space="preserve">In collaboration with the TGA and/or </w:t>
      </w:r>
      <w:proofErr w:type="spellStart"/>
      <w:r w:rsidRPr="00801CCE">
        <w:t>D</w:t>
      </w:r>
      <w:r w:rsidR="007337CC">
        <w:t>o</w:t>
      </w:r>
      <w:r w:rsidRPr="00801CCE">
        <w:t>HAC</w:t>
      </w:r>
      <w:proofErr w:type="spellEnd"/>
      <w:r w:rsidRPr="00801CCE">
        <w:t>,</w:t>
      </w:r>
      <w:r w:rsidR="00304072" w:rsidRPr="00801CCE">
        <w:t xml:space="preserve"> continue to monitor utilisation data for </w:t>
      </w:r>
      <w:r w:rsidR="008A2340">
        <w:t>RP</w:t>
      </w:r>
      <w:r w:rsidR="00304072" w:rsidRPr="00801CCE">
        <w:t xml:space="preserve"> and </w:t>
      </w:r>
      <w:r w:rsidR="008A2340">
        <w:t>TO</w:t>
      </w:r>
      <w:r w:rsidR="00304072" w:rsidRPr="00801CCE">
        <w:t xml:space="preserve"> MUS devices</w:t>
      </w:r>
      <w:r w:rsidR="008030B9">
        <w:t xml:space="preserve"> to ensure use aligns with clinical recommendations in favour of a RP-MUS approach</w:t>
      </w:r>
      <w:r w:rsidR="00566F75">
        <w:t>.</w:t>
      </w:r>
    </w:p>
    <w:p w14:paraId="6C693880" w14:textId="77777777" w:rsidR="00C67D39" w:rsidRDefault="00C67D39" w:rsidP="00C67D39">
      <w:pPr>
        <w:pStyle w:val="Heading1"/>
      </w:pPr>
      <w:bookmarkStart w:id="178" w:name="_Toc165627856"/>
      <w:r w:rsidRPr="00B0485F">
        <w:lastRenderedPageBreak/>
        <w:t>References</w:t>
      </w:r>
      <w:bookmarkEnd w:id="178"/>
    </w:p>
    <w:p w14:paraId="43DC918E" w14:textId="1804A5CD" w:rsidR="00245CE2" w:rsidRPr="00EB7E14" w:rsidRDefault="00245CE2" w:rsidP="00245CE2">
      <w:pPr>
        <w:pStyle w:val="References"/>
        <w:spacing w:after="120"/>
        <w:ind w:left="0" w:firstLine="0"/>
        <w:rPr>
          <w:noProof/>
        </w:rPr>
      </w:pPr>
      <w:r w:rsidRPr="00EB7E14">
        <w:rPr>
          <w:noProof/>
        </w:rPr>
        <w:t>A</w:t>
      </w:r>
      <w:r w:rsidR="0028062D">
        <w:rPr>
          <w:noProof/>
        </w:rPr>
        <w:t xml:space="preserve">ustralian </w:t>
      </w:r>
      <w:r w:rsidRPr="00EB7E14">
        <w:rPr>
          <w:noProof/>
        </w:rPr>
        <w:t>C</w:t>
      </w:r>
      <w:r w:rsidR="0028062D">
        <w:rPr>
          <w:noProof/>
        </w:rPr>
        <w:t xml:space="preserve">ommission on </w:t>
      </w:r>
      <w:r w:rsidRPr="00EB7E14">
        <w:rPr>
          <w:noProof/>
        </w:rPr>
        <w:t>S</w:t>
      </w:r>
      <w:r w:rsidR="0028062D">
        <w:rPr>
          <w:noProof/>
        </w:rPr>
        <w:t xml:space="preserve">afety and </w:t>
      </w:r>
      <w:r w:rsidRPr="00EB7E14">
        <w:rPr>
          <w:noProof/>
        </w:rPr>
        <w:t>Q</w:t>
      </w:r>
      <w:r w:rsidR="0028062D">
        <w:rPr>
          <w:noProof/>
        </w:rPr>
        <w:t xml:space="preserve">uality in </w:t>
      </w:r>
      <w:r w:rsidRPr="00EB7E14">
        <w:rPr>
          <w:noProof/>
        </w:rPr>
        <w:t>H</w:t>
      </w:r>
      <w:r w:rsidR="0028062D">
        <w:rPr>
          <w:noProof/>
        </w:rPr>
        <w:t xml:space="preserve">ealth </w:t>
      </w:r>
      <w:r w:rsidRPr="00EB7E14">
        <w:rPr>
          <w:noProof/>
        </w:rPr>
        <w:t>C</w:t>
      </w:r>
      <w:r w:rsidR="0028062D">
        <w:rPr>
          <w:noProof/>
        </w:rPr>
        <w:t>are</w:t>
      </w:r>
      <w:r w:rsidRPr="00EB7E14">
        <w:rPr>
          <w:noProof/>
        </w:rPr>
        <w:t xml:space="preserve">. (2018a). </w:t>
      </w:r>
      <w:r w:rsidRPr="00EB7E14">
        <w:rPr>
          <w:i/>
          <w:noProof/>
        </w:rPr>
        <w:t>Care Pathway for the Management of Stress Urinary Incontinence (SUI)</w:t>
      </w:r>
      <w:r w:rsidRPr="00EB7E14">
        <w:rPr>
          <w:noProof/>
        </w:rPr>
        <w:t>. Australian Comission on Safety and Quality in Health Care. Retrieved 10 March 2023 from</w:t>
      </w:r>
      <w:r w:rsidR="00E6261F">
        <w:rPr>
          <w:noProof/>
        </w:rPr>
        <w:t>:</w:t>
      </w:r>
      <w:r w:rsidRPr="00EB7E14">
        <w:rPr>
          <w:noProof/>
        </w:rPr>
        <w:t xml:space="preserve"> </w:t>
      </w:r>
      <w:hyperlink r:id="rId25" w:tooltip="This link goes to the ACSQHC Care pathway for the management of stress urinary incontinence" w:history="1">
        <w:r w:rsidR="00E6261F" w:rsidRPr="00D74CF3">
          <w:rPr>
            <w:rStyle w:val="Hyperlink"/>
          </w:rPr>
          <w:t>https://www.safetyandquality.gov.au/our-work/health-conditions-and-treatments/transvaginal-mesh/resources-consumers-clinicians-and-health-service-organisations-transvaginal-mesh-and-sacrocolpopexy/care-pathway-management-stress-urinary-incontinence-sui</w:t>
        </w:r>
      </w:hyperlink>
      <w:r w:rsidR="00E6261F">
        <w:t xml:space="preserve"> </w:t>
      </w:r>
    </w:p>
    <w:p w14:paraId="7FC8BDB6" w14:textId="5420FBFA" w:rsidR="00245CE2" w:rsidRPr="00EB7E14" w:rsidRDefault="00245CE2" w:rsidP="00245CE2">
      <w:pPr>
        <w:pStyle w:val="References"/>
        <w:spacing w:after="120"/>
        <w:ind w:left="0" w:firstLine="0"/>
        <w:rPr>
          <w:noProof/>
        </w:rPr>
      </w:pPr>
      <w:r w:rsidRPr="00EB7E14">
        <w:rPr>
          <w:noProof/>
        </w:rPr>
        <w:t>Australian Co</w:t>
      </w:r>
      <w:r w:rsidR="0028062D">
        <w:rPr>
          <w:noProof/>
        </w:rPr>
        <w:t>m</w:t>
      </w:r>
      <w:r w:rsidRPr="00EB7E14">
        <w:rPr>
          <w:noProof/>
        </w:rPr>
        <w:t xml:space="preserve">mission on Safety and Quality in Health Care (2018b). </w:t>
      </w:r>
      <w:r w:rsidRPr="00EB7E14">
        <w:rPr>
          <w:i/>
          <w:noProof/>
        </w:rPr>
        <w:t>Treatment Options for Stress Urinary Incontinence (SUI).</w:t>
      </w:r>
      <w:r w:rsidRPr="00EB7E14">
        <w:rPr>
          <w:noProof/>
        </w:rPr>
        <w:t xml:space="preserve"> </w:t>
      </w:r>
      <w:r w:rsidR="00D46700">
        <w:rPr>
          <w:noProof/>
        </w:rPr>
        <w:t xml:space="preserve">Retrieved from: </w:t>
      </w:r>
      <w:hyperlink r:id="rId26" w:tooltip="This link goes to an ACSQHC webpage to download an information sheet on treatment options for stress urinary incontinence" w:history="1">
        <w:r w:rsidR="00D46700" w:rsidRPr="00D74CF3">
          <w:rPr>
            <w:rStyle w:val="Hyperlink"/>
          </w:rPr>
          <w:t>https://www.safetyandquality.gov.au/publications-and-resources/resource-library/treatment-options-stress-urinary-incontinence-sui</w:t>
        </w:r>
      </w:hyperlink>
      <w:r w:rsidR="00D46700">
        <w:t xml:space="preserve"> </w:t>
      </w:r>
    </w:p>
    <w:p w14:paraId="5322FA1C" w14:textId="232D694A" w:rsidR="00245CE2" w:rsidRPr="00EB7E14" w:rsidRDefault="00245CE2" w:rsidP="00245CE2">
      <w:pPr>
        <w:pStyle w:val="References"/>
        <w:spacing w:after="120"/>
        <w:ind w:left="0" w:firstLine="0"/>
        <w:rPr>
          <w:noProof/>
        </w:rPr>
      </w:pPr>
      <w:r w:rsidRPr="00EB7E14">
        <w:rPr>
          <w:noProof/>
        </w:rPr>
        <w:t>A</w:t>
      </w:r>
      <w:r w:rsidR="001D5393">
        <w:rPr>
          <w:noProof/>
        </w:rPr>
        <w:t xml:space="preserve">ustralian </w:t>
      </w:r>
      <w:r w:rsidRPr="00EB7E14">
        <w:rPr>
          <w:noProof/>
        </w:rPr>
        <w:t>I</w:t>
      </w:r>
      <w:r w:rsidR="001D5393">
        <w:rPr>
          <w:noProof/>
        </w:rPr>
        <w:t xml:space="preserve">nstitute of </w:t>
      </w:r>
      <w:r w:rsidRPr="00EB7E14">
        <w:rPr>
          <w:noProof/>
        </w:rPr>
        <w:t>H</w:t>
      </w:r>
      <w:r w:rsidR="001D5393">
        <w:rPr>
          <w:noProof/>
        </w:rPr>
        <w:t xml:space="preserve">ealth and </w:t>
      </w:r>
      <w:r w:rsidRPr="00EB7E14">
        <w:rPr>
          <w:noProof/>
        </w:rPr>
        <w:t>W</w:t>
      </w:r>
      <w:r w:rsidR="001D5393">
        <w:rPr>
          <w:noProof/>
        </w:rPr>
        <w:t>elfare</w:t>
      </w:r>
      <w:r w:rsidRPr="00EB7E14">
        <w:rPr>
          <w:noProof/>
        </w:rPr>
        <w:t xml:space="preserve">. (2013). </w:t>
      </w:r>
      <w:r w:rsidRPr="00EB7E14">
        <w:rPr>
          <w:i/>
          <w:noProof/>
        </w:rPr>
        <w:t>Incontinence in Australia</w:t>
      </w:r>
      <w:r w:rsidRPr="00EB7E14">
        <w:rPr>
          <w:noProof/>
        </w:rPr>
        <w:t>. Canberra: Australian Insititute of Health and Welfare. Retrieved from</w:t>
      </w:r>
      <w:r w:rsidR="001D5393">
        <w:rPr>
          <w:noProof/>
        </w:rPr>
        <w:t>:</w:t>
      </w:r>
      <w:r w:rsidRPr="00EB7E14">
        <w:rPr>
          <w:noProof/>
        </w:rPr>
        <w:t xml:space="preserve"> </w:t>
      </w:r>
      <w:hyperlink r:id="rId27" w:tooltip="This link goes to the AIHW Incontinence in Australia report" w:history="1">
        <w:r w:rsidR="001D5393" w:rsidRPr="00D74CF3">
          <w:rPr>
            <w:rStyle w:val="Hyperlink"/>
          </w:rPr>
          <w:t>https://www.aihw.gov.au/reports/disability/incontinence-in-australia/summary</w:t>
        </w:r>
      </w:hyperlink>
      <w:r w:rsidR="001D5393">
        <w:t xml:space="preserve"> </w:t>
      </w:r>
    </w:p>
    <w:p w14:paraId="7FE1DBE9" w14:textId="79545228" w:rsidR="00245CE2" w:rsidRPr="00EB7E14" w:rsidRDefault="00245CE2" w:rsidP="00245CE2">
      <w:pPr>
        <w:pStyle w:val="References"/>
        <w:spacing w:after="120"/>
        <w:ind w:left="0" w:firstLine="0"/>
        <w:rPr>
          <w:noProof/>
        </w:rPr>
      </w:pPr>
      <w:r w:rsidRPr="00EB7E14">
        <w:rPr>
          <w:noProof/>
        </w:rPr>
        <w:t xml:space="preserve">American Urological Association (2019). </w:t>
      </w:r>
      <w:r w:rsidRPr="00EB7E14">
        <w:rPr>
          <w:i/>
          <w:noProof/>
        </w:rPr>
        <w:t>AUA Position Statement on the Use of Vaginal Mesh for the Surgical Treatment of Stress Urinary Incontinence (SUI).</w:t>
      </w:r>
      <w:r w:rsidRPr="00EB7E14">
        <w:rPr>
          <w:noProof/>
        </w:rPr>
        <w:t xml:space="preserve"> </w:t>
      </w:r>
      <w:r w:rsidR="00FB36CC">
        <w:rPr>
          <w:noProof/>
        </w:rPr>
        <w:t xml:space="preserve">Retrieved from: </w:t>
      </w:r>
      <w:hyperlink r:id="rId28" w:tooltip="This link goes to the AUA Position Statement on the Use of Vaginal Mesh for the Surgical Treatment of Stress Urinary Incontinence (SUI)" w:history="1">
        <w:r w:rsidR="00FB36CC" w:rsidRPr="00D74CF3">
          <w:rPr>
            <w:rStyle w:val="Hyperlink"/>
          </w:rPr>
          <w:t>https://www.auanet.org/about-us/policy-and-position-statements/use-of-vaginal-mesh-for-the-surgical-treatment-of-stress-urinary-incontinence</w:t>
        </w:r>
      </w:hyperlink>
      <w:r w:rsidR="00FB36CC">
        <w:t xml:space="preserve"> </w:t>
      </w:r>
    </w:p>
    <w:p w14:paraId="16BE6E63" w14:textId="77777777" w:rsidR="00245CE2" w:rsidRPr="00EB7E14" w:rsidRDefault="00245CE2" w:rsidP="00245CE2">
      <w:pPr>
        <w:pStyle w:val="References"/>
        <w:spacing w:after="120"/>
        <w:ind w:left="0" w:firstLine="0"/>
        <w:rPr>
          <w:noProof/>
        </w:rPr>
      </w:pPr>
      <w:r w:rsidRPr="00EB7E14">
        <w:rPr>
          <w:noProof/>
        </w:rPr>
        <w:t xml:space="preserve">Avery, J. C., Gill, T. K., MacLennan, A. H., et al. (2004). The impact of incontinence on health-related quality of life in a South Australian population sample. </w:t>
      </w:r>
      <w:r w:rsidRPr="00EB7E14">
        <w:rPr>
          <w:i/>
          <w:noProof/>
        </w:rPr>
        <w:t>Aust N Z J Public Health</w:t>
      </w:r>
      <w:r w:rsidRPr="00EB7E14">
        <w:rPr>
          <w:noProof/>
        </w:rPr>
        <w:t>,</w:t>
      </w:r>
      <w:r w:rsidRPr="00EB7E14">
        <w:rPr>
          <w:i/>
          <w:noProof/>
        </w:rPr>
        <w:t xml:space="preserve"> 28</w:t>
      </w:r>
      <w:r w:rsidRPr="00EB7E14">
        <w:rPr>
          <w:noProof/>
        </w:rPr>
        <w:t xml:space="preserve">(2), 173-179. </w:t>
      </w:r>
      <w:r w:rsidRPr="00245CE2">
        <w:t>https://doi.org/10.1111/j.1467-842x.2004.tb00932.x</w:t>
      </w:r>
      <w:r w:rsidRPr="00EB7E14">
        <w:rPr>
          <w:noProof/>
        </w:rPr>
        <w:t xml:space="preserve"> </w:t>
      </w:r>
    </w:p>
    <w:p w14:paraId="229D7F71" w14:textId="77777777" w:rsidR="00245CE2" w:rsidRPr="00EB7E14" w:rsidRDefault="00245CE2" w:rsidP="00245CE2">
      <w:pPr>
        <w:pStyle w:val="References"/>
        <w:spacing w:after="120"/>
        <w:ind w:left="0" w:firstLine="0"/>
        <w:rPr>
          <w:noProof/>
        </w:rPr>
      </w:pPr>
      <w:r w:rsidRPr="00EB7E14">
        <w:rPr>
          <w:noProof/>
        </w:rPr>
        <w:t xml:space="preserve">Brazzelli, M., Javanbakht, M., Imamura, M., et al. (2019). Surgical treatments for women with stress urinary incontinence: the ESTER systematic review and economic evaluation. </w:t>
      </w:r>
      <w:r w:rsidRPr="00EB7E14">
        <w:rPr>
          <w:i/>
          <w:noProof/>
        </w:rPr>
        <w:t>Health Technol Assess</w:t>
      </w:r>
      <w:r w:rsidRPr="00EB7E14">
        <w:rPr>
          <w:noProof/>
        </w:rPr>
        <w:t>,</w:t>
      </w:r>
      <w:r w:rsidRPr="00EB7E14">
        <w:rPr>
          <w:i/>
          <w:noProof/>
        </w:rPr>
        <w:t xml:space="preserve"> 23</w:t>
      </w:r>
      <w:r w:rsidRPr="00EB7E14">
        <w:rPr>
          <w:noProof/>
        </w:rPr>
        <w:t xml:space="preserve">(14), 1-306. </w:t>
      </w:r>
      <w:r w:rsidRPr="00245CE2">
        <w:t>https://doi.org/10.3310/hta23140</w:t>
      </w:r>
      <w:r w:rsidRPr="00EB7E14">
        <w:rPr>
          <w:noProof/>
        </w:rPr>
        <w:t xml:space="preserve"> </w:t>
      </w:r>
    </w:p>
    <w:p w14:paraId="0F2EE3BA" w14:textId="77777777" w:rsidR="00245CE2" w:rsidRPr="00EB7E14" w:rsidRDefault="00245CE2" w:rsidP="00245CE2">
      <w:pPr>
        <w:pStyle w:val="References"/>
        <w:spacing w:after="120"/>
        <w:ind w:left="0" w:firstLine="0"/>
        <w:rPr>
          <w:noProof/>
        </w:rPr>
      </w:pPr>
      <w:r w:rsidRPr="00EB7E14">
        <w:rPr>
          <w:noProof/>
        </w:rPr>
        <w:t xml:space="preserve">Brown, J. L. (2020). The experiences of seven women living with pelvic surgical mesh complications. </w:t>
      </w:r>
      <w:r w:rsidRPr="00EB7E14">
        <w:rPr>
          <w:i/>
          <w:noProof/>
        </w:rPr>
        <w:t>Int Urogynecol J</w:t>
      </w:r>
      <w:r w:rsidRPr="00EB7E14">
        <w:rPr>
          <w:noProof/>
        </w:rPr>
        <w:t>,</w:t>
      </w:r>
      <w:r w:rsidRPr="00EB7E14">
        <w:rPr>
          <w:i/>
          <w:noProof/>
        </w:rPr>
        <w:t xml:space="preserve"> 31</w:t>
      </w:r>
      <w:r w:rsidRPr="00EB7E14">
        <w:rPr>
          <w:noProof/>
        </w:rPr>
        <w:t xml:space="preserve">(4), 823-829. </w:t>
      </w:r>
      <w:r w:rsidRPr="00245CE2">
        <w:t>https://doi.org/10.1007/s00192-019-04155-w</w:t>
      </w:r>
      <w:r w:rsidRPr="00EB7E14">
        <w:rPr>
          <w:noProof/>
        </w:rPr>
        <w:t xml:space="preserve"> </w:t>
      </w:r>
    </w:p>
    <w:p w14:paraId="14E30999" w14:textId="77777777" w:rsidR="00245CE2" w:rsidRPr="00EB7E14" w:rsidRDefault="00245CE2" w:rsidP="00245CE2">
      <w:pPr>
        <w:pStyle w:val="References"/>
        <w:spacing w:after="120"/>
        <w:ind w:left="0" w:firstLine="0"/>
        <w:rPr>
          <w:noProof/>
        </w:rPr>
      </w:pPr>
      <w:r w:rsidRPr="00EB7E14">
        <w:rPr>
          <w:noProof/>
        </w:rPr>
        <w:t xml:space="preserve">Casteleijn, F. M., de Vries, A. M., Tu, L. M., et al. (2023). Cost-effectiveness of urethral bulking polydimethylsiloxane-Urolastic® compared with mid-urethral sling surgery for stress urinary incontinence: A two-arm cohort study [Article in Press]. </w:t>
      </w:r>
      <w:r w:rsidRPr="00EB7E14">
        <w:rPr>
          <w:i/>
          <w:noProof/>
        </w:rPr>
        <w:t>BJOG: An International Journal of Obstetrics and Gynaecology</w:t>
      </w:r>
      <w:r w:rsidRPr="00EB7E14">
        <w:rPr>
          <w:noProof/>
        </w:rPr>
        <w:t xml:space="preserve">. </w:t>
      </w:r>
      <w:r w:rsidRPr="00245CE2">
        <w:t>https://doi.org/10.1111/1471-0528.17396</w:t>
      </w:r>
      <w:r w:rsidRPr="00EB7E14">
        <w:rPr>
          <w:noProof/>
        </w:rPr>
        <w:t xml:space="preserve"> </w:t>
      </w:r>
    </w:p>
    <w:p w14:paraId="64F400CE" w14:textId="77777777" w:rsidR="00245CE2" w:rsidRPr="00EB7E14" w:rsidRDefault="00245CE2" w:rsidP="00245CE2">
      <w:pPr>
        <w:pStyle w:val="References"/>
        <w:spacing w:after="120"/>
        <w:ind w:left="0" w:firstLine="0"/>
        <w:rPr>
          <w:noProof/>
        </w:rPr>
      </w:pPr>
      <w:r w:rsidRPr="00EB7E14">
        <w:rPr>
          <w:noProof/>
        </w:rPr>
        <w:t xml:space="preserve">Chang, O. H., Cadish, L. A., Kailasam, A., et al. (2022). Impact of the availability of midurethral slings on treatment strategies for stress urinary incontinence: a cost-effectiveness analysis [Article]. </w:t>
      </w:r>
      <w:r w:rsidRPr="00EB7E14">
        <w:rPr>
          <w:i/>
          <w:noProof/>
        </w:rPr>
        <w:t>BJOG: An International Journal of Obstetrics and Gynaecology</w:t>
      </w:r>
      <w:r w:rsidRPr="00EB7E14">
        <w:rPr>
          <w:noProof/>
        </w:rPr>
        <w:t>,</w:t>
      </w:r>
      <w:r w:rsidRPr="00EB7E14">
        <w:rPr>
          <w:i/>
          <w:noProof/>
        </w:rPr>
        <w:t xml:space="preserve"> 129</w:t>
      </w:r>
      <w:r w:rsidRPr="00EB7E14">
        <w:rPr>
          <w:noProof/>
        </w:rPr>
        <w:t xml:space="preserve">(3), 500-508. </w:t>
      </w:r>
      <w:r w:rsidRPr="00245CE2">
        <w:t>https://doi.org/10.1111/1471-0528.16850</w:t>
      </w:r>
      <w:r w:rsidRPr="00EB7E14">
        <w:rPr>
          <w:noProof/>
        </w:rPr>
        <w:t xml:space="preserve"> </w:t>
      </w:r>
    </w:p>
    <w:p w14:paraId="7FCFD0F3" w14:textId="77777777" w:rsidR="00245CE2" w:rsidRPr="00EB7E14" w:rsidRDefault="00245CE2" w:rsidP="00245CE2">
      <w:pPr>
        <w:pStyle w:val="References"/>
        <w:spacing w:after="120"/>
        <w:ind w:left="0" w:firstLine="0"/>
        <w:rPr>
          <w:noProof/>
        </w:rPr>
      </w:pPr>
      <w:r w:rsidRPr="00EB7E14">
        <w:rPr>
          <w:noProof/>
        </w:rPr>
        <w:t xml:space="preserve">Chughtai, B., Mao, J., Matheny, M. E., et al. (2021). Long-Term Safety with Sling Mesh Implants for Stress Incontinence. </w:t>
      </w:r>
      <w:r w:rsidRPr="00EB7E14">
        <w:rPr>
          <w:i/>
          <w:noProof/>
        </w:rPr>
        <w:t>J Urol</w:t>
      </w:r>
      <w:r w:rsidRPr="00EB7E14">
        <w:rPr>
          <w:noProof/>
        </w:rPr>
        <w:t>,</w:t>
      </w:r>
      <w:r w:rsidRPr="00EB7E14">
        <w:rPr>
          <w:i/>
          <w:noProof/>
        </w:rPr>
        <w:t xml:space="preserve"> 205</w:t>
      </w:r>
      <w:r w:rsidRPr="00EB7E14">
        <w:rPr>
          <w:noProof/>
        </w:rPr>
        <w:t xml:space="preserve">(1), 183-190. </w:t>
      </w:r>
      <w:r w:rsidRPr="00245CE2">
        <w:t>https://doi.org/10.1097/ju.0000000000001312</w:t>
      </w:r>
      <w:r w:rsidRPr="00EB7E14">
        <w:rPr>
          <w:noProof/>
        </w:rPr>
        <w:t xml:space="preserve"> </w:t>
      </w:r>
    </w:p>
    <w:p w14:paraId="628FEC9E" w14:textId="73457444" w:rsidR="00245CE2" w:rsidRPr="00EB7E14" w:rsidRDefault="00245CE2" w:rsidP="00245CE2">
      <w:pPr>
        <w:pStyle w:val="References"/>
        <w:spacing w:after="120"/>
        <w:ind w:left="0" w:firstLine="0"/>
        <w:rPr>
          <w:noProof/>
        </w:rPr>
      </w:pPr>
      <w:r w:rsidRPr="00EB7E14">
        <w:rPr>
          <w:noProof/>
        </w:rPr>
        <w:t>University of York, Centre for Reviews and D</w:t>
      </w:r>
      <w:r w:rsidR="00CE0858">
        <w:rPr>
          <w:noProof/>
        </w:rPr>
        <w:t>i</w:t>
      </w:r>
      <w:r w:rsidRPr="00EB7E14">
        <w:rPr>
          <w:noProof/>
        </w:rPr>
        <w:t xml:space="preserve">ssemination (2009). </w:t>
      </w:r>
      <w:r w:rsidRPr="00EB7E14">
        <w:rPr>
          <w:i/>
          <w:noProof/>
        </w:rPr>
        <w:t>Systematic Reviews: CRD’s Guidance for Undertaking Reviews in Healthcare.</w:t>
      </w:r>
      <w:r w:rsidRPr="00EB7E14">
        <w:rPr>
          <w:noProof/>
        </w:rPr>
        <w:t xml:space="preserve"> </w:t>
      </w:r>
      <w:hyperlink r:id="rId29" w:tooltip="This link goes to CRD’s Guidance for Undertaking Reviews in Healthcare" w:history="1">
        <w:r w:rsidR="00E96DF1" w:rsidRPr="00D74CF3">
          <w:rPr>
            <w:rStyle w:val="Hyperlink"/>
          </w:rPr>
          <w:t>https://www.york.ac.uk/crd/guidance/</w:t>
        </w:r>
      </w:hyperlink>
      <w:r w:rsidR="00E96DF1">
        <w:t xml:space="preserve"> </w:t>
      </w:r>
    </w:p>
    <w:p w14:paraId="46754A6E" w14:textId="77777777" w:rsidR="00245CE2" w:rsidRPr="00EB7E14" w:rsidRDefault="00245CE2" w:rsidP="00245CE2">
      <w:pPr>
        <w:pStyle w:val="References"/>
        <w:spacing w:after="120"/>
        <w:ind w:left="0" w:firstLine="0"/>
        <w:rPr>
          <w:noProof/>
        </w:rPr>
      </w:pPr>
      <w:r w:rsidRPr="00EB7E14">
        <w:rPr>
          <w:noProof/>
        </w:rPr>
        <w:t xml:space="preserve">Dmochowski, R. R., Blaivas, J. M., Gormley, E. A., et al. (2010). Update of AUA guideline on the surgical management of female stress urinary incontinence. </w:t>
      </w:r>
      <w:r w:rsidRPr="00EB7E14">
        <w:rPr>
          <w:i/>
          <w:noProof/>
        </w:rPr>
        <w:t>J Urol</w:t>
      </w:r>
      <w:r w:rsidRPr="00EB7E14">
        <w:rPr>
          <w:noProof/>
        </w:rPr>
        <w:t>,</w:t>
      </w:r>
      <w:r w:rsidRPr="00EB7E14">
        <w:rPr>
          <w:i/>
          <w:noProof/>
        </w:rPr>
        <w:t xml:space="preserve"> 183</w:t>
      </w:r>
      <w:r w:rsidRPr="00EB7E14">
        <w:rPr>
          <w:noProof/>
        </w:rPr>
        <w:t xml:space="preserve">(5), 1906-1914. </w:t>
      </w:r>
      <w:r w:rsidRPr="00245CE2">
        <w:t>https://doi.org/10.1016/j.juro.2010.02.2369</w:t>
      </w:r>
      <w:r w:rsidRPr="00EB7E14">
        <w:rPr>
          <w:noProof/>
        </w:rPr>
        <w:t xml:space="preserve"> </w:t>
      </w:r>
    </w:p>
    <w:p w14:paraId="1CB5406B" w14:textId="37D3FADC" w:rsidR="00245CE2" w:rsidRPr="00EB7E14" w:rsidRDefault="00245CE2" w:rsidP="00245CE2">
      <w:pPr>
        <w:pStyle w:val="References"/>
        <w:spacing w:after="120"/>
        <w:ind w:left="0" w:firstLine="0"/>
        <w:rPr>
          <w:noProof/>
        </w:rPr>
      </w:pPr>
      <w:r w:rsidRPr="00EB7E14">
        <w:rPr>
          <w:noProof/>
        </w:rPr>
        <w:t>D</w:t>
      </w:r>
      <w:r w:rsidR="00362125">
        <w:rPr>
          <w:noProof/>
        </w:rPr>
        <w:t xml:space="preserve">epartment of </w:t>
      </w:r>
      <w:r w:rsidRPr="00EB7E14">
        <w:rPr>
          <w:noProof/>
        </w:rPr>
        <w:t>H</w:t>
      </w:r>
      <w:r w:rsidR="00362125">
        <w:rPr>
          <w:noProof/>
        </w:rPr>
        <w:t xml:space="preserve">ealth and </w:t>
      </w:r>
      <w:r w:rsidRPr="00EB7E14">
        <w:rPr>
          <w:noProof/>
        </w:rPr>
        <w:t>A</w:t>
      </w:r>
      <w:r w:rsidR="00362125">
        <w:rPr>
          <w:noProof/>
        </w:rPr>
        <w:t xml:space="preserve">ged </w:t>
      </w:r>
      <w:r w:rsidRPr="00EB7E14">
        <w:rPr>
          <w:noProof/>
        </w:rPr>
        <w:t>C</w:t>
      </w:r>
      <w:r w:rsidR="00362125">
        <w:rPr>
          <w:noProof/>
        </w:rPr>
        <w:t>are</w:t>
      </w:r>
      <w:r w:rsidRPr="00EB7E14">
        <w:rPr>
          <w:noProof/>
        </w:rPr>
        <w:t xml:space="preserve">. (2017). </w:t>
      </w:r>
      <w:r w:rsidRPr="00EB7E14">
        <w:rPr>
          <w:i/>
          <w:noProof/>
        </w:rPr>
        <w:t>Prostheses List - Guide to listing and setting benefits for prostheses</w:t>
      </w:r>
      <w:r w:rsidRPr="00EB7E14">
        <w:rPr>
          <w:noProof/>
        </w:rPr>
        <w:t>. Australian Government Department of Health and Aged Care</w:t>
      </w:r>
      <w:r w:rsidR="00362125">
        <w:rPr>
          <w:noProof/>
        </w:rPr>
        <w:t>.</w:t>
      </w:r>
      <w:r w:rsidRPr="00EB7E14">
        <w:rPr>
          <w:noProof/>
        </w:rPr>
        <w:t xml:space="preserve"> Retrieved from</w:t>
      </w:r>
      <w:r w:rsidR="00362125">
        <w:rPr>
          <w:noProof/>
        </w:rPr>
        <w:t>:</w:t>
      </w:r>
      <w:r w:rsidRPr="00EB7E14">
        <w:rPr>
          <w:noProof/>
        </w:rPr>
        <w:t xml:space="preserve"> </w:t>
      </w:r>
      <w:hyperlink r:id="rId30" w:tooltip="This link goes to the Prostheses List Guide to listing and setting benefits for prostheses" w:history="1">
        <w:r w:rsidR="00362125" w:rsidRPr="00D74CF3">
          <w:rPr>
            <w:rStyle w:val="Hyperlink"/>
          </w:rPr>
          <w:t>https://www.health.gov.au/resources/publications/prostheses-list-guide</w:t>
        </w:r>
      </w:hyperlink>
      <w:r w:rsidR="00362125">
        <w:t xml:space="preserve"> </w:t>
      </w:r>
    </w:p>
    <w:p w14:paraId="70751645" w14:textId="2157F2B7" w:rsidR="00245CE2" w:rsidRPr="00EB7E14" w:rsidRDefault="00245CE2" w:rsidP="00245CE2">
      <w:pPr>
        <w:pStyle w:val="References"/>
        <w:spacing w:after="120"/>
        <w:ind w:left="0" w:firstLine="0"/>
        <w:rPr>
          <w:noProof/>
        </w:rPr>
      </w:pPr>
      <w:r w:rsidRPr="00EB7E14">
        <w:rPr>
          <w:noProof/>
        </w:rPr>
        <w:t xml:space="preserve">Harding, C., Lapitan, M. C. M., Arlandis, S., et al. (2023). EAU Guidelines on Management of Non-Neurogenic Female Lower Urinary Tract Symptoms. </w:t>
      </w:r>
      <w:r w:rsidR="00E27997">
        <w:rPr>
          <w:noProof/>
        </w:rPr>
        <w:t xml:space="preserve">Retrieved from: </w:t>
      </w:r>
      <w:hyperlink r:id="rId31" w:tooltip="This link goes to the EAU Guidelines on management of non-neurogenic female lower urinary tract symptoms" w:history="1">
        <w:r w:rsidR="00CB212D" w:rsidRPr="00D74CF3">
          <w:rPr>
            <w:rStyle w:val="Hyperlink"/>
          </w:rPr>
          <w:t>https://uroweb.org/guidelines/non-neurogenic-female-luts</w:t>
        </w:r>
      </w:hyperlink>
      <w:r w:rsidR="00E27997">
        <w:t xml:space="preserve"> </w:t>
      </w:r>
      <w:r w:rsidRPr="00EB7E14">
        <w:rPr>
          <w:noProof/>
        </w:rPr>
        <w:t xml:space="preserve"> </w:t>
      </w:r>
    </w:p>
    <w:p w14:paraId="56E44742" w14:textId="3D888FDD" w:rsidR="00245CE2" w:rsidRPr="00EB7E14" w:rsidRDefault="00245CE2" w:rsidP="00245CE2">
      <w:pPr>
        <w:pStyle w:val="References"/>
        <w:spacing w:after="120"/>
        <w:ind w:left="0" w:firstLine="0"/>
        <w:rPr>
          <w:noProof/>
        </w:rPr>
      </w:pPr>
      <w:r w:rsidRPr="00EB7E14">
        <w:rPr>
          <w:noProof/>
        </w:rPr>
        <w:t>Higgins, J., &amp; Green, S. (2011). Cochrane Handbook for Systematic Reviews of Interventions Version 5.1.0. London: The Cochrane Collaboration.</w:t>
      </w:r>
    </w:p>
    <w:p w14:paraId="0E8E81ED" w14:textId="77777777" w:rsidR="00245CE2" w:rsidRPr="00EB7E14" w:rsidRDefault="00245CE2" w:rsidP="00245CE2">
      <w:pPr>
        <w:pStyle w:val="References"/>
        <w:spacing w:after="120"/>
        <w:ind w:left="0" w:firstLine="0"/>
        <w:rPr>
          <w:noProof/>
        </w:rPr>
      </w:pPr>
      <w:r w:rsidRPr="00EB7E14">
        <w:rPr>
          <w:noProof/>
        </w:rPr>
        <w:t xml:space="preserve">Huang, W. C., Lau, H. H., &amp; Su, T. H. (2018). Did surgical failure and complications affect incontinence-related quality of life in women after transobturator sling procedure? </w:t>
      </w:r>
      <w:r w:rsidRPr="00EB7E14">
        <w:rPr>
          <w:i/>
          <w:noProof/>
        </w:rPr>
        <w:t>Taiwan J Obstet Gynecol</w:t>
      </w:r>
      <w:r w:rsidRPr="00EB7E14">
        <w:rPr>
          <w:noProof/>
        </w:rPr>
        <w:t>,</w:t>
      </w:r>
      <w:r w:rsidRPr="00EB7E14">
        <w:rPr>
          <w:i/>
          <w:noProof/>
        </w:rPr>
        <w:t xml:space="preserve"> 57</w:t>
      </w:r>
      <w:r w:rsidRPr="00EB7E14">
        <w:rPr>
          <w:noProof/>
        </w:rPr>
        <w:t xml:space="preserve">(2), 295-299. </w:t>
      </w:r>
      <w:r w:rsidRPr="00245CE2">
        <w:t>https://doi.org/10.1016/j.tjog.2018.02.020</w:t>
      </w:r>
      <w:r w:rsidRPr="00EB7E14">
        <w:rPr>
          <w:noProof/>
        </w:rPr>
        <w:t xml:space="preserve"> </w:t>
      </w:r>
    </w:p>
    <w:p w14:paraId="0C1B1780" w14:textId="18AB1B72" w:rsidR="00245CE2" w:rsidRPr="00EB7E14" w:rsidRDefault="00245CE2" w:rsidP="00245CE2">
      <w:pPr>
        <w:pStyle w:val="References"/>
        <w:spacing w:after="120"/>
        <w:ind w:left="0" w:firstLine="0"/>
        <w:rPr>
          <w:noProof/>
        </w:rPr>
      </w:pPr>
      <w:r w:rsidRPr="00EB7E14">
        <w:rPr>
          <w:noProof/>
        </w:rPr>
        <w:t xml:space="preserve">International Urogynecological Association (2014). </w:t>
      </w:r>
      <w:r w:rsidRPr="00EB7E14">
        <w:rPr>
          <w:i/>
          <w:noProof/>
        </w:rPr>
        <w:t>Position Statement on Mid-Urethral Slings for Stress Urinary Incontinence.</w:t>
      </w:r>
      <w:r w:rsidRPr="00EB7E14">
        <w:rPr>
          <w:noProof/>
        </w:rPr>
        <w:t xml:space="preserve"> </w:t>
      </w:r>
      <w:r w:rsidR="00163462">
        <w:rPr>
          <w:noProof/>
        </w:rPr>
        <w:t xml:space="preserve">Retrieved from: </w:t>
      </w:r>
      <w:hyperlink r:id="rId32" w:tooltip="This link opens a PDF of the International Urogynecological Association position statement on mid-urethral slings for stress urinary incontinence" w:history="1">
        <w:r w:rsidR="00163462" w:rsidRPr="00D74CF3">
          <w:rPr>
            <w:rStyle w:val="Hyperlink"/>
          </w:rPr>
          <w:t>https://www.iuga.org/files/48/Position-Statements/6/Position-Statement-on-Mid-Urethral-Slings-for-SUI.pdf</w:t>
        </w:r>
      </w:hyperlink>
      <w:r w:rsidR="00163462">
        <w:t xml:space="preserve"> </w:t>
      </w:r>
    </w:p>
    <w:p w14:paraId="06613809" w14:textId="77777777" w:rsidR="00245CE2" w:rsidRPr="00EB7E14" w:rsidRDefault="00245CE2" w:rsidP="00245CE2">
      <w:pPr>
        <w:pStyle w:val="References"/>
        <w:spacing w:after="120"/>
        <w:ind w:left="0" w:firstLine="0"/>
        <w:rPr>
          <w:noProof/>
        </w:rPr>
      </w:pPr>
      <w:r w:rsidRPr="00EB7E14">
        <w:rPr>
          <w:noProof/>
        </w:rPr>
        <w:t xml:space="preserve">Javanbakht, M., Moloney, E., Brazzelli, M., et al. (2020a). Surgical treatments for women with stress urinary incontinence: A systematic review of economic evidence [Review]. </w:t>
      </w:r>
      <w:r w:rsidRPr="00EB7E14">
        <w:rPr>
          <w:i/>
          <w:noProof/>
        </w:rPr>
        <w:t>Systematic Reviews</w:t>
      </w:r>
      <w:r w:rsidRPr="00EB7E14">
        <w:rPr>
          <w:noProof/>
        </w:rPr>
        <w:t>,</w:t>
      </w:r>
      <w:r w:rsidRPr="00EB7E14">
        <w:rPr>
          <w:i/>
          <w:noProof/>
        </w:rPr>
        <w:t xml:space="preserve"> 9</w:t>
      </w:r>
      <w:r w:rsidRPr="00EB7E14">
        <w:rPr>
          <w:noProof/>
        </w:rPr>
        <w:t xml:space="preserve">(1). </w:t>
      </w:r>
      <w:r w:rsidRPr="00245CE2">
        <w:t>https://doi.org/10.1186/s13643-020-01352-3</w:t>
      </w:r>
      <w:r w:rsidRPr="00EB7E14">
        <w:rPr>
          <w:noProof/>
        </w:rPr>
        <w:t xml:space="preserve"> </w:t>
      </w:r>
    </w:p>
    <w:p w14:paraId="5AAF5D07" w14:textId="77777777" w:rsidR="00245CE2" w:rsidRPr="00EB7E14" w:rsidRDefault="00245CE2" w:rsidP="00245CE2">
      <w:pPr>
        <w:pStyle w:val="References"/>
        <w:spacing w:after="120"/>
        <w:ind w:left="0" w:firstLine="0"/>
        <w:rPr>
          <w:noProof/>
        </w:rPr>
      </w:pPr>
      <w:r w:rsidRPr="00EB7E14">
        <w:rPr>
          <w:noProof/>
        </w:rPr>
        <w:t xml:space="preserve">Javanbakht, M., Moloney, E., Brazzelli, M., et al. (2020b). Economic evaluation of surgical treatments for women with stress urinary incontinence: A cost-utility and value of information analysis [Article]. </w:t>
      </w:r>
      <w:r w:rsidRPr="00EB7E14">
        <w:rPr>
          <w:i/>
          <w:noProof/>
        </w:rPr>
        <w:t>BMJ Open</w:t>
      </w:r>
      <w:r w:rsidRPr="00EB7E14">
        <w:rPr>
          <w:noProof/>
        </w:rPr>
        <w:t>,</w:t>
      </w:r>
      <w:r w:rsidRPr="00EB7E14">
        <w:rPr>
          <w:i/>
          <w:noProof/>
        </w:rPr>
        <w:t xml:space="preserve"> 10</w:t>
      </w:r>
      <w:r w:rsidRPr="00EB7E14">
        <w:rPr>
          <w:noProof/>
        </w:rPr>
        <w:t xml:space="preserve">(6). </w:t>
      </w:r>
      <w:r w:rsidRPr="00245CE2">
        <w:t>https://doi.org/10.1136/bmjopen-2019-035555</w:t>
      </w:r>
      <w:r w:rsidRPr="00EB7E14">
        <w:rPr>
          <w:noProof/>
        </w:rPr>
        <w:t xml:space="preserve"> </w:t>
      </w:r>
    </w:p>
    <w:p w14:paraId="1490B262" w14:textId="77777777" w:rsidR="00245CE2" w:rsidRPr="00EB7E14" w:rsidRDefault="00245CE2" w:rsidP="00245CE2">
      <w:pPr>
        <w:pStyle w:val="References"/>
        <w:spacing w:after="120"/>
        <w:ind w:left="0" w:firstLine="0"/>
        <w:rPr>
          <w:noProof/>
        </w:rPr>
      </w:pPr>
      <w:r w:rsidRPr="00EB7E14">
        <w:rPr>
          <w:noProof/>
        </w:rPr>
        <w:t xml:space="preserve">Jia, X., Wang, R., Hall, C., et al. (2023). Cost-effectiveness Analysis: Autologous Rectus Fascial Sling Versus Retropubic Midurethral Sling for Female Stress Urinary Incontinence. </w:t>
      </w:r>
      <w:r w:rsidRPr="00EB7E14">
        <w:rPr>
          <w:i/>
          <w:noProof/>
        </w:rPr>
        <w:t>Urogynecology (Phila)</w:t>
      </w:r>
      <w:r w:rsidRPr="00EB7E14">
        <w:rPr>
          <w:noProof/>
        </w:rPr>
        <w:t>,</w:t>
      </w:r>
      <w:r w:rsidRPr="00EB7E14">
        <w:rPr>
          <w:i/>
          <w:noProof/>
        </w:rPr>
        <w:t xml:space="preserve"> 29</w:t>
      </w:r>
      <w:r w:rsidRPr="00EB7E14">
        <w:rPr>
          <w:noProof/>
        </w:rPr>
        <w:t xml:space="preserve">(2), 104-112. </w:t>
      </w:r>
      <w:r w:rsidRPr="00245CE2">
        <w:t>https://doi.org/10.1097/spv.0000000000001292</w:t>
      </w:r>
      <w:r w:rsidRPr="00EB7E14">
        <w:rPr>
          <w:noProof/>
        </w:rPr>
        <w:t xml:space="preserve"> </w:t>
      </w:r>
    </w:p>
    <w:p w14:paraId="0E180F1B" w14:textId="77777777" w:rsidR="00245CE2" w:rsidRPr="00EB7E14" w:rsidRDefault="00245CE2" w:rsidP="00245CE2">
      <w:pPr>
        <w:pStyle w:val="References"/>
        <w:spacing w:after="120"/>
        <w:ind w:left="0" w:firstLine="0"/>
        <w:rPr>
          <w:noProof/>
        </w:rPr>
      </w:pPr>
      <w:r w:rsidRPr="00EB7E14">
        <w:rPr>
          <w:noProof/>
        </w:rPr>
        <w:lastRenderedPageBreak/>
        <w:t xml:space="preserve">Karmakar, D., Dwyer, P. L., Murray, C., et al. (2021). Long-term effectiveness and safety of open Burch colposuspension vs retropubic midurethral sling for stress urinary incontinence-results from a large comparative study. </w:t>
      </w:r>
      <w:r w:rsidRPr="00EB7E14">
        <w:rPr>
          <w:i/>
          <w:noProof/>
        </w:rPr>
        <w:t>Am J Obstet Gynecol</w:t>
      </w:r>
      <w:r w:rsidRPr="00EB7E14">
        <w:rPr>
          <w:noProof/>
        </w:rPr>
        <w:t>,</w:t>
      </w:r>
      <w:r w:rsidRPr="00EB7E14">
        <w:rPr>
          <w:i/>
          <w:noProof/>
        </w:rPr>
        <w:t xml:space="preserve"> 224</w:t>
      </w:r>
      <w:r w:rsidRPr="00EB7E14">
        <w:rPr>
          <w:noProof/>
        </w:rPr>
        <w:t xml:space="preserve">(6), 593.e591-593.e598. </w:t>
      </w:r>
      <w:r w:rsidRPr="00245CE2">
        <w:t>https://doi.org/10.1016/j.ajog.2020.11.043</w:t>
      </w:r>
      <w:r w:rsidRPr="00EB7E14">
        <w:rPr>
          <w:noProof/>
        </w:rPr>
        <w:t xml:space="preserve"> </w:t>
      </w:r>
    </w:p>
    <w:p w14:paraId="4C082672" w14:textId="77777777" w:rsidR="00245CE2" w:rsidRPr="00EB7E14" w:rsidRDefault="00245CE2" w:rsidP="00245CE2">
      <w:pPr>
        <w:pStyle w:val="References"/>
        <w:spacing w:after="120"/>
        <w:ind w:left="0" w:firstLine="0"/>
        <w:rPr>
          <w:noProof/>
        </w:rPr>
      </w:pPr>
      <w:r w:rsidRPr="00EB7E14">
        <w:rPr>
          <w:noProof/>
        </w:rPr>
        <w:t xml:space="preserve">Keltie, K., Elneil, S., Monga, A., et al. (2017). Complications following vaginal mesh procedures for stress urinary incontinence: an 8 year study of 92,246 women. </w:t>
      </w:r>
      <w:r w:rsidRPr="00EB7E14">
        <w:rPr>
          <w:i/>
          <w:noProof/>
        </w:rPr>
        <w:t>Sci Rep</w:t>
      </w:r>
      <w:r w:rsidRPr="00EB7E14">
        <w:rPr>
          <w:noProof/>
        </w:rPr>
        <w:t>,</w:t>
      </w:r>
      <w:r w:rsidRPr="00EB7E14">
        <w:rPr>
          <w:i/>
          <w:noProof/>
        </w:rPr>
        <w:t xml:space="preserve"> 7</w:t>
      </w:r>
      <w:r w:rsidRPr="00EB7E14">
        <w:rPr>
          <w:noProof/>
        </w:rPr>
        <w:t xml:space="preserve">(1), 12015. </w:t>
      </w:r>
      <w:r w:rsidRPr="00245CE2">
        <w:t>https://doi.org/10.1038/s41598-017-11821-w</w:t>
      </w:r>
      <w:r w:rsidRPr="00EB7E14">
        <w:rPr>
          <w:noProof/>
        </w:rPr>
        <w:t xml:space="preserve"> </w:t>
      </w:r>
    </w:p>
    <w:p w14:paraId="6FB7C09F" w14:textId="77777777" w:rsidR="00245CE2" w:rsidRPr="00EB7E14" w:rsidRDefault="00245CE2" w:rsidP="00245CE2">
      <w:pPr>
        <w:pStyle w:val="References"/>
        <w:spacing w:after="120"/>
        <w:ind w:left="0" w:firstLine="0"/>
        <w:rPr>
          <w:noProof/>
        </w:rPr>
      </w:pPr>
      <w:r w:rsidRPr="00EB7E14">
        <w:rPr>
          <w:noProof/>
        </w:rPr>
        <w:t xml:space="preserve">Kim, A., Kim, S., &amp; Kim, H. G. (2020). Current Overview of Surgical Options for Female Stress Urinary Incontinence. </w:t>
      </w:r>
      <w:r w:rsidRPr="00EB7E14">
        <w:rPr>
          <w:i/>
          <w:noProof/>
        </w:rPr>
        <w:t>Int Neurourol J</w:t>
      </w:r>
      <w:r w:rsidRPr="00EB7E14">
        <w:rPr>
          <w:noProof/>
        </w:rPr>
        <w:t>,</w:t>
      </w:r>
      <w:r w:rsidRPr="00EB7E14">
        <w:rPr>
          <w:i/>
          <w:noProof/>
        </w:rPr>
        <w:t xml:space="preserve"> 24</w:t>
      </w:r>
      <w:r w:rsidRPr="00EB7E14">
        <w:rPr>
          <w:noProof/>
        </w:rPr>
        <w:t xml:space="preserve">(3), 222-230. </w:t>
      </w:r>
      <w:r w:rsidRPr="00245CE2">
        <w:t>https://doi.org/10.5213/inj.2040052.026</w:t>
      </w:r>
      <w:r w:rsidRPr="00EB7E14">
        <w:rPr>
          <w:noProof/>
        </w:rPr>
        <w:t xml:space="preserve"> </w:t>
      </w:r>
    </w:p>
    <w:p w14:paraId="77659276" w14:textId="77777777" w:rsidR="00245CE2" w:rsidRPr="00EB7E14" w:rsidRDefault="00245CE2" w:rsidP="00245CE2">
      <w:pPr>
        <w:pStyle w:val="References"/>
        <w:spacing w:after="120"/>
        <w:ind w:left="0" w:firstLine="0"/>
        <w:rPr>
          <w:noProof/>
        </w:rPr>
      </w:pPr>
      <w:r w:rsidRPr="00EB7E14">
        <w:rPr>
          <w:noProof/>
        </w:rPr>
        <w:t xml:space="preserve">Kunkle, C. M., Hallock, J. L., Hu, X., et al. (2015). Cost utility analysis of urethral bulking agents versus midurethral sling in stress urinary incontinence [Article]. </w:t>
      </w:r>
      <w:r w:rsidRPr="00EB7E14">
        <w:rPr>
          <w:i/>
          <w:noProof/>
        </w:rPr>
        <w:t>Female Pelvic Medicine and Reconstructive Surgery</w:t>
      </w:r>
      <w:r w:rsidRPr="00EB7E14">
        <w:rPr>
          <w:noProof/>
        </w:rPr>
        <w:t>,</w:t>
      </w:r>
      <w:r w:rsidRPr="00EB7E14">
        <w:rPr>
          <w:i/>
          <w:noProof/>
        </w:rPr>
        <w:t xml:space="preserve"> 21</w:t>
      </w:r>
      <w:r w:rsidRPr="00EB7E14">
        <w:rPr>
          <w:noProof/>
        </w:rPr>
        <w:t xml:space="preserve">(3), 154-159. </w:t>
      </w:r>
      <w:r w:rsidRPr="00245CE2">
        <w:t>https://doi.org/10.1097/SPV.0000000000000173</w:t>
      </w:r>
      <w:r w:rsidRPr="00EB7E14">
        <w:rPr>
          <w:noProof/>
        </w:rPr>
        <w:t xml:space="preserve"> </w:t>
      </w:r>
    </w:p>
    <w:p w14:paraId="0EB0BF11" w14:textId="77777777" w:rsidR="00245CE2" w:rsidRPr="00EB7E14" w:rsidRDefault="00245CE2" w:rsidP="00245CE2">
      <w:pPr>
        <w:pStyle w:val="References"/>
        <w:spacing w:after="120"/>
        <w:ind w:left="0" w:firstLine="0"/>
        <w:rPr>
          <w:noProof/>
        </w:rPr>
      </w:pPr>
      <w:r w:rsidRPr="00EB7E14">
        <w:rPr>
          <w:noProof/>
        </w:rPr>
        <w:t xml:space="preserve">Lau, H.-H., Davila, G. W., Chen, Y.-Y., et al. (2023). FIGO recommendations: Use of midurethral slings for the treatment of stress urinary incontinence. </w:t>
      </w:r>
      <w:r w:rsidRPr="00EB7E14">
        <w:rPr>
          <w:i/>
          <w:noProof/>
        </w:rPr>
        <w:t>International Journal of Gynecology &amp; Obstetrics</w:t>
      </w:r>
      <w:r w:rsidRPr="00EB7E14">
        <w:rPr>
          <w:noProof/>
        </w:rPr>
        <w:t>,</w:t>
      </w:r>
      <w:r w:rsidRPr="00EB7E14">
        <w:rPr>
          <w:i/>
          <w:noProof/>
        </w:rPr>
        <w:t xml:space="preserve"> 161</w:t>
      </w:r>
      <w:r w:rsidRPr="00EB7E14">
        <w:rPr>
          <w:noProof/>
        </w:rPr>
        <w:t xml:space="preserve">(2), 367-385. </w:t>
      </w:r>
      <w:r w:rsidRPr="00245CE2">
        <w:t>https://doi.org/https://doi.org/10.1002/ijgo.14683</w:t>
      </w:r>
      <w:r w:rsidRPr="00EB7E14">
        <w:rPr>
          <w:noProof/>
        </w:rPr>
        <w:t xml:space="preserve"> </w:t>
      </w:r>
    </w:p>
    <w:p w14:paraId="2D9EAEF1" w14:textId="77777777" w:rsidR="00245CE2" w:rsidRPr="00EB7E14" w:rsidRDefault="00245CE2" w:rsidP="00245CE2">
      <w:pPr>
        <w:pStyle w:val="References"/>
        <w:spacing w:after="120"/>
        <w:ind w:left="0" w:firstLine="0"/>
        <w:rPr>
          <w:noProof/>
        </w:rPr>
      </w:pPr>
      <w:r w:rsidRPr="00EB7E14">
        <w:rPr>
          <w:noProof/>
        </w:rPr>
        <w:t xml:space="preserve">Laudano, M. A., Seklehner, S., Chughtai, B., et al. (2013). Cost-effectiveness analysis of tension-free vaginal tape vs burch colposuspension for female stress urinary incontinence in the USA [Article]. </w:t>
      </w:r>
      <w:r w:rsidRPr="00EB7E14">
        <w:rPr>
          <w:i/>
          <w:noProof/>
        </w:rPr>
        <w:t>BJU International</w:t>
      </w:r>
      <w:r w:rsidRPr="00EB7E14">
        <w:rPr>
          <w:noProof/>
        </w:rPr>
        <w:t>,</w:t>
      </w:r>
      <w:r w:rsidRPr="00EB7E14">
        <w:rPr>
          <w:i/>
          <w:noProof/>
        </w:rPr>
        <w:t xml:space="preserve"> 112</w:t>
      </w:r>
      <w:r w:rsidRPr="00EB7E14">
        <w:rPr>
          <w:noProof/>
        </w:rPr>
        <w:t xml:space="preserve">(2), E151-E158. </w:t>
      </w:r>
      <w:r w:rsidRPr="00245CE2">
        <w:t>https://doi.org/10.1111/bju.12180</w:t>
      </w:r>
      <w:r w:rsidRPr="00EB7E14">
        <w:rPr>
          <w:noProof/>
        </w:rPr>
        <w:t xml:space="preserve"> </w:t>
      </w:r>
    </w:p>
    <w:p w14:paraId="3BAA1D22" w14:textId="77777777" w:rsidR="00245CE2" w:rsidRPr="00EB7E14" w:rsidRDefault="00245CE2" w:rsidP="00245CE2">
      <w:pPr>
        <w:pStyle w:val="References"/>
        <w:spacing w:after="120"/>
        <w:ind w:left="0" w:firstLine="0"/>
        <w:rPr>
          <w:noProof/>
        </w:rPr>
      </w:pPr>
      <w:r w:rsidRPr="00EB7E14">
        <w:rPr>
          <w:noProof/>
        </w:rPr>
        <w:t xml:space="preserve">Lier, D., Robert, M., Tang, S., et al. (2017). Surgical treatment of stress urinary incontinence–trans-obturator tape compared with tension-free vaginal tape–5-year follow up: an economic evaluation [Article]. </w:t>
      </w:r>
      <w:r w:rsidRPr="00EB7E14">
        <w:rPr>
          <w:i/>
          <w:noProof/>
        </w:rPr>
        <w:t>BJOG: An International Journal of Obstetrics and Gynaecology</w:t>
      </w:r>
      <w:r w:rsidRPr="00EB7E14">
        <w:rPr>
          <w:noProof/>
        </w:rPr>
        <w:t>,</w:t>
      </w:r>
      <w:r w:rsidRPr="00EB7E14">
        <w:rPr>
          <w:i/>
          <w:noProof/>
        </w:rPr>
        <w:t xml:space="preserve"> 124</w:t>
      </w:r>
      <w:r w:rsidRPr="00EB7E14">
        <w:rPr>
          <w:noProof/>
        </w:rPr>
        <w:t xml:space="preserve">(9), 1431-1439. </w:t>
      </w:r>
      <w:r w:rsidRPr="00245CE2">
        <w:t>https://doi.org/10.1111/1471-0528.14227</w:t>
      </w:r>
      <w:r w:rsidRPr="00EB7E14">
        <w:rPr>
          <w:noProof/>
        </w:rPr>
        <w:t xml:space="preserve"> </w:t>
      </w:r>
    </w:p>
    <w:p w14:paraId="082C6311" w14:textId="77777777" w:rsidR="00245CE2" w:rsidRPr="00EB7E14" w:rsidRDefault="00245CE2" w:rsidP="00245CE2">
      <w:pPr>
        <w:pStyle w:val="References"/>
        <w:spacing w:after="120"/>
        <w:ind w:left="0" w:firstLine="0"/>
        <w:rPr>
          <w:noProof/>
        </w:rPr>
      </w:pPr>
      <w:r w:rsidRPr="00EB7E14">
        <w:rPr>
          <w:noProof/>
        </w:rPr>
        <w:t xml:space="preserve">Lier, D., Ross, S., Tang, S., et al. (2011). Trans-obturator tape compared with tension-free vaginal tape in the surgical treatment of stress urinary incontinence: a cost utility analysis. </w:t>
      </w:r>
      <w:r w:rsidRPr="00EB7E14">
        <w:rPr>
          <w:i/>
          <w:noProof/>
        </w:rPr>
        <w:t>BJOG</w:t>
      </w:r>
      <w:r w:rsidRPr="00EB7E14">
        <w:rPr>
          <w:noProof/>
        </w:rPr>
        <w:t>,</w:t>
      </w:r>
      <w:r w:rsidRPr="00EB7E14">
        <w:rPr>
          <w:i/>
          <w:noProof/>
        </w:rPr>
        <w:t xml:space="preserve"> 118</w:t>
      </w:r>
      <w:r w:rsidRPr="00EB7E14">
        <w:rPr>
          <w:noProof/>
        </w:rPr>
        <w:t xml:space="preserve">(5), 550-556. </w:t>
      </w:r>
      <w:r w:rsidRPr="00245CE2">
        <w:t>https://doi.org/10.1111/j.1471-0528.2010.02845.x</w:t>
      </w:r>
      <w:r w:rsidRPr="00EB7E14">
        <w:rPr>
          <w:noProof/>
        </w:rPr>
        <w:t xml:space="preserve"> </w:t>
      </w:r>
    </w:p>
    <w:p w14:paraId="29E1421E" w14:textId="360F01FA" w:rsidR="00245CE2" w:rsidRPr="00EB7E14" w:rsidRDefault="00245CE2" w:rsidP="00245CE2">
      <w:pPr>
        <w:pStyle w:val="References"/>
        <w:spacing w:after="120"/>
        <w:ind w:left="0" w:firstLine="0"/>
        <w:rPr>
          <w:noProof/>
        </w:rPr>
      </w:pPr>
      <w:r w:rsidRPr="00EB7E14">
        <w:rPr>
          <w:noProof/>
        </w:rPr>
        <w:t xml:space="preserve">National Institute for Health and Care Excellence (2013). </w:t>
      </w:r>
      <w:r w:rsidRPr="00EB7E14">
        <w:rPr>
          <w:i/>
          <w:noProof/>
        </w:rPr>
        <w:t>Guide to the methods of technology appraisal.</w:t>
      </w:r>
      <w:r w:rsidR="006D349C">
        <w:rPr>
          <w:i/>
          <w:noProof/>
        </w:rPr>
        <w:t xml:space="preserve"> </w:t>
      </w:r>
      <w:hyperlink r:id="rId33" w:tooltip="This link goes to the NICE Guide to the methods of technology appraisal 2013" w:history="1">
        <w:r w:rsidR="00F83D15" w:rsidRPr="00D74CF3">
          <w:rPr>
            <w:rStyle w:val="Hyperlink"/>
          </w:rPr>
          <w:t>https://www.nice.org.uk/process/pmg9</w:t>
        </w:r>
      </w:hyperlink>
      <w:r w:rsidR="00F83D15">
        <w:t xml:space="preserve"> </w:t>
      </w:r>
    </w:p>
    <w:p w14:paraId="41B2428E" w14:textId="370BD280" w:rsidR="00245CE2" w:rsidRPr="00EB7E14" w:rsidRDefault="00245CE2" w:rsidP="00245CE2">
      <w:pPr>
        <w:pStyle w:val="References"/>
        <w:spacing w:after="120"/>
        <w:ind w:left="0" w:firstLine="0"/>
        <w:rPr>
          <w:noProof/>
        </w:rPr>
      </w:pPr>
      <w:r w:rsidRPr="00EB7E14">
        <w:rPr>
          <w:noProof/>
        </w:rPr>
        <w:t xml:space="preserve">National Institute for Health and Care Excellence (2019a). </w:t>
      </w:r>
      <w:r w:rsidRPr="00EB7E14">
        <w:rPr>
          <w:i/>
          <w:noProof/>
        </w:rPr>
        <w:t>Surgery for stress urinary incontinence. Patient decision aid.</w:t>
      </w:r>
      <w:r w:rsidRPr="00EB7E14">
        <w:rPr>
          <w:noProof/>
        </w:rPr>
        <w:t xml:space="preserve"> </w:t>
      </w:r>
      <w:r w:rsidR="00F83D15">
        <w:rPr>
          <w:noProof/>
        </w:rPr>
        <w:t xml:space="preserve">Retrieved from: </w:t>
      </w:r>
      <w:hyperlink r:id="rId34" w:tooltip="This link goes to the NICE patient decision aid on surgery for stress urinary incontinence" w:history="1">
        <w:r w:rsidR="00F83D15" w:rsidRPr="00D74CF3">
          <w:rPr>
            <w:rStyle w:val="Hyperlink"/>
          </w:rPr>
          <w:t>https://www.nice.org.uk/guidance/ng123/resources/surgery-for-stress-urinary-incontinence-patient-decision-aid-pdf-6725286110</w:t>
        </w:r>
      </w:hyperlink>
      <w:r w:rsidR="00F83D15">
        <w:t xml:space="preserve"> </w:t>
      </w:r>
    </w:p>
    <w:p w14:paraId="6EB00A44" w14:textId="570527DD" w:rsidR="00245CE2" w:rsidRPr="00EB7E14" w:rsidRDefault="00245CE2" w:rsidP="00245CE2">
      <w:pPr>
        <w:pStyle w:val="References"/>
        <w:spacing w:after="120"/>
        <w:ind w:left="0" w:firstLine="0"/>
        <w:rPr>
          <w:noProof/>
        </w:rPr>
      </w:pPr>
      <w:r w:rsidRPr="00EB7E14">
        <w:rPr>
          <w:noProof/>
        </w:rPr>
        <w:t xml:space="preserve">National Institute for Health and Care Excellence (2019b). </w:t>
      </w:r>
      <w:r w:rsidRPr="00EB7E14">
        <w:rPr>
          <w:i/>
          <w:noProof/>
        </w:rPr>
        <w:t>Urinary incontinence and pelvic organ prolapse in women: management. [E] Evidence reviews for surgical and physical management of stress urinary incontinence.</w:t>
      </w:r>
      <w:r w:rsidRPr="00EB7E14">
        <w:rPr>
          <w:noProof/>
        </w:rPr>
        <w:t xml:space="preserve"> </w:t>
      </w:r>
      <w:r w:rsidR="005665FD">
        <w:rPr>
          <w:noProof/>
        </w:rPr>
        <w:t xml:space="preserve">Retrieved from: </w:t>
      </w:r>
      <w:hyperlink r:id="rId35" w:tooltip="This link goes to the NICE Evidence reviews for surgical and physical management of stress urinary incontinence" w:history="1">
        <w:r w:rsidR="005665FD" w:rsidRPr="00D74CF3">
          <w:rPr>
            <w:rStyle w:val="Hyperlink"/>
          </w:rPr>
          <w:t>https://www.nice.org.uk/guidance/ng123/evidence/e-surgical-and-physical-management-of-stress-urinary-incontinence-pdf-6725287410</w:t>
        </w:r>
      </w:hyperlink>
      <w:r w:rsidR="005665FD">
        <w:t xml:space="preserve"> </w:t>
      </w:r>
    </w:p>
    <w:p w14:paraId="7286B3E2" w14:textId="168EA443" w:rsidR="00245CE2" w:rsidRPr="00EB7E14" w:rsidRDefault="00245CE2" w:rsidP="00245CE2">
      <w:pPr>
        <w:pStyle w:val="References"/>
        <w:spacing w:after="120"/>
        <w:ind w:left="0" w:firstLine="0"/>
        <w:rPr>
          <w:noProof/>
        </w:rPr>
      </w:pPr>
      <w:r w:rsidRPr="00EB7E14">
        <w:rPr>
          <w:noProof/>
        </w:rPr>
        <w:t xml:space="preserve">National Institute of Health and Care Excellence (2019c). </w:t>
      </w:r>
      <w:r w:rsidRPr="00EB7E14">
        <w:rPr>
          <w:i/>
          <w:noProof/>
        </w:rPr>
        <w:t>Urinary incontinence and pelvic organ prolapse in women: management. NICE guideline [NG123].</w:t>
      </w:r>
      <w:r w:rsidRPr="00EB7E14">
        <w:rPr>
          <w:noProof/>
        </w:rPr>
        <w:t xml:space="preserve"> </w:t>
      </w:r>
      <w:r w:rsidR="005665FD">
        <w:rPr>
          <w:noProof/>
        </w:rPr>
        <w:t xml:space="preserve">Retrieved from: </w:t>
      </w:r>
      <w:hyperlink r:id="rId36" w:tooltip="This link goes to the NICE Guideline NG123 Urinary incontinence and pelvic organ prolapse in women: management" w:history="1">
        <w:r w:rsidR="005665FD" w:rsidRPr="00D74CF3">
          <w:rPr>
            <w:rStyle w:val="Hyperlink"/>
          </w:rPr>
          <w:t>www.nice.org.uk/guidance/ng123</w:t>
        </w:r>
      </w:hyperlink>
    </w:p>
    <w:p w14:paraId="34AFD592" w14:textId="2F0FD96C" w:rsidR="00245CE2" w:rsidRPr="00EB7E14" w:rsidRDefault="00245CE2" w:rsidP="00245CE2">
      <w:pPr>
        <w:pStyle w:val="References"/>
        <w:spacing w:after="120"/>
        <w:ind w:left="0" w:firstLine="0"/>
        <w:rPr>
          <w:noProof/>
        </w:rPr>
      </w:pPr>
      <w:r w:rsidRPr="00877E85">
        <w:rPr>
          <w:noProof/>
        </w:rPr>
        <w:t xml:space="preserve">American Urogynecologic Society (AUGS) and the Society for Urodynamics, Female Pelvic Medicine and Urogenital Reconstruction (SUFU) (2018). </w:t>
      </w:r>
      <w:r w:rsidRPr="00877E85">
        <w:rPr>
          <w:i/>
          <w:noProof/>
        </w:rPr>
        <w:t>Position Statement</w:t>
      </w:r>
      <w:r w:rsidR="006119B0">
        <w:rPr>
          <w:i/>
          <w:noProof/>
        </w:rPr>
        <w:t>.</w:t>
      </w:r>
      <w:r w:rsidRPr="00877E85">
        <w:rPr>
          <w:i/>
          <w:noProof/>
        </w:rPr>
        <w:t xml:space="preserve"> Mesh Midurethral Slings for Stress Urinary Incontinence.</w:t>
      </w:r>
      <w:r w:rsidRPr="00EB7E14">
        <w:rPr>
          <w:noProof/>
        </w:rPr>
        <w:t xml:space="preserve"> </w:t>
      </w:r>
      <w:r w:rsidR="00877E85">
        <w:rPr>
          <w:noProof/>
        </w:rPr>
        <w:t xml:space="preserve">Retrieved from: </w:t>
      </w:r>
      <w:hyperlink r:id="rId37" w:tooltip="This link goes to a PDF of the AUGS Position statement on mesh midurethral slings for stress urinary incontinence" w:history="1">
        <w:r w:rsidR="00877E85" w:rsidRPr="00D74CF3">
          <w:rPr>
            <w:rStyle w:val="Hyperlink"/>
            <w:noProof/>
          </w:rPr>
          <w:t>https://www.augs.org/assets/1/6/AUGS-SUFU_MUS_Position_Statement.pdf</w:t>
        </w:r>
      </w:hyperlink>
      <w:r w:rsidR="00877E85">
        <w:rPr>
          <w:noProof/>
        </w:rPr>
        <w:t xml:space="preserve"> </w:t>
      </w:r>
    </w:p>
    <w:p w14:paraId="58A10E3D" w14:textId="4D094514" w:rsidR="00245CE2" w:rsidRPr="00EB7E14" w:rsidRDefault="00245CE2" w:rsidP="00245CE2">
      <w:pPr>
        <w:pStyle w:val="References"/>
        <w:spacing w:after="120"/>
        <w:ind w:left="0" w:firstLine="0"/>
        <w:rPr>
          <w:noProof/>
        </w:rPr>
      </w:pPr>
      <w:r w:rsidRPr="00EB7E14">
        <w:rPr>
          <w:noProof/>
        </w:rPr>
        <w:t xml:space="preserve">Surgical Mesh Roundtable (2020). </w:t>
      </w:r>
      <w:r w:rsidRPr="00EB7E14">
        <w:rPr>
          <w:i/>
          <w:noProof/>
        </w:rPr>
        <w:t>Position Statement on the use of the transobturator approach in incontinence surgery.</w:t>
      </w:r>
      <w:r w:rsidRPr="00EB7E14">
        <w:rPr>
          <w:noProof/>
        </w:rPr>
        <w:t xml:space="preserve"> </w:t>
      </w:r>
      <w:r w:rsidR="00221FDB">
        <w:rPr>
          <w:noProof/>
        </w:rPr>
        <w:t xml:space="preserve">Retrieved from: </w:t>
      </w:r>
      <w:hyperlink r:id="rId38" w:tooltip="This link goes to a PDF of the Surgical Mesh Roundtable Position statement on the use of the transobturator approach in incontinence surgery" w:history="1">
        <w:r w:rsidR="00221FDB" w:rsidRPr="00D74CF3">
          <w:rPr>
            <w:rStyle w:val="Hyperlink"/>
          </w:rPr>
          <w:t>https://www.health.govt.nz/system/files/documents/pages/position_statement_on_the_use_of_the_transobturator_approach.pdf</w:t>
        </w:r>
      </w:hyperlink>
      <w:r w:rsidR="00221FDB">
        <w:t xml:space="preserve"> </w:t>
      </w:r>
    </w:p>
    <w:p w14:paraId="35AC2FF3" w14:textId="77777777" w:rsidR="00245CE2" w:rsidRPr="00EB7E14" w:rsidRDefault="00245CE2" w:rsidP="00245CE2">
      <w:pPr>
        <w:pStyle w:val="References"/>
        <w:spacing w:after="120"/>
        <w:ind w:left="0" w:firstLine="0"/>
        <w:rPr>
          <w:noProof/>
        </w:rPr>
      </w:pPr>
      <w:r w:rsidRPr="00EB7E14">
        <w:rPr>
          <w:noProof/>
        </w:rPr>
        <w:t xml:space="preserve">Punjani, N., Winick-Ng, J., &amp; Welk, B. (2017). Postoperative Urinary Retention and Urinary Tract Infections Predict Midurethral Sling Mesh Complications. </w:t>
      </w:r>
      <w:r w:rsidRPr="00EB7E14">
        <w:rPr>
          <w:i/>
          <w:noProof/>
        </w:rPr>
        <w:t>Urology</w:t>
      </w:r>
      <w:r w:rsidRPr="00EB7E14">
        <w:rPr>
          <w:noProof/>
        </w:rPr>
        <w:t>,</w:t>
      </w:r>
      <w:r w:rsidRPr="00EB7E14">
        <w:rPr>
          <w:i/>
          <w:noProof/>
        </w:rPr>
        <w:t xml:space="preserve"> 99</w:t>
      </w:r>
      <w:r w:rsidRPr="00EB7E14">
        <w:rPr>
          <w:noProof/>
        </w:rPr>
        <w:t xml:space="preserve">, 42-48. </w:t>
      </w:r>
      <w:r w:rsidRPr="00245CE2">
        <w:t>https://doi.org/10.1016/j.urology.2016.10.019</w:t>
      </w:r>
      <w:r w:rsidRPr="00EB7E14">
        <w:rPr>
          <w:noProof/>
        </w:rPr>
        <w:t xml:space="preserve"> </w:t>
      </w:r>
    </w:p>
    <w:p w14:paraId="29B8456F" w14:textId="1CB637A7" w:rsidR="00245CE2" w:rsidRPr="00EB7E14" w:rsidRDefault="00245CE2" w:rsidP="00245CE2">
      <w:pPr>
        <w:pStyle w:val="References"/>
        <w:spacing w:after="120"/>
        <w:ind w:left="0" w:firstLine="0"/>
        <w:rPr>
          <w:noProof/>
        </w:rPr>
      </w:pPr>
      <w:r w:rsidRPr="00EB7E14">
        <w:rPr>
          <w:noProof/>
        </w:rPr>
        <w:t xml:space="preserve">The Royal Australian and New Zealand College of Obstetricians and Gynaecologists (2020, amended 2022). </w:t>
      </w:r>
      <w:r w:rsidRPr="00EB7E14">
        <w:rPr>
          <w:i/>
          <w:noProof/>
        </w:rPr>
        <w:t>Position statement on midurethral slings.</w:t>
      </w:r>
      <w:r w:rsidRPr="00EB7E14">
        <w:rPr>
          <w:noProof/>
        </w:rPr>
        <w:t xml:space="preserve"> </w:t>
      </w:r>
      <w:r w:rsidR="00221FDB">
        <w:rPr>
          <w:noProof/>
        </w:rPr>
        <w:t xml:space="preserve">Retrieved from: </w:t>
      </w:r>
      <w:hyperlink r:id="rId39" w:tooltip="This link opens a PDF of the RANZCOG position statement on midurethral slings" w:history="1">
        <w:r w:rsidR="00221FDB" w:rsidRPr="00D74CF3">
          <w:rPr>
            <w:rStyle w:val="Hyperlink"/>
          </w:rPr>
          <w:t>https://ranzcog.edu.au/wp-content/uploads/2022/05/Position-statement-on-midurethral-slings.pdf</w:t>
        </w:r>
      </w:hyperlink>
      <w:r w:rsidR="00221FDB">
        <w:t xml:space="preserve"> </w:t>
      </w:r>
    </w:p>
    <w:p w14:paraId="1D4C8A18" w14:textId="77777777" w:rsidR="00245CE2" w:rsidRPr="00EB7E14" w:rsidRDefault="00245CE2" w:rsidP="00245CE2">
      <w:pPr>
        <w:pStyle w:val="References"/>
        <w:spacing w:after="120"/>
        <w:ind w:left="0" w:firstLine="0"/>
        <w:rPr>
          <w:noProof/>
        </w:rPr>
      </w:pPr>
      <w:r w:rsidRPr="00EB7E14">
        <w:rPr>
          <w:noProof/>
        </w:rPr>
        <w:t xml:space="preserve">Ross, S., Robert, M., Swaby, C., et al. (2009). Transobturator tape compared with tension-free vaginal tape for stress incontinence: a randomized controlled trial. </w:t>
      </w:r>
      <w:r w:rsidRPr="00EB7E14">
        <w:rPr>
          <w:i/>
          <w:noProof/>
        </w:rPr>
        <w:t>Obstet Gynecol</w:t>
      </w:r>
      <w:r w:rsidRPr="00EB7E14">
        <w:rPr>
          <w:noProof/>
        </w:rPr>
        <w:t>,</w:t>
      </w:r>
      <w:r w:rsidRPr="00EB7E14">
        <w:rPr>
          <w:i/>
          <w:noProof/>
        </w:rPr>
        <w:t xml:space="preserve"> 114</w:t>
      </w:r>
      <w:r w:rsidRPr="00EB7E14">
        <w:rPr>
          <w:noProof/>
        </w:rPr>
        <w:t xml:space="preserve">(6), 1287-1294. </w:t>
      </w:r>
      <w:r w:rsidRPr="00245CE2">
        <w:t>https://doi.org/10.1097/AOG.0b013e3181c2a151</w:t>
      </w:r>
      <w:r w:rsidRPr="00EB7E14">
        <w:rPr>
          <w:noProof/>
        </w:rPr>
        <w:t xml:space="preserve"> </w:t>
      </w:r>
    </w:p>
    <w:p w14:paraId="1C5A7B3C" w14:textId="77777777" w:rsidR="00245CE2" w:rsidRPr="00EB7E14" w:rsidRDefault="00245CE2" w:rsidP="00245CE2">
      <w:pPr>
        <w:pStyle w:val="References"/>
        <w:spacing w:after="120"/>
        <w:ind w:left="0" w:firstLine="0"/>
        <w:rPr>
          <w:noProof/>
        </w:rPr>
      </w:pPr>
      <w:r w:rsidRPr="00EB7E14">
        <w:rPr>
          <w:noProof/>
        </w:rPr>
        <w:t xml:space="preserve">Seklehner, S., Laudano, M. A., Te, A. E., et al. (2014). A cost-effectiveness analysis of retropubic midurethral sling versus transobturator midurethral sling for female stress urinary incontinence [Article]. </w:t>
      </w:r>
      <w:r w:rsidRPr="00EB7E14">
        <w:rPr>
          <w:i/>
          <w:noProof/>
        </w:rPr>
        <w:t>Neurourology and Urodynamics</w:t>
      </w:r>
      <w:r w:rsidRPr="00EB7E14">
        <w:rPr>
          <w:noProof/>
        </w:rPr>
        <w:t>,</w:t>
      </w:r>
      <w:r w:rsidRPr="00EB7E14">
        <w:rPr>
          <w:i/>
          <w:noProof/>
        </w:rPr>
        <w:t xml:space="preserve"> 33</w:t>
      </w:r>
      <w:r w:rsidRPr="00EB7E14">
        <w:rPr>
          <w:noProof/>
        </w:rPr>
        <w:t xml:space="preserve">(8), 1186-1192. </w:t>
      </w:r>
      <w:r w:rsidRPr="00245CE2">
        <w:t>https://doi.org/10.1002/nau.22483</w:t>
      </w:r>
      <w:r w:rsidRPr="00EB7E14">
        <w:rPr>
          <w:noProof/>
        </w:rPr>
        <w:t xml:space="preserve"> </w:t>
      </w:r>
    </w:p>
    <w:p w14:paraId="56366F55" w14:textId="77777777" w:rsidR="00245CE2" w:rsidRPr="00EB7E14" w:rsidRDefault="00245CE2" w:rsidP="00245CE2">
      <w:pPr>
        <w:pStyle w:val="References"/>
        <w:spacing w:after="120"/>
        <w:ind w:left="0" w:firstLine="0"/>
        <w:rPr>
          <w:noProof/>
        </w:rPr>
      </w:pPr>
      <w:r w:rsidRPr="00EB7E14">
        <w:rPr>
          <w:noProof/>
        </w:rPr>
        <w:t xml:space="preserve">Sharifiaghdas, F., Nasiri, M., Mirzaei, M., et al. (2015). Mini Sling (Ophira) versus Pubovaginal Sling for Treatment of Stress Urinary Incontinence: A Medium-term Follow-up. </w:t>
      </w:r>
      <w:r w:rsidRPr="00EB7E14">
        <w:rPr>
          <w:i/>
          <w:noProof/>
        </w:rPr>
        <w:t>Prague Med Rep</w:t>
      </w:r>
      <w:r w:rsidRPr="00EB7E14">
        <w:rPr>
          <w:noProof/>
        </w:rPr>
        <w:t>,</w:t>
      </w:r>
      <w:r w:rsidRPr="00EB7E14">
        <w:rPr>
          <w:i/>
          <w:noProof/>
        </w:rPr>
        <w:t xml:space="preserve"> 116</w:t>
      </w:r>
      <w:r w:rsidRPr="00EB7E14">
        <w:rPr>
          <w:noProof/>
        </w:rPr>
        <w:t xml:space="preserve">(3), 210-218. </w:t>
      </w:r>
      <w:r w:rsidRPr="00245CE2">
        <w:t>https://doi.org/10.14712/23362936.2015.60</w:t>
      </w:r>
      <w:r w:rsidRPr="00EB7E14">
        <w:rPr>
          <w:noProof/>
        </w:rPr>
        <w:t xml:space="preserve"> </w:t>
      </w:r>
    </w:p>
    <w:p w14:paraId="0159F51C" w14:textId="77777777" w:rsidR="00245CE2" w:rsidRPr="00EB7E14" w:rsidRDefault="00245CE2" w:rsidP="00245CE2">
      <w:pPr>
        <w:pStyle w:val="References"/>
        <w:spacing w:after="120"/>
        <w:ind w:left="0" w:firstLine="0"/>
        <w:rPr>
          <w:noProof/>
        </w:rPr>
      </w:pPr>
      <w:r w:rsidRPr="00EB7E14">
        <w:rPr>
          <w:noProof/>
        </w:rPr>
        <w:t xml:space="preserve">Silva-Filho, A. L., Cândido, E. B., Noronha, A., et al. (2006). Comparative study of autologous pubovaginal sling and synthetic transobturator (TOT) SAFYRE sling in the treatment of stress urinary incontinence. </w:t>
      </w:r>
      <w:r w:rsidRPr="00EB7E14">
        <w:rPr>
          <w:i/>
          <w:noProof/>
        </w:rPr>
        <w:t>Arch Gynecol Obstet</w:t>
      </w:r>
      <w:r w:rsidRPr="00EB7E14">
        <w:rPr>
          <w:noProof/>
        </w:rPr>
        <w:t>,</w:t>
      </w:r>
      <w:r w:rsidRPr="00EB7E14">
        <w:rPr>
          <w:i/>
          <w:noProof/>
        </w:rPr>
        <w:t xml:space="preserve"> 273</w:t>
      </w:r>
      <w:r w:rsidRPr="00EB7E14">
        <w:rPr>
          <w:noProof/>
        </w:rPr>
        <w:t xml:space="preserve">(5), 288-292. </w:t>
      </w:r>
      <w:r w:rsidRPr="00245CE2">
        <w:t>https://doi.org/10.1007/s00404-005-0083-1</w:t>
      </w:r>
      <w:r w:rsidRPr="00EB7E14">
        <w:rPr>
          <w:noProof/>
        </w:rPr>
        <w:t xml:space="preserve"> </w:t>
      </w:r>
    </w:p>
    <w:p w14:paraId="731CF5DB" w14:textId="77777777" w:rsidR="00245CE2" w:rsidRPr="00EB7E14" w:rsidRDefault="00245CE2" w:rsidP="00245CE2">
      <w:pPr>
        <w:pStyle w:val="References"/>
        <w:spacing w:after="120"/>
        <w:ind w:left="0" w:firstLine="0"/>
        <w:rPr>
          <w:noProof/>
        </w:rPr>
      </w:pPr>
      <w:r w:rsidRPr="00EB7E14">
        <w:rPr>
          <w:noProof/>
        </w:rPr>
        <w:lastRenderedPageBreak/>
        <w:t xml:space="preserve">Tcherniakovsky, M., Fernandes, C. E., Bezerra, C. A., et al. (2009). Comparative results of two techniques to treat stress urinary incontinence: synthetic transobturator and aponeurotic slings. </w:t>
      </w:r>
      <w:r w:rsidRPr="00EB7E14">
        <w:rPr>
          <w:i/>
          <w:noProof/>
        </w:rPr>
        <w:t>Int Urogynecol J Pelvic Floor Dysfunct</w:t>
      </w:r>
      <w:r w:rsidRPr="00EB7E14">
        <w:rPr>
          <w:noProof/>
        </w:rPr>
        <w:t>,</w:t>
      </w:r>
      <w:r w:rsidRPr="00EB7E14">
        <w:rPr>
          <w:i/>
          <w:noProof/>
        </w:rPr>
        <w:t xml:space="preserve"> 20</w:t>
      </w:r>
      <w:r w:rsidRPr="00EB7E14">
        <w:rPr>
          <w:noProof/>
        </w:rPr>
        <w:t xml:space="preserve">(8), 961-966. </w:t>
      </w:r>
      <w:r w:rsidRPr="00245CE2">
        <w:t>https://doi.org/10.1007/s00192-009-0880-3</w:t>
      </w:r>
      <w:r w:rsidRPr="00EB7E14">
        <w:rPr>
          <w:noProof/>
        </w:rPr>
        <w:t xml:space="preserve"> </w:t>
      </w:r>
    </w:p>
    <w:p w14:paraId="3910C5BA" w14:textId="2B852453" w:rsidR="00245CE2" w:rsidRPr="00EB7E14" w:rsidRDefault="00245CE2" w:rsidP="00245CE2">
      <w:pPr>
        <w:pStyle w:val="References"/>
        <w:spacing w:after="120"/>
        <w:ind w:left="0" w:firstLine="0"/>
        <w:rPr>
          <w:noProof/>
        </w:rPr>
      </w:pPr>
      <w:r w:rsidRPr="00EB7E14">
        <w:rPr>
          <w:noProof/>
        </w:rPr>
        <w:t xml:space="preserve">TGA. (2019). </w:t>
      </w:r>
      <w:r w:rsidRPr="00EB7E14">
        <w:rPr>
          <w:i/>
          <w:noProof/>
        </w:rPr>
        <w:t>TGA actions after review into urogynaecological surgical mesh implants</w:t>
      </w:r>
      <w:r w:rsidRPr="00EB7E14">
        <w:rPr>
          <w:noProof/>
        </w:rPr>
        <w:t>. Retrieved 31 March 2023 from</w:t>
      </w:r>
      <w:r w:rsidR="000E134F">
        <w:rPr>
          <w:noProof/>
        </w:rPr>
        <w:t>:</w:t>
      </w:r>
      <w:r w:rsidRPr="00EB7E14">
        <w:rPr>
          <w:noProof/>
        </w:rPr>
        <w:t xml:space="preserve"> </w:t>
      </w:r>
      <w:hyperlink r:id="rId40" w:tooltip="This link goes to a TGA webpage on the TGA actions after review into urogynaecological surgical mesh implants" w:history="1">
        <w:r w:rsidR="000E134F" w:rsidRPr="00D74CF3">
          <w:rPr>
            <w:rStyle w:val="Hyperlink"/>
          </w:rPr>
          <w:t>https://www.tga.gov.au/news/safety-alerts/tga-actions-after-review-urogynaecological-surgical-mesh-implants</w:t>
        </w:r>
      </w:hyperlink>
      <w:r w:rsidR="000E134F">
        <w:t xml:space="preserve"> </w:t>
      </w:r>
    </w:p>
    <w:p w14:paraId="537E36A1" w14:textId="026AA398" w:rsidR="00245CE2" w:rsidRPr="00EB7E14" w:rsidRDefault="00245CE2" w:rsidP="00245CE2">
      <w:pPr>
        <w:pStyle w:val="References"/>
        <w:spacing w:after="120"/>
        <w:ind w:left="0" w:firstLine="0"/>
        <w:rPr>
          <w:noProof/>
        </w:rPr>
      </w:pPr>
      <w:r w:rsidRPr="00EB7E14">
        <w:rPr>
          <w:noProof/>
        </w:rPr>
        <w:t xml:space="preserve">TGA. (2021). </w:t>
      </w:r>
      <w:r w:rsidRPr="00EB7E14">
        <w:rPr>
          <w:i/>
          <w:noProof/>
        </w:rPr>
        <w:t>Urogynaecological (Transvaginal) surgical mesh hub: Background</w:t>
      </w:r>
      <w:r w:rsidRPr="00EB7E14">
        <w:rPr>
          <w:noProof/>
        </w:rPr>
        <w:t>. Retrieved 31 March 2023 from</w:t>
      </w:r>
      <w:r w:rsidR="00D553A3">
        <w:rPr>
          <w:noProof/>
        </w:rPr>
        <w:t>:</w:t>
      </w:r>
      <w:r w:rsidRPr="00EB7E14">
        <w:rPr>
          <w:noProof/>
        </w:rPr>
        <w:t xml:space="preserve"> </w:t>
      </w:r>
      <w:hyperlink r:id="rId41" w:tooltip="This link goes to the TGA Urogynaecological (transvaginal) surgical mesh hub, Background page. " w:history="1">
        <w:r w:rsidR="00D553A3" w:rsidRPr="00D74CF3">
          <w:rPr>
            <w:rStyle w:val="Hyperlink"/>
          </w:rPr>
          <w:t>https://www.tga.gov.au/products/medical-devices/urogynaecological-transvaginal-surgical-mesh-hub/background</w:t>
        </w:r>
      </w:hyperlink>
      <w:r w:rsidR="00D553A3">
        <w:t xml:space="preserve"> </w:t>
      </w:r>
    </w:p>
    <w:p w14:paraId="2C0291F6" w14:textId="787148C0" w:rsidR="00245CE2" w:rsidRPr="0052201B" w:rsidRDefault="00245CE2" w:rsidP="00245CE2">
      <w:pPr>
        <w:pStyle w:val="References"/>
        <w:spacing w:after="120"/>
        <w:ind w:left="0" w:firstLine="0"/>
        <w:rPr>
          <w:rStyle w:val="Hyperlink"/>
          <w:noProof/>
        </w:rPr>
      </w:pPr>
      <w:r w:rsidRPr="00EB7E14">
        <w:rPr>
          <w:noProof/>
        </w:rPr>
        <w:t xml:space="preserve">TGA. (2023). </w:t>
      </w:r>
      <w:r w:rsidRPr="00EB7E14">
        <w:rPr>
          <w:i/>
          <w:noProof/>
        </w:rPr>
        <w:t xml:space="preserve">Australian Government actions. Information about Australian Government actions related to urogynaecological (transvaginal) surgical mesh. </w:t>
      </w:r>
      <w:r w:rsidRPr="00EB7E14">
        <w:rPr>
          <w:noProof/>
        </w:rPr>
        <w:t>Therapeutic Goods Administration. Retrieved 31 March 2023 from</w:t>
      </w:r>
      <w:r w:rsidR="00D553A3">
        <w:rPr>
          <w:noProof/>
        </w:rPr>
        <w:t>:</w:t>
      </w:r>
      <w:r w:rsidRPr="00EB7E14">
        <w:rPr>
          <w:noProof/>
        </w:rPr>
        <w:t xml:space="preserve"> </w:t>
      </w:r>
      <w:r w:rsidR="0052201B">
        <w:fldChar w:fldCharType="begin"/>
      </w:r>
      <w:r w:rsidR="0052201B">
        <w:instrText xml:space="preserve"> HYPERLINK "https://www.tga.gov.au/products/medical-devices/urogynaecological-transvaginal-surgical-mesh-hub/australian-government-actions" \o "This link goes to the TGA Urogynaecological (transvaginal) surgical mesh hub, Australian Government actions page" </w:instrText>
      </w:r>
      <w:r w:rsidR="0052201B">
        <w:fldChar w:fldCharType="separate"/>
      </w:r>
      <w:r w:rsidR="00D553A3" w:rsidRPr="0052201B">
        <w:rPr>
          <w:rStyle w:val="Hyperlink"/>
        </w:rPr>
        <w:t xml:space="preserve">https://www.tga.gov.au/products/medical-devices/urogynaecological-transvaginal-surgical-mesh-hub/australian-government-actions </w:t>
      </w:r>
    </w:p>
    <w:p w14:paraId="79A64B2D" w14:textId="147C806F" w:rsidR="00245CE2" w:rsidRPr="00EB7E14" w:rsidRDefault="0052201B" w:rsidP="00245CE2">
      <w:pPr>
        <w:pStyle w:val="References"/>
        <w:spacing w:after="120"/>
        <w:ind w:left="0" w:firstLine="0"/>
        <w:rPr>
          <w:noProof/>
        </w:rPr>
      </w:pPr>
      <w:r>
        <w:fldChar w:fldCharType="end"/>
      </w:r>
      <w:r w:rsidR="00245CE2" w:rsidRPr="00EB7E14">
        <w:rPr>
          <w:noProof/>
        </w:rPr>
        <w:t xml:space="preserve">Urological Society of Australia and New Zealand (2015). </w:t>
      </w:r>
      <w:r w:rsidR="00245CE2" w:rsidRPr="00EB7E14">
        <w:rPr>
          <w:i/>
          <w:noProof/>
        </w:rPr>
        <w:t>Position Statement</w:t>
      </w:r>
      <w:r w:rsidR="00F81CA7">
        <w:rPr>
          <w:i/>
          <w:noProof/>
        </w:rPr>
        <w:t>.</w:t>
      </w:r>
      <w:r w:rsidR="00245CE2" w:rsidRPr="00EB7E14">
        <w:rPr>
          <w:i/>
          <w:noProof/>
        </w:rPr>
        <w:t xml:space="preserve"> Mesh Midurethral Slings.</w:t>
      </w:r>
      <w:r w:rsidR="00245CE2" w:rsidRPr="00EB7E14">
        <w:rPr>
          <w:noProof/>
        </w:rPr>
        <w:t xml:space="preserve"> </w:t>
      </w:r>
      <w:r w:rsidR="006A44A4">
        <w:rPr>
          <w:noProof/>
        </w:rPr>
        <w:t xml:space="preserve">Retrieved from: </w:t>
      </w:r>
      <w:hyperlink r:id="rId42" w:tooltip="This link opens a PDF of the Urological Society of Australia and New Zealand Position statement on mesh midurethral slings" w:history="1">
        <w:r w:rsidR="006A44A4" w:rsidRPr="00D74CF3">
          <w:rPr>
            <w:rStyle w:val="Hyperlink"/>
          </w:rPr>
          <w:t>https://usanz.org.au/publicassets/4c939480-9bc7-e811-a2bd-b48cacbd786d/Position%20Statement%20-%20USANZ%20-%20Mesh%20Midurethral%20Slings%20-%202015%20Aug.pdf</w:t>
        </w:r>
      </w:hyperlink>
      <w:r w:rsidR="006A44A4">
        <w:t xml:space="preserve"> </w:t>
      </w:r>
    </w:p>
    <w:p w14:paraId="7B9F021E" w14:textId="77777777" w:rsidR="00245CE2" w:rsidRPr="00EB7E14" w:rsidRDefault="00245CE2" w:rsidP="00245CE2">
      <w:pPr>
        <w:pStyle w:val="References"/>
        <w:spacing w:after="120"/>
        <w:ind w:left="0" w:firstLine="0"/>
        <w:rPr>
          <w:noProof/>
        </w:rPr>
      </w:pPr>
      <w:r w:rsidRPr="00EB7E14">
        <w:rPr>
          <w:noProof/>
        </w:rPr>
        <w:t xml:space="preserve">Valderrama, V., Collins, S. A., Swift, S., et al. (2020). Joint report on the terminology for surgical procedures to treat stress urinary incontinence in women. </w:t>
      </w:r>
      <w:r w:rsidRPr="00EB7E14">
        <w:rPr>
          <w:i/>
          <w:noProof/>
        </w:rPr>
        <w:t>International Urogynecology Journal</w:t>
      </w:r>
      <w:r w:rsidRPr="00EB7E14">
        <w:rPr>
          <w:noProof/>
        </w:rPr>
        <w:t>,</w:t>
      </w:r>
      <w:r w:rsidRPr="00EB7E14">
        <w:rPr>
          <w:i/>
          <w:noProof/>
        </w:rPr>
        <w:t xml:space="preserve"> 31</w:t>
      </w:r>
      <w:r w:rsidRPr="00EB7E14">
        <w:rPr>
          <w:noProof/>
        </w:rPr>
        <w:t xml:space="preserve">(3), 465-478. </w:t>
      </w:r>
      <w:r w:rsidRPr="00245CE2">
        <w:t>https://doi.org/10.1007/s00192-020-04237-0</w:t>
      </w:r>
      <w:r w:rsidRPr="00EB7E14">
        <w:rPr>
          <w:noProof/>
        </w:rPr>
        <w:t xml:space="preserve"> </w:t>
      </w:r>
    </w:p>
    <w:p w14:paraId="51315E1B" w14:textId="448FBE55" w:rsidR="00D906A2" w:rsidRPr="00B0485F" w:rsidRDefault="00065188" w:rsidP="000524CA">
      <w:pPr>
        <w:pStyle w:val="Heading7"/>
      </w:pPr>
      <w:bookmarkStart w:id="179" w:name="_Ref130800773"/>
      <w:bookmarkStart w:id="180" w:name="_Toc165627857"/>
      <w:r>
        <w:lastRenderedPageBreak/>
        <w:t xml:space="preserve">Search </w:t>
      </w:r>
      <w:bookmarkEnd w:id="179"/>
      <w:r w:rsidR="00945B0E">
        <w:t>strategy</w:t>
      </w:r>
      <w:bookmarkEnd w:id="180"/>
    </w:p>
    <w:p w14:paraId="024FA511" w14:textId="614516B2" w:rsidR="006F6B78" w:rsidRPr="00B0485F" w:rsidRDefault="006F6B78" w:rsidP="00945B0E">
      <w:pPr>
        <w:pStyle w:val="Heading8"/>
      </w:pPr>
      <w:bookmarkStart w:id="181" w:name="_Ref132699828"/>
      <w:bookmarkStart w:id="182" w:name="_Ref132699829"/>
      <w:bookmarkStart w:id="183" w:name="_Ref132699961"/>
      <w:bookmarkStart w:id="184" w:name="_Toc165627858"/>
      <w:r w:rsidRPr="00B0485F">
        <w:t>Comparative clinical effectiveness</w:t>
      </w:r>
      <w:bookmarkEnd w:id="181"/>
      <w:bookmarkEnd w:id="182"/>
      <w:bookmarkEnd w:id="183"/>
      <w:bookmarkEnd w:id="184"/>
    </w:p>
    <w:p w14:paraId="6903A773" w14:textId="46E6A695" w:rsidR="0018143A" w:rsidRPr="00B0485F" w:rsidRDefault="0018143A" w:rsidP="0018143A">
      <w:pPr>
        <w:pStyle w:val="Caption"/>
      </w:pPr>
      <w:bookmarkStart w:id="185" w:name="_Ref130801111"/>
      <w:bookmarkStart w:id="186" w:name="_Ref131162645"/>
      <w:bookmarkStart w:id="187" w:name="_Toc165627904"/>
      <w:r w:rsidRPr="00B0485F">
        <w:t xml:space="preserve">Table App. </w:t>
      </w:r>
      <w:fldSimple w:instr=" SEQ Table_App. \* ARABIC ">
        <w:r w:rsidR="007105D3">
          <w:rPr>
            <w:noProof/>
          </w:rPr>
          <w:t>1</w:t>
        </w:r>
      </w:fldSimple>
      <w:bookmarkEnd w:id="185"/>
      <w:bookmarkEnd w:id="186"/>
      <w:r w:rsidR="0066523B" w:rsidRPr="00B0485F">
        <w:tab/>
        <w:t>Search strategy to identify comparative clinical effectiveness evidence on mid-urethral slings</w:t>
      </w:r>
      <w:bookmarkEnd w:id="187"/>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Search strategy to identify comparative clinical effectiveness evidence on mid-urethral slings"/>
        <w:tblDescription w:val="This table shows the source of information and databases/websites searched to identify comparative clinical effectiveness evidence on mid-urethral slings. The date limit and search terms are also provided. "/>
      </w:tblPr>
      <w:tblGrid>
        <w:gridCol w:w="1111"/>
        <w:gridCol w:w="5442"/>
        <w:gridCol w:w="1079"/>
        <w:gridCol w:w="2006"/>
      </w:tblGrid>
      <w:tr w:rsidR="00834341" w:rsidRPr="00B0485F" w14:paraId="7702FC22" w14:textId="10F13CB7" w:rsidTr="00022055">
        <w:trPr>
          <w:tblHeader/>
        </w:trPr>
        <w:tc>
          <w:tcPr>
            <w:tcW w:w="993" w:type="dxa"/>
            <w:tcBorders>
              <w:bottom w:val="single" w:sz="4" w:space="0" w:color="auto"/>
            </w:tcBorders>
            <w:shd w:val="clear" w:color="auto" w:fill="BFBFBF"/>
          </w:tcPr>
          <w:p w14:paraId="5C347B09" w14:textId="77777777" w:rsidR="005314A3" w:rsidRPr="005D71A4" w:rsidRDefault="005314A3" w:rsidP="002C3A45">
            <w:pPr>
              <w:pStyle w:val="031Tablesubheading8pt"/>
              <w:keepNext w:val="0"/>
              <w:rPr>
                <w:sz w:val="18"/>
                <w:szCs w:val="18"/>
              </w:rPr>
            </w:pPr>
            <w:r w:rsidRPr="005D71A4">
              <w:rPr>
                <w:sz w:val="18"/>
                <w:szCs w:val="18"/>
              </w:rPr>
              <w:t>Source of information</w:t>
            </w:r>
          </w:p>
        </w:tc>
        <w:tc>
          <w:tcPr>
            <w:tcW w:w="5528" w:type="dxa"/>
            <w:shd w:val="clear" w:color="auto" w:fill="BFBFBF"/>
          </w:tcPr>
          <w:p w14:paraId="6460F729" w14:textId="77777777" w:rsidR="005314A3" w:rsidRPr="005D71A4" w:rsidRDefault="005314A3" w:rsidP="002C3A45">
            <w:pPr>
              <w:pStyle w:val="031Tablesubheading8pt"/>
              <w:keepNext w:val="0"/>
              <w:rPr>
                <w:sz w:val="18"/>
                <w:szCs w:val="18"/>
              </w:rPr>
            </w:pPr>
            <w:r w:rsidRPr="005D71A4">
              <w:rPr>
                <w:sz w:val="18"/>
                <w:szCs w:val="18"/>
              </w:rPr>
              <w:t>Database/website</w:t>
            </w:r>
          </w:p>
        </w:tc>
        <w:tc>
          <w:tcPr>
            <w:tcW w:w="1095" w:type="dxa"/>
            <w:shd w:val="clear" w:color="auto" w:fill="BFBFBF"/>
          </w:tcPr>
          <w:p w14:paraId="76F6D980" w14:textId="19241425" w:rsidR="005314A3" w:rsidRPr="005D71A4" w:rsidRDefault="005314A3" w:rsidP="002C3A45">
            <w:pPr>
              <w:pStyle w:val="031Tablesubheading8pt"/>
              <w:keepNext w:val="0"/>
              <w:rPr>
                <w:sz w:val="18"/>
                <w:szCs w:val="18"/>
              </w:rPr>
            </w:pPr>
            <w:r w:rsidRPr="005D71A4">
              <w:rPr>
                <w:sz w:val="18"/>
                <w:szCs w:val="18"/>
              </w:rPr>
              <w:t xml:space="preserve">Date limit </w:t>
            </w:r>
          </w:p>
        </w:tc>
        <w:tc>
          <w:tcPr>
            <w:tcW w:w="2022" w:type="dxa"/>
            <w:shd w:val="clear" w:color="auto" w:fill="BFBFBF"/>
          </w:tcPr>
          <w:p w14:paraId="11B2F660" w14:textId="64FCBF4B" w:rsidR="005314A3" w:rsidRPr="005D71A4" w:rsidRDefault="005314A3" w:rsidP="002C3A45">
            <w:pPr>
              <w:pStyle w:val="031Tablesubheading8pt"/>
              <w:keepNext w:val="0"/>
              <w:rPr>
                <w:sz w:val="18"/>
                <w:szCs w:val="18"/>
              </w:rPr>
            </w:pPr>
            <w:r w:rsidRPr="005D71A4">
              <w:rPr>
                <w:sz w:val="18"/>
                <w:szCs w:val="18"/>
              </w:rPr>
              <w:t>Search terms</w:t>
            </w:r>
          </w:p>
        </w:tc>
      </w:tr>
      <w:tr w:rsidR="005314A3" w:rsidRPr="00B0485F" w14:paraId="7A6C2C08" w14:textId="38EACE70" w:rsidTr="00022055">
        <w:tc>
          <w:tcPr>
            <w:tcW w:w="993" w:type="dxa"/>
            <w:tcBorders>
              <w:bottom w:val="nil"/>
            </w:tcBorders>
            <w:shd w:val="clear" w:color="auto" w:fill="auto"/>
          </w:tcPr>
          <w:p w14:paraId="488F8F46" w14:textId="77777777" w:rsidR="005314A3" w:rsidRPr="005D71A4" w:rsidRDefault="005314A3" w:rsidP="002C3A45">
            <w:pPr>
              <w:pStyle w:val="031Tablesubheading8pt"/>
              <w:keepNext w:val="0"/>
              <w:rPr>
                <w:sz w:val="18"/>
                <w:szCs w:val="18"/>
              </w:rPr>
            </w:pPr>
            <w:r w:rsidRPr="005D71A4">
              <w:rPr>
                <w:sz w:val="18"/>
                <w:szCs w:val="18"/>
              </w:rPr>
              <w:t>Electronic databases</w:t>
            </w:r>
          </w:p>
        </w:tc>
        <w:tc>
          <w:tcPr>
            <w:tcW w:w="5528" w:type="dxa"/>
            <w:shd w:val="clear" w:color="auto" w:fill="auto"/>
          </w:tcPr>
          <w:p w14:paraId="46785210" w14:textId="3BDF217E" w:rsidR="005314A3" w:rsidRPr="005D71A4" w:rsidRDefault="005314A3" w:rsidP="00072AF8">
            <w:pPr>
              <w:pStyle w:val="051Tabletext228pt"/>
              <w:rPr>
                <w:sz w:val="18"/>
                <w:szCs w:val="18"/>
              </w:rPr>
            </w:pPr>
            <w:proofErr w:type="spellStart"/>
            <w:r w:rsidRPr="005D71A4">
              <w:rPr>
                <w:sz w:val="18"/>
                <w:szCs w:val="18"/>
              </w:rPr>
              <w:t>Epistemonikos</w:t>
            </w:r>
            <w:proofErr w:type="spellEnd"/>
            <w:r w:rsidRPr="005D71A4">
              <w:rPr>
                <w:sz w:val="18"/>
                <w:szCs w:val="18"/>
              </w:rPr>
              <w:t xml:space="preserve"> </w:t>
            </w:r>
            <w:r w:rsidR="00184FDE" w:rsidRPr="005D71A4">
              <w:rPr>
                <w:sz w:val="18"/>
                <w:szCs w:val="18"/>
              </w:rPr>
              <w:t>(</w:t>
            </w:r>
            <w:hyperlink r:id="rId43" w:tooltip="Link goes to Epistemonikos website" w:history="1">
              <w:r w:rsidR="00184FDE" w:rsidRPr="005D71A4">
                <w:rPr>
                  <w:rStyle w:val="Hyperlink"/>
                  <w:sz w:val="18"/>
                  <w:szCs w:val="18"/>
                </w:rPr>
                <w:t>https://www.epistemonikos.org</w:t>
              </w:r>
            </w:hyperlink>
            <w:r w:rsidR="00184FDE" w:rsidRPr="005D71A4">
              <w:rPr>
                <w:sz w:val="18"/>
                <w:szCs w:val="18"/>
              </w:rPr>
              <w:t>)</w:t>
            </w:r>
            <w:r w:rsidR="00FC61B6" w:rsidRPr="005D71A4">
              <w:rPr>
                <w:rStyle w:val="Hyperlink"/>
                <w:color w:val="auto"/>
                <w:sz w:val="18"/>
                <w:szCs w:val="18"/>
                <w:u w:val="none"/>
              </w:rPr>
              <w:t xml:space="preserve"> </w:t>
            </w:r>
            <w:r w:rsidRPr="005D71A4">
              <w:rPr>
                <w:sz w:val="18"/>
                <w:szCs w:val="18"/>
              </w:rPr>
              <w:t xml:space="preserve"> </w:t>
            </w:r>
          </w:p>
          <w:p w14:paraId="10F0FD4B" w14:textId="2D919741" w:rsidR="005314A3" w:rsidRPr="005D71A4" w:rsidRDefault="005314A3" w:rsidP="00072AF8">
            <w:pPr>
              <w:pStyle w:val="051Tabletext228pt"/>
              <w:rPr>
                <w:sz w:val="18"/>
                <w:szCs w:val="18"/>
                <w:highlight w:val="yellow"/>
              </w:rPr>
            </w:pPr>
          </w:p>
        </w:tc>
        <w:tc>
          <w:tcPr>
            <w:tcW w:w="1095" w:type="dxa"/>
            <w:shd w:val="clear" w:color="auto" w:fill="auto"/>
          </w:tcPr>
          <w:p w14:paraId="0831D2AF" w14:textId="05D3605A" w:rsidR="005314A3" w:rsidRPr="005D71A4" w:rsidRDefault="00031834" w:rsidP="00072AF8">
            <w:pPr>
              <w:pStyle w:val="051Tabletext228pt"/>
              <w:rPr>
                <w:sz w:val="18"/>
                <w:szCs w:val="18"/>
                <w:highlight w:val="yellow"/>
              </w:rPr>
            </w:pPr>
            <w:r w:rsidRPr="005D71A4">
              <w:rPr>
                <w:sz w:val="18"/>
                <w:szCs w:val="18"/>
              </w:rPr>
              <w:t>Last 5 years</w:t>
            </w:r>
            <w:r w:rsidR="005314A3" w:rsidRPr="005D71A4">
              <w:rPr>
                <w:sz w:val="18"/>
                <w:szCs w:val="18"/>
              </w:rPr>
              <w:t xml:space="preserve"> </w:t>
            </w:r>
          </w:p>
        </w:tc>
        <w:tc>
          <w:tcPr>
            <w:tcW w:w="2022" w:type="dxa"/>
          </w:tcPr>
          <w:p w14:paraId="469FF12A" w14:textId="2D53EFFC" w:rsidR="005314A3" w:rsidRPr="005D71A4" w:rsidRDefault="00FC61B6" w:rsidP="00072AF8">
            <w:pPr>
              <w:pStyle w:val="051Tabletext228pt"/>
              <w:rPr>
                <w:sz w:val="18"/>
                <w:szCs w:val="18"/>
              </w:rPr>
            </w:pPr>
            <w:r w:rsidRPr="005D71A4">
              <w:rPr>
                <w:sz w:val="18"/>
                <w:szCs w:val="18"/>
              </w:rPr>
              <w:t>mid-urethral sling</w:t>
            </w:r>
          </w:p>
          <w:p w14:paraId="22FE82CB" w14:textId="19B2A0F2" w:rsidR="00FC61B6" w:rsidRPr="005D71A4" w:rsidRDefault="00FC61B6" w:rsidP="00072AF8">
            <w:pPr>
              <w:pStyle w:val="051Tabletext228pt"/>
              <w:rPr>
                <w:sz w:val="18"/>
                <w:szCs w:val="18"/>
                <w:highlight w:val="yellow"/>
              </w:rPr>
            </w:pPr>
            <w:proofErr w:type="spellStart"/>
            <w:r w:rsidRPr="005D71A4">
              <w:rPr>
                <w:sz w:val="18"/>
                <w:szCs w:val="18"/>
              </w:rPr>
              <w:t>midurethral</w:t>
            </w:r>
            <w:proofErr w:type="spellEnd"/>
            <w:r w:rsidRPr="005D71A4">
              <w:rPr>
                <w:sz w:val="18"/>
                <w:szCs w:val="18"/>
              </w:rPr>
              <w:t xml:space="preserve"> sling</w:t>
            </w:r>
          </w:p>
        </w:tc>
      </w:tr>
      <w:tr w:rsidR="00036222" w:rsidRPr="00B0485F" w14:paraId="0CF7AF87" w14:textId="77777777" w:rsidTr="00022055">
        <w:tc>
          <w:tcPr>
            <w:tcW w:w="993" w:type="dxa"/>
            <w:tcBorders>
              <w:top w:val="nil"/>
            </w:tcBorders>
            <w:shd w:val="clear" w:color="auto" w:fill="auto"/>
          </w:tcPr>
          <w:p w14:paraId="4D69C444" w14:textId="77777777" w:rsidR="00036222" w:rsidRPr="005D71A4" w:rsidRDefault="00036222" w:rsidP="002C3A45">
            <w:pPr>
              <w:pStyle w:val="031Tablesubheading8pt"/>
              <w:keepNext w:val="0"/>
              <w:rPr>
                <w:sz w:val="18"/>
                <w:szCs w:val="18"/>
              </w:rPr>
            </w:pPr>
          </w:p>
        </w:tc>
        <w:tc>
          <w:tcPr>
            <w:tcW w:w="5528" w:type="dxa"/>
            <w:shd w:val="clear" w:color="auto" w:fill="auto"/>
          </w:tcPr>
          <w:p w14:paraId="6D9B45A8" w14:textId="3025F9EC" w:rsidR="00036222" w:rsidRPr="005D71A4" w:rsidRDefault="00036222" w:rsidP="00072AF8">
            <w:pPr>
              <w:pStyle w:val="051Tabletext228pt"/>
              <w:rPr>
                <w:sz w:val="18"/>
                <w:szCs w:val="18"/>
              </w:rPr>
            </w:pPr>
            <w:r w:rsidRPr="005D71A4">
              <w:rPr>
                <w:sz w:val="18"/>
                <w:szCs w:val="18"/>
              </w:rPr>
              <w:t>Cochrane library (</w:t>
            </w:r>
            <w:r w:rsidR="008E347E" w:rsidRPr="005D71A4">
              <w:rPr>
                <w:sz w:val="18"/>
                <w:szCs w:val="18"/>
              </w:rPr>
              <w:t>cochranelibrary.com/search</w:t>
            </w:r>
            <w:r w:rsidRPr="005D71A4">
              <w:rPr>
                <w:sz w:val="18"/>
                <w:szCs w:val="18"/>
              </w:rPr>
              <w:t>)</w:t>
            </w:r>
          </w:p>
        </w:tc>
        <w:tc>
          <w:tcPr>
            <w:tcW w:w="1095" w:type="dxa"/>
            <w:shd w:val="clear" w:color="auto" w:fill="auto"/>
          </w:tcPr>
          <w:p w14:paraId="78CC3FE1" w14:textId="1C92D2C5" w:rsidR="00036222" w:rsidRPr="005D71A4" w:rsidRDefault="009247F8" w:rsidP="00072AF8">
            <w:pPr>
              <w:pStyle w:val="051Tabletext228pt"/>
              <w:rPr>
                <w:sz w:val="18"/>
                <w:szCs w:val="18"/>
              </w:rPr>
            </w:pPr>
            <w:r w:rsidRPr="005D71A4">
              <w:rPr>
                <w:sz w:val="18"/>
                <w:szCs w:val="18"/>
              </w:rPr>
              <w:t>Last 10 years</w:t>
            </w:r>
          </w:p>
        </w:tc>
        <w:tc>
          <w:tcPr>
            <w:tcW w:w="2022" w:type="dxa"/>
          </w:tcPr>
          <w:p w14:paraId="072F3983" w14:textId="77777777" w:rsidR="009247F8" w:rsidRPr="005D71A4" w:rsidRDefault="009247F8" w:rsidP="009247F8">
            <w:pPr>
              <w:pStyle w:val="051Tabletext228pt"/>
              <w:rPr>
                <w:sz w:val="18"/>
                <w:szCs w:val="18"/>
              </w:rPr>
            </w:pPr>
            <w:r w:rsidRPr="005D71A4">
              <w:rPr>
                <w:sz w:val="18"/>
                <w:szCs w:val="18"/>
              </w:rPr>
              <w:t>mid-urethral sling</w:t>
            </w:r>
          </w:p>
          <w:p w14:paraId="39BE09C4" w14:textId="77777777" w:rsidR="009247F8" w:rsidRPr="005D71A4" w:rsidRDefault="009247F8" w:rsidP="009247F8">
            <w:pPr>
              <w:pStyle w:val="051Tabletext228pt"/>
              <w:rPr>
                <w:sz w:val="18"/>
                <w:szCs w:val="18"/>
              </w:rPr>
            </w:pPr>
            <w:proofErr w:type="spellStart"/>
            <w:r w:rsidRPr="005D71A4">
              <w:rPr>
                <w:sz w:val="18"/>
                <w:szCs w:val="18"/>
              </w:rPr>
              <w:t>midurethral</w:t>
            </w:r>
            <w:proofErr w:type="spellEnd"/>
            <w:r w:rsidRPr="005D71A4">
              <w:rPr>
                <w:sz w:val="18"/>
                <w:szCs w:val="18"/>
              </w:rPr>
              <w:t xml:space="preserve"> sling</w:t>
            </w:r>
          </w:p>
          <w:p w14:paraId="4A89805D" w14:textId="77777777" w:rsidR="009247F8" w:rsidRPr="005D71A4" w:rsidRDefault="009247F8" w:rsidP="009247F8">
            <w:pPr>
              <w:pStyle w:val="051Tabletext228pt"/>
              <w:rPr>
                <w:sz w:val="18"/>
                <w:szCs w:val="18"/>
              </w:rPr>
            </w:pPr>
            <w:r w:rsidRPr="005D71A4">
              <w:rPr>
                <w:sz w:val="18"/>
                <w:szCs w:val="18"/>
              </w:rPr>
              <w:t>stress urinary incontinence</w:t>
            </w:r>
          </w:p>
          <w:p w14:paraId="180E59A9" w14:textId="77777777" w:rsidR="009247F8" w:rsidRPr="005D71A4" w:rsidRDefault="009247F8" w:rsidP="009247F8">
            <w:pPr>
              <w:pStyle w:val="051Tabletext228pt"/>
              <w:rPr>
                <w:sz w:val="18"/>
                <w:szCs w:val="18"/>
              </w:rPr>
            </w:pPr>
            <w:proofErr w:type="spellStart"/>
            <w:r w:rsidRPr="005D71A4">
              <w:rPr>
                <w:sz w:val="18"/>
                <w:szCs w:val="18"/>
              </w:rPr>
              <w:t>urogynaecological</w:t>
            </w:r>
            <w:proofErr w:type="spellEnd"/>
            <w:r w:rsidRPr="005D71A4">
              <w:rPr>
                <w:sz w:val="18"/>
                <w:szCs w:val="18"/>
              </w:rPr>
              <w:t xml:space="preserve"> mesh</w:t>
            </w:r>
          </w:p>
          <w:p w14:paraId="4EBB92B3" w14:textId="7992751E" w:rsidR="00036222" w:rsidRPr="005D71A4" w:rsidRDefault="009247F8" w:rsidP="009247F8">
            <w:pPr>
              <w:pStyle w:val="051Tabletext228pt"/>
              <w:rPr>
                <w:sz w:val="18"/>
                <w:szCs w:val="18"/>
              </w:rPr>
            </w:pPr>
            <w:proofErr w:type="spellStart"/>
            <w:r w:rsidRPr="005D71A4">
              <w:rPr>
                <w:sz w:val="18"/>
                <w:szCs w:val="18"/>
              </w:rPr>
              <w:t>urogynecological</w:t>
            </w:r>
            <w:proofErr w:type="spellEnd"/>
            <w:r w:rsidRPr="005D71A4">
              <w:rPr>
                <w:sz w:val="18"/>
                <w:szCs w:val="18"/>
              </w:rPr>
              <w:t xml:space="preserve"> mesh</w:t>
            </w:r>
          </w:p>
        </w:tc>
      </w:tr>
      <w:tr w:rsidR="005314A3" w:rsidRPr="00B0485F" w14:paraId="6ECE2779" w14:textId="426AFA04" w:rsidTr="00022055">
        <w:tc>
          <w:tcPr>
            <w:tcW w:w="993" w:type="dxa"/>
            <w:shd w:val="clear" w:color="auto" w:fill="auto"/>
          </w:tcPr>
          <w:p w14:paraId="22E23268" w14:textId="0A1E565B" w:rsidR="005314A3" w:rsidRPr="005D71A4" w:rsidRDefault="005314A3" w:rsidP="002C3A45">
            <w:pPr>
              <w:pStyle w:val="031Tablesubheading8pt"/>
              <w:keepNext w:val="0"/>
              <w:rPr>
                <w:sz w:val="18"/>
                <w:szCs w:val="18"/>
              </w:rPr>
            </w:pPr>
            <w:r w:rsidRPr="005D71A4">
              <w:rPr>
                <w:sz w:val="18"/>
                <w:szCs w:val="18"/>
              </w:rPr>
              <w:t>HTA websites</w:t>
            </w:r>
          </w:p>
        </w:tc>
        <w:tc>
          <w:tcPr>
            <w:tcW w:w="5528" w:type="dxa"/>
            <w:shd w:val="clear" w:color="auto" w:fill="auto"/>
          </w:tcPr>
          <w:p w14:paraId="6AB3C788" w14:textId="7E503CB7" w:rsidR="00211578" w:rsidRPr="005D71A4" w:rsidRDefault="00211578" w:rsidP="00072AF8">
            <w:pPr>
              <w:pStyle w:val="051Tabletext228pt"/>
              <w:rPr>
                <w:b/>
                <w:sz w:val="18"/>
                <w:szCs w:val="18"/>
              </w:rPr>
            </w:pPr>
            <w:r w:rsidRPr="005D71A4">
              <w:rPr>
                <w:b/>
                <w:sz w:val="18"/>
                <w:szCs w:val="18"/>
              </w:rPr>
              <w:t>International</w:t>
            </w:r>
          </w:p>
          <w:p w14:paraId="0F6A72A3" w14:textId="5A8CE82C" w:rsidR="00E22693" w:rsidRPr="005D71A4" w:rsidRDefault="00E22693" w:rsidP="00072AF8">
            <w:pPr>
              <w:pStyle w:val="051Tabletext228pt"/>
              <w:rPr>
                <w:sz w:val="18"/>
                <w:szCs w:val="18"/>
              </w:rPr>
            </w:pPr>
            <w:r w:rsidRPr="005D71A4">
              <w:rPr>
                <w:sz w:val="18"/>
                <w:szCs w:val="18"/>
              </w:rPr>
              <w:t>International Network of Agen</w:t>
            </w:r>
            <w:r w:rsidR="00CE2F34" w:rsidRPr="005D71A4">
              <w:rPr>
                <w:sz w:val="18"/>
                <w:szCs w:val="18"/>
              </w:rPr>
              <w:t>cies for Health Technology Assessment (INA</w:t>
            </w:r>
            <w:r w:rsidR="00261514" w:rsidRPr="005D71A4">
              <w:rPr>
                <w:sz w:val="18"/>
                <w:szCs w:val="18"/>
              </w:rPr>
              <w:t>H</w:t>
            </w:r>
            <w:r w:rsidR="00CE2F34" w:rsidRPr="005D71A4">
              <w:rPr>
                <w:sz w:val="18"/>
                <w:szCs w:val="18"/>
              </w:rPr>
              <w:t>TA)</w:t>
            </w:r>
          </w:p>
          <w:p w14:paraId="26434216" w14:textId="28350476" w:rsidR="00211578" w:rsidRPr="005D71A4" w:rsidRDefault="00211578" w:rsidP="00072AF8">
            <w:pPr>
              <w:pStyle w:val="051Tabletext228pt"/>
              <w:rPr>
                <w:b/>
                <w:sz w:val="18"/>
                <w:szCs w:val="18"/>
              </w:rPr>
            </w:pPr>
            <w:r w:rsidRPr="005D71A4">
              <w:rPr>
                <w:b/>
                <w:sz w:val="18"/>
                <w:szCs w:val="18"/>
              </w:rPr>
              <w:t>Australia</w:t>
            </w:r>
          </w:p>
          <w:p w14:paraId="5CDE39F5" w14:textId="74D60387" w:rsidR="005314A3" w:rsidRPr="005D71A4" w:rsidRDefault="00D7256F" w:rsidP="00072AF8">
            <w:pPr>
              <w:pStyle w:val="051Tabletext228pt"/>
              <w:rPr>
                <w:sz w:val="18"/>
                <w:szCs w:val="18"/>
              </w:rPr>
            </w:pPr>
            <w:r w:rsidRPr="005D71A4">
              <w:rPr>
                <w:sz w:val="18"/>
                <w:szCs w:val="18"/>
              </w:rPr>
              <w:t>Australian Safety and Efficacy Register of New Interventional Procedures – Surgery (</w:t>
            </w:r>
            <w:r w:rsidR="005314A3" w:rsidRPr="005D71A4">
              <w:rPr>
                <w:sz w:val="18"/>
                <w:szCs w:val="18"/>
              </w:rPr>
              <w:t>ASERNIPS</w:t>
            </w:r>
            <w:r w:rsidRPr="005D71A4">
              <w:rPr>
                <w:sz w:val="18"/>
                <w:szCs w:val="18"/>
              </w:rPr>
              <w:t>)</w:t>
            </w:r>
            <w:r w:rsidR="005314A3" w:rsidRPr="005D71A4">
              <w:rPr>
                <w:sz w:val="18"/>
                <w:szCs w:val="18"/>
              </w:rPr>
              <w:t xml:space="preserve"> </w:t>
            </w:r>
          </w:p>
          <w:p w14:paraId="0720313F" w14:textId="77777777" w:rsidR="00334DD8" w:rsidRPr="005D71A4" w:rsidRDefault="00334DD8" w:rsidP="00334DD8">
            <w:pPr>
              <w:pStyle w:val="051Tabletext228pt"/>
              <w:rPr>
                <w:sz w:val="18"/>
                <w:szCs w:val="18"/>
              </w:rPr>
            </w:pPr>
            <w:r w:rsidRPr="005D71A4">
              <w:rPr>
                <w:sz w:val="18"/>
                <w:szCs w:val="18"/>
              </w:rPr>
              <w:t>Centre for Health Economics, Monash University</w:t>
            </w:r>
          </w:p>
          <w:p w14:paraId="343C4497" w14:textId="3CBDEB46" w:rsidR="00334DD8" w:rsidRPr="005D71A4" w:rsidRDefault="0048364F" w:rsidP="00072AF8">
            <w:pPr>
              <w:pStyle w:val="051Tabletext228pt"/>
              <w:rPr>
                <w:sz w:val="18"/>
                <w:szCs w:val="18"/>
              </w:rPr>
            </w:pPr>
            <w:r w:rsidRPr="005D71A4">
              <w:rPr>
                <w:sz w:val="18"/>
                <w:szCs w:val="18"/>
              </w:rPr>
              <w:t xml:space="preserve">Medical Services Advisory Committee </w:t>
            </w:r>
            <w:r w:rsidR="00305A8F" w:rsidRPr="005D71A4">
              <w:rPr>
                <w:sz w:val="18"/>
                <w:szCs w:val="18"/>
              </w:rPr>
              <w:t>(MSAC)</w:t>
            </w:r>
          </w:p>
          <w:p w14:paraId="3F80F323" w14:textId="7349A449" w:rsidR="0029082C" w:rsidRPr="005D71A4" w:rsidRDefault="0029082C" w:rsidP="00072AF8">
            <w:pPr>
              <w:pStyle w:val="051Tabletext228pt"/>
              <w:rPr>
                <w:b/>
                <w:sz w:val="18"/>
                <w:szCs w:val="18"/>
              </w:rPr>
            </w:pPr>
            <w:r w:rsidRPr="005D71A4">
              <w:rPr>
                <w:b/>
                <w:sz w:val="18"/>
                <w:szCs w:val="18"/>
              </w:rPr>
              <w:t>Austria</w:t>
            </w:r>
          </w:p>
          <w:p w14:paraId="3C0DA53C" w14:textId="1F345D92" w:rsidR="0029082C" w:rsidRPr="005D71A4" w:rsidRDefault="008578B2" w:rsidP="00072AF8">
            <w:pPr>
              <w:pStyle w:val="051Tabletext228pt"/>
              <w:rPr>
                <w:sz w:val="18"/>
                <w:szCs w:val="18"/>
              </w:rPr>
            </w:pPr>
            <w:r w:rsidRPr="005D71A4">
              <w:rPr>
                <w:sz w:val="18"/>
                <w:szCs w:val="18"/>
              </w:rPr>
              <w:t>Institute of Technology Assessment, HTA unit</w:t>
            </w:r>
          </w:p>
          <w:p w14:paraId="16EB696F" w14:textId="499FEC0F" w:rsidR="00200EB7" w:rsidRPr="005D71A4" w:rsidRDefault="00200EB7" w:rsidP="00072AF8">
            <w:pPr>
              <w:pStyle w:val="051Tabletext228pt"/>
              <w:rPr>
                <w:b/>
                <w:bCs/>
                <w:sz w:val="18"/>
                <w:szCs w:val="18"/>
              </w:rPr>
            </w:pPr>
            <w:r w:rsidRPr="005D71A4">
              <w:rPr>
                <w:b/>
                <w:bCs/>
                <w:sz w:val="18"/>
                <w:szCs w:val="18"/>
              </w:rPr>
              <w:t>Canada</w:t>
            </w:r>
          </w:p>
          <w:p w14:paraId="244F4471" w14:textId="5EE0B2BA" w:rsidR="00200EB7" w:rsidRPr="005D71A4" w:rsidRDefault="00EB3A72" w:rsidP="00072AF8">
            <w:pPr>
              <w:pStyle w:val="051Tabletext228pt"/>
              <w:rPr>
                <w:sz w:val="18"/>
                <w:szCs w:val="18"/>
              </w:rPr>
            </w:pPr>
            <w:proofErr w:type="spellStart"/>
            <w:r w:rsidRPr="005D71A4">
              <w:rPr>
                <w:sz w:val="18"/>
                <w:szCs w:val="18"/>
              </w:rPr>
              <w:t>Institut</w:t>
            </w:r>
            <w:proofErr w:type="spellEnd"/>
            <w:r w:rsidRPr="005D71A4">
              <w:rPr>
                <w:sz w:val="18"/>
                <w:szCs w:val="18"/>
              </w:rPr>
              <w:t xml:space="preserve"> national </w:t>
            </w:r>
            <w:proofErr w:type="spellStart"/>
            <w:r w:rsidRPr="005D71A4">
              <w:rPr>
                <w:sz w:val="18"/>
                <w:szCs w:val="18"/>
              </w:rPr>
              <w:t>d’excellence</w:t>
            </w:r>
            <w:proofErr w:type="spellEnd"/>
            <w:r w:rsidRPr="005D71A4">
              <w:rPr>
                <w:sz w:val="18"/>
                <w:szCs w:val="18"/>
              </w:rPr>
              <w:t xml:space="preserve"> </w:t>
            </w:r>
            <w:proofErr w:type="spellStart"/>
            <w:r w:rsidRPr="005D71A4">
              <w:rPr>
                <w:sz w:val="18"/>
                <w:szCs w:val="18"/>
              </w:rPr>
              <w:t>en</w:t>
            </w:r>
            <w:proofErr w:type="spellEnd"/>
            <w:r w:rsidRPr="005D71A4">
              <w:rPr>
                <w:sz w:val="18"/>
                <w:szCs w:val="18"/>
              </w:rPr>
              <w:t xml:space="preserve"> </w:t>
            </w:r>
            <w:proofErr w:type="spellStart"/>
            <w:r w:rsidRPr="005D71A4">
              <w:rPr>
                <w:sz w:val="18"/>
                <w:szCs w:val="18"/>
              </w:rPr>
              <w:t>santé</w:t>
            </w:r>
            <w:proofErr w:type="spellEnd"/>
            <w:r w:rsidRPr="005D71A4">
              <w:rPr>
                <w:sz w:val="18"/>
                <w:szCs w:val="18"/>
              </w:rPr>
              <w:t xml:space="preserve"> et </w:t>
            </w:r>
            <w:proofErr w:type="spellStart"/>
            <w:r w:rsidRPr="005D71A4">
              <w:rPr>
                <w:sz w:val="18"/>
                <w:szCs w:val="18"/>
              </w:rPr>
              <w:t>en</w:t>
            </w:r>
            <w:proofErr w:type="spellEnd"/>
            <w:r w:rsidRPr="005D71A4">
              <w:rPr>
                <w:sz w:val="18"/>
                <w:szCs w:val="18"/>
              </w:rPr>
              <w:t xml:space="preserve"> services </w:t>
            </w:r>
            <w:proofErr w:type="spellStart"/>
            <w:r w:rsidRPr="005D71A4">
              <w:rPr>
                <w:sz w:val="18"/>
                <w:szCs w:val="18"/>
              </w:rPr>
              <w:t>sociaux</w:t>
            </w:r>
            <w:proofErr w:type="spellEnd"/>
            <w:r w:rsidRPr="005D71A4">
              <w:rPr>
                <w:sz w:val="18"/>
                <w:szCs w:val="18"/>
              </w:rPr>
              <w:t xml:space="preserve"> (INESSS)</w:t>
            </w:r>
          </w:p>
          <w:p w14:paraId="6F2904AE" w14:textId="1E404236" w:rsidR="00013973" w:rsidRPr="005D71A4" w:rsidRDefault="00013973" w:rsidP="00072AF8">
            <w:pPr>
              <w:pStyle w:val="051Tabletext228pt"/>
              <w:rPr>
                <w:sz w:val="18"/>
                <w:szCs w:val="18"/>
              </w:rPr>
            </w:pPr>
            <w:r w:rsidRPr="005D71A4">
              <w:rPr>
                <w:sz w:val="18"/>
                <w:szCs w:val="18"/>
              </w:rPr>
              <w:t>Alberta Heritage Foundation for Medical Research (AHFMR)</w:t>
            </w:r>
          </w:p>
          <w:p w14:paraId="4459BDF2" w14:textId="2CE21D44" w:rsidR="00C673E7" w:rsidRPr="005D71A4" w:rsidRDefault="00C673E7" w:rsidP="00072AF8">
            <w:pPr>
              <w:pStyle w:val="051Tabletext228pt"/>
              <w:rPr>
                <w:sz w:val="18"/>
                <w:szCs w:val="18"/>
              </w:rPr>
            </w:pPr>
            <w:r w:rsidRPr="005D71A4">
              <w:rPr>
                <w:sz w:val="18"/>
                <w:szCs w:val="18"/>
              </w:rPr>
              <w:t>Alberta Institute of Health Economics</w:t>
            </w:r>
          </w:p>
          <w:p w14:paraId="530AD230" w14:textId="104C02D3" w:rsidR="00D7256F" w:rsidRPr="005D71A4" w:rsidRDefault="00D7256F" w:rsidP="00072AF8">
            <w:pPr>
              <w:pStyle w:val="051Tabletext228pt"/>
              <w:rPr>
                <w:sz w:val="18"/>
                <w:szCs w:val="18"/>
              </w:rPr>
            </w:pPr>
            <w:r w:rsidRPr="005D71A4">
              <w:rPr>
                <w:sz w:val="18"/>
                <w:szCs w:val="18"/>
              </w:rPr>
              <w:t xml:space="preserve">Canadian Agency for Drugs and Technology in Health (CADTH) </w:t>
            </w:r>
          </w:p>
          <w:p w14:paraId="044A23ED" w14:textId="12E7E427" w:rsidR="00FA71A7" w:rsidRPr="005D71A4" w:rsidRDefault="00FA71A7" w:rsidP="00072AF8">
            <w:pPr>
              <w:pStyle w:val="051Tabletext228pt"/>
              <w:rPr>
                <w:sz w:val="18"/>
                <w:szCs w:val="18"/>
              </w:rPr>
            </w:pPr>
            <w:r w:rsidRPr="005D71A4">
              <w:rPr>
                <w:sz w:val="18"/>
                <w:szCs w:val="18"/>
              </w:rPr>
              <w:t>The Canadian Association for Health Services and Policy Research (CAHSPR)</w:t>
            </w:r>
          </w:p>
          <w:p w14:paraId="3834B377" w14:textId="16D009E8" w:rsidR="002B5857" w:rsidRPr="005D71A4" w:rsidRDefault="002B5857" w:rsidP="00072AF8">
            <w:pPr>
              <w:pStyle w:val="051Tabletext228pt"/>
              <w:rPr>
                <w:sz w:val="18"/>
                <w:szCs w:val="18"/>
              </w:rPr>
            </w:pPr>
            <w:r w:rsidRPr="005D71A4">
              <w:rPr>
                <w:sz w:val="18"/>
                <w:szCs w:val="18"/>
              </w:rPr>
              <w:t>Institute for Clinical and Evaluative Studies (ICES)</w:t>
            </w:r>
          </w:p>
          <w:p w14:paraId="6EC23536" w14:textId="304F9882" w:rsidR="000D7A69" w:rsidRPr="005D71A4" w:rsidRDefault="000D7A69" w:rsidP="00072AF8">
            <w:pPr>
              <w:pStyle w:val="051Tabletext228pt"/>
              <w:rPr>
                <w:sz w:val="18"/>
                <w:szCs w:val="18"/>
              </w:rPr>
            </w:pPr>
            <w:r w:rsidRPr="005D71A4">
              <w:rPr>
                <w:sz w:val="18"/>
                <w:szCs w:val="18"/>
              </w:rPr>
              <w:t>Saskatchewan Health Quality Council (Canada)</w:t>
            </w:r>
          </w:p>
          <w:p w14:paraId="17362A9C" w14:textId="63C7E2F2" w:rsidR="00970597" w:rsidRPr="005D71A4" w:rsidRDefault="00970597" w:rsidP="00072AF8">
            <w:pPr>
              <w:pStyle w:val="051Tabletext228pt"/>
              <w:rPr>
                <w:b/>
                <w:bCs/>
                <w:sz w:val="18"/>
                <w:szCs w:val="18"/>
              </w:rPr>
            </w:pPr>
            <w:r w:rsidRPr="005D71A4">
              <w:rPr>
                <w:b/>
                <w:bCs/>
                <w:sz w:val="18"/>
                <w:szCs w:val="18"/>
              </w:rPr>
              <w:t>Denmark</w:t>
            </w:r>
          </w:p>
          <w:p w14:paraId="503EC015" w14:textId="0D35A33B" w:rsidR="00970597" w:rsidRPr="005D71A4" w:rsidRDefault="00EF5596" w:rsidP="00072AF8">
            <w:pPr>
              <w:pStyle w:val="051Tabletext228pt"/>
              <w:rPr>
                <w:sz w:val="18"/>
                <w:szCs w:val="18"/>
              </w:rPr>
            </w:pPr>
            <w:r w:rsidRPr="005D71A4">
              <w:rPr>
                <w:sz w:val="18"/>
                <w:szCs w:val="18"/>
              </w:rPr>
              <w:t>Danish National Institute Of Public Health</w:t>
            </w:r>
          </w:p>
          <w:p w14:paraId="3A96B1F2" w14:textId="0CFF93BA" w:rsidR="00EF5596" w:rsidRPr="005D71A4" w:rsidRDefault="003D54BD" w:rsidP="00072AF8">
            <w:pPr>
              <w:pStyle w:val="051Tabletext228pt"/>
              <w:rPr>
                <w:b/>
                <w:sz w:val="18"/>
                <w:szCs w:val="18"/>
              </w:rPr>
            </w:pPr>
            <w:r w:rsidRPr="005D71A4">
              <w:rPr>
                <w:b/>
                <w:bCs/>
                <w:sz w:val="18"/>
                <w:szCs w:val="18"/>
              </w:rPr>
              <w:t>Finland</w:t>
            </w:r>
          </w:p>
          <w:p w14:paraId="0E374266" w14:textId="6692171A" w:rsidR="003D54BD" w:rsidRPr="005D71A4" w:rsidRDefault="008206F4" w:rsidP="00072AF8">
            <w:pPr>
              <w:pStyle w:val="051Tabletext228pt"/>
              <w:rPr>
                <w:sz w:val="18"/>
                <w:szCs w:val="18"/>
              </w:rPr>
            </w:pPr>
            <w:r w:rsidRPr="005D71A4">
              <w:rPr>
                <w:sz w:val="18"/>
                <w:szCs w:val="18"/>
              </w:rPr>
              <w:t>Finnish National Institute for Health and Welfare</w:t>
            </w:r>
          </w:p>
          <w:p w14:paraId="7DED7DDF" w14:textId="1BD52C55" w:rsidR="008206F4" w:rsidRPr="005D71A4" w:rsidRDefault="002422F8" w:rsidP="00072AF8">
            <w:pPr>
              <w:pStyle w:val="051Tabletext228pt"/>
              <w:rPr>
                <w:b/>
                <w:sz w:val="18"/>
                <w:szCs w:val="18"/>
              </w:rPr>
            </w:pPr>
            <w:r w:rsidRPr="005D71A4">
              <w:rPr>
                <w:b/>
                <w:bCs/>
                <w:sz w:val="18"/>
                <w:szCs w:val="18"/>
              </w:rPr>
              <w:t>Germany</w:t>
            </w:r>
          </w:p>
          <w:p w14:paraId="4B7A3DB8" w14:textId="564E6B56" w:rsidR="002422F8" w:rsidRPr="005D71A4" w:rsidRDefault="00B864C0" w:rsidP="00072AF8">
            <w:pPr>
              <w:pStyle w:val="051Tabletext228pt"/>
              <w:rPr>
                <w:sz w:val="18"/>
                <w:szCs w:val="18"/>
              </w:rPr>
            </w:pPr>
            <w:r w:rsidRPr="005D71A4">
              <w:rPr>
                <w:sz w:val="18"/>
                <w:szCs w:val="18"/>
              </w:rPr>
              <w:t>Institute for Quality and Efficiency in Health Care (</w:t>
            </w:r>
            <w:proofErr w:type="spellStart"/>
            <w:r w:rsidRPr="005D71A4">
              <w:rPr>
                <w:sz w:val="18"/>
                <w:szCs w:val="18"/>
              </w:rPr>
              <w:t>IQWiG</w:t>
            </w:r>
            <w:proofErr w:type="spellEnd"/>
            <w:r w:rsidRPr="005D71A4">
              <w:rPr>
                <w:sz w:val="18"/>
                <w:szCs w:val="18"/>
              </w:rPr>
              <w:t>)</w:t>
            </w:r>
          </w:p>
          <w:p w14:paraId="0B4BC23A" w14:textId="2ED795AD" w:rsidR="00B50F64" w:rsidRPr="005D71A4" w:rsidRDefault="00B50F64" w:rsidP="00072AF8">
            <w:pPr>
              <w:pStyle w:val="051Tabletext228pt"/>
              <w:rPr>
                <w:b/>
                <w:bCs/>
                <w:sz w:val="18"/>
                <w:szCs w:val="18"/>
              </w:rPr>
            </w:pPr>
            <w:r w:rsidRPr="005D71A4">
              <w:rPr>
                <w:b/>
                <w:bCs/>
                <w:sz w:val="18"/>
                <w:szCs w:val="18"/>
              </w:rPr>
              <w:t>The Netherlands</w:t>
            </w:r>
          </w:p>
          <w:p w14:paraId="52B875B3" w14:textId="7E8F9153" w:rsidR="00B50F64" w:rsidRPr="005D71A4" w:rsidRDefault="007C2E3C" w:rsidP="00072AF8">
            <w:pPr>
              <w:pStyle w:val="051Tabletext228pt"/>
              <w:rPr>
                <w:sz w:val="18"/>
                <w:szCs w:val="18"/>
              </w:rPr>
            </w:pPr>
            <w:r w:rsidRPr="005D71A4">
              <w:rPr>
                <w:sz w:val="18"/>
                <w:szCs w:val="18"/>
              </w:rPr>
              <w:t>Health Council of the Netherlands (</w:t>
            </w:r>
            <w:proofErr w:type="spellStart"/>
            <w:r w:rsidRPr="005D71A4">
              <w:rPr>
                <w:sz w:val="18"/>
                <w:szCs w:val="18"/>
              </w:rPr>
              <w:t>Gezondheidsraad</w:t>
            </w:r>
            <w:proofErr w:type="spellEnd"/>
            <w:r w:rsidRPr="005D71A4">
              <w:rPr>
                <w:sz w:val="18"/>
                <w:szCs w:val="18"/>
              </w:rPr>
              <w:t>)</w:t>
            </w:r>
          </w:p>
          <w:p w14:paraId="44456EAC" w14:textId="4710F338" w:rsidR="007C2E3C" w:rsidRPr="005D71A4" w:rsidRDefault="000F4F41" w:rsidP="00072AF8">
            <w:pPr>
              <w:pStyle w:val="051Tabletext228pt"/>
              <w:rPr>
                <w:b/>
                <w:sz w:val="18"/>
                <w:szCs w:val="18"/>
              </w:rPr>
            </w:pPr>
            <w:r w:rsidRPr="005D71A4">
              <w:rPr>
                <w:b/>
                <w:bCs/>
                <w:sz w:val="18"/>
                <w:szCs w:val="18"/>
              </w:rPr>
              <w:t>New Zealand</w:t>
            </w:r>
          </w:p>
          <w:p w14:paraId="358A0FB0" w14:textId="254CF3C3" w:rsidR="000F4F41" w:rsidRPr="005D71A4" w:rsidRDefault="00CF4AEA" w:rsidP="00072AF8">
            <w:pPr>
              <w:pStyle w:val="051Tabletext228pt"/>
              <w:rPr>
                <w:sz w:val="18"/>
                <w:szCs w:val="18"/>
              </w:rPr>
            </w:pPr>
            <w:r w:rsidRPr="005D71A4">
              <w:rPr>
                <w:sz w:val="18"/>
                <w:szCs w:val="18"/>
              </w:rPr>
              <w:t>New Zealand Health Technology Assessment (NZHTA)</w:t>
            </w:r>
          </w:p>
          <w:p w14:paraId="3980BBC4" w14:textId="335D8489" w:rsidR="00551E6F" w:rsidRPr="005D71A4" w:rsidRDefault="00551E6F" w:rsidP="00072AF8">
            <w:pPr>
              <w:pStyle w:val="051Tabletext228pt"/>
              <w:rPr>
                <w:b/>
                <w:bCs/>
                <w:sz w:val="18"/>
                <w:szCs w:val="18"/>
              </w:rPr>
            </w:pPr>
            <w:r w:rsidRPr="005D71A4">
              <w:rPr>
                <w:b/>
                <w:bCs/>
                <w:sz w:val="18"/>
                <w:szCs w:val="18"/>
              </w:rPr>
              <w:t>Norway</w:t>
            </w:r>
          </w:p>
          <w:p w14:paraId="414C2841" w14:textId="6F1175B4" w:rsidR="00551E6F" w:rsidRPr="005D71A4" w:rsidRDefault="0073744D" w:rsidP="00072AF8">
            <w:pPr>
              <w:pStyle w:val="051Tabletext228pt"/>
              <w:rPr>
                <w:sz w:val="18"/>
                <w:szCs w:val="18"/>
              </w:rPr>
            </w:pPr>
            <w:r w:rsidRPr="005D71A4">
              <w:rPr>
                <w:sz w:val="18"/>
                <w:szCs w:val="18"/>
              </w:rPr>
              <w:t>New Zealand Health Technology Assessment (NZHTA)</w:t>
            </w:r>
          </w:p>
          <w:p w14:paraId="4A9DEC00" w14:textId="6CF61AB9" w:rsidR="0073744D" w:rsidRPr="005D71A4" w:rsidRDefault="0073744D" w:rsidP="00072AF8">
            <w:pPr>
              <w:pStyle w:val="051Tabletext228pt"/>
              <w:rPr>
                <w:b/>
                <w:bCs/>
                <w:sz w:val="18"/>
                <w:szCs w:val="18"/>
              </w:rPr>
            </w:pPr>
            <w:r w:rsidRPr="005D71A4">
              <w:rPr>
                <w:b/>
                <w:bCs/>
                <w:sz w:val="18"/>
                <w:szCs w:val="18"/>
              </w:rPr>
              <w:t>S</w:t>
            </w:r>
            <w:r w:rsidR="005A5515" w:rsidRPr="005D71A4">
              <w:rPr>
                <w:b/>
                <w:bCs/>
                <w:sz w:val="18"/>
                <w:szCs w:val="18"/>
              </w:rPr>
              <w:t>weden</w:t>
            </w:r>
          </w:p>
          <w:p w14:paraId="25E1AE50" w14:textId="7806291C" w:rsidR="005A5515" w:rsidRPr="005D71A4" w:rsidRDefault="000F40ED" w:rsidP="00072AF8">
            <w:pPr>
              <w:pStyle w:val="051Tabletext228pt"/>
              <w:rPr>
                <w:sz w:val="18"/>
                <w:szCs w:val="18"/>
              </w:rPr>
            </w:pPr>
            <w:proofErr w:type="spellStart"/>
            <w:r w:rsidRPr="005D71A4">
              <w:rPr>
                <w:sz w:val="18"/>
                <w:szCs w:val="18"/>
              </w:rPr>
              <w:t>Center</w:t>
            </w:r>
            <w:proofErr w:type="spellEnd"/>
            <w:r w:rsidRPr="005D71A4">
              <w:rPr>
                <w:sz w:val="18"/>
                <w:szCs w:val="18"/>
              </w:rPr>
              <w:t xml:space="preserve"> for Medical Health Technology Assessment</w:t>
            </w:r>
          </w:p>
          <w:p w14:paraId="5259DF9B" w14:textId="078BBE7B" w:rsidR="0073744D" w:rsidRPr="005D71A4" w:rsidRDefault="0081057C" w:rsidP="00072AF8">
            <w:pPr>
              <w:pStyle w:val="051Tabletext228pt"/>
              <w:rPr>
                <w:sz w:val="18"/>
                <w:szCs w:val="18"/>
              </w:rPr>
            </w:pPr>
            <w:r w:rsidRPr="005D71A4">
              <w:rPr>
                <w:sz w:val="18"/>
                <w:szCs w:val="18"/>
              </w:rPr>
              <w:t>Swedish Council on Technology Assessment in Health Care (SBU)</w:t>
            </w:r>
          </w:p>
          <w:p w14:paraId="57895743" w14:textId="78947F77" w:rsidR="00982977" w:rsidRPr="005D71A4" w:rsidRDefault="00982977" w:rsidP="00072AF8">
            <w:pPr>
              <w:pStyle w:val="051Tabletext228pt"/>
              <w:rPr>
                <w:b/>
                <w:bCs/>
                <w:sz w:val="18"/>
                <w:szCs w:val="18"/>
              </w:rPr>
            </w:pPr>
            <w:r w:rsidRPr="005D71A4">
              <w:rPr>
                <w:b/>
                <w:bCs/>
                <w:sz w:val="18"/>
                <w:szCs w:val="18"/>
              </w:rPr>
              <w:t>United Kingdom</w:t>
            </w:r>
          </w:p>
          <w:p w14:paraId="58DA9C19" w14:textId="4CC4196F" w:rsidR="0007384A" w:rsidRPr="005D71A4" w:rsidRDefault="0007384A" w:rsidP="00072AF8">
            <w:pPr>
              <w:pStyle w:val="051Tabletext228pt"/>
              <w:rPr>
                <w:sz w:val="18"/>
                <w:szCs w:val="18"/>
              </w:rPr>
            </w:pPr>
            <w:r w:rsidRPr="005D71A4">
              <w:rPr>
                <w:sz w:val="18"/>
                <w:szCs w:val="18"/>
              </w:rPr>
              <w:t>National Health Service Health Technology Assessment/ National Coordinating Centre for Health Technology Assessment (NCCHTA)</w:t>
            </w:r>
          </w:p>
          <w:p w14:paraId="602074EF" w14:textId="512D5E42" w:rsidR="0007384A" w:rsidRPr="005D71A4" w:rsidRDefault="00D84F38" w:rsidP="00072AF8">
            <w:pPr>
              <w:pStyle w:val="051Tabletext228pt"/>
              <w:rPr>
                <w:sz w:val="18"/>
                <w:szCs w:val="18"/>
              </w:rPr>
            </w:pPr>
            <w:r w:rsidRPr="005D71A4">
              <w:rPr>
                <w:sz w:val="18"/>
                <w:szCs w:val="18"/>
              </w:rPr>
              <w:t>NHS Quality Improvement Scotland</w:t>
            </w:r>
          </w:p>
          <w:p w14:paraId="2F4AFD0E" w14:textId="50231457" w:rsidR="00D84F38" w:rsidRPr="005D71A4" w:rsidRDefault="00005B60" w:rsidP="00072AF8">
            <w:pPr>
              <w:pStyle w:val="051Tabletext228pt"/>
              <w:rPr>
                <w:sz w:val="18"/>
                <w:szCs w:val="18"/>
              </w:rPr>
            </w:pPr>
            <w:r w:rsidRPr="005D71A4">
              <w:rPr>
                <w:sz w:val="18"/>
                <w:szCs w:val="18"/>
              </w:rPr>
              <w:t>National Institute for Health and Care Excellence (NICE)</w:t>
            </w:r>
          </w:p>
          <w:p w14:paraId="0BF2CAA5" w14:textId="48A0AEF0" w:rsidR="00005B60" w:rsidRPr="005D71A4" w:rsidRDefault="00F3371E" w:rsidP="00072AF8">
            <w:pPr>
              <w:pStyle w:val="051Tabletext228pt"/>
              <w:rPr>
                <w:sz w:val="18"/>
                <w:szCs w:val="18"/>
              </w:rPr>
            </w:pPr>
            <w:r w:rsidRPr="005D71A4">
              <w:rPr>
                <w:sz w:val="18"/>
                <w:szCs w:val="18"/>
              </w:rPr>
              <w:lastRenderedPageBreak/>
              <w:t>University of York NHS Centre for Reviews and Dissemination (NHS CRD)</w:t>
            </w:r>
          </w:p>
          <w:p w14:paraId="4FB3D558" w14:textId="77777777" w:rsidR="0033723E" w:rsidRPr="005D71A4" w:rsidRDefault="0033723E" w:rsidP="00072AF8">
            <w:pPr>
              <w:pStyle w:val="051Tabletext228pt"/>
              <w:rPr>
                <w:b/>
                <w:bCs/>
                <w:sz w:val="18"/>
                <w:szCs w:val="18"/>
              </w:rPr>
            </w:pPr>
            <w:r w:rsidRPr="005D71A4">
              <w:rPr>
                <w:b/>
                <w:bCs/>
                <w:sz w:val="18"/>
                <w:szCs w:val="18"/>
              </w:rPr>
              <w:t>United States</w:t>
            </w:r>
          </w:p>
          <w:p w14:paraId="4879BC01" w14:textId="77777777" w:rsidR="0033723E" w:rsidRPr="005D71A4" w:rsidRDefault="00F96A7A" w:rsidP="00072AF8">
            <w:pPr>
              <w:pStyle w:val="051Tabletext228pt"/>
              <w:rPr>
                <w:sz w:val="18"/>
                <w:szCs w:val="18"/>
              </w:rPr>
            </w:pPr>
            <w:r w:rsidRPr="005D71A4">
              <w:rPr>
                <w:sz w:val="18"/>
                <w:szCs w:val="18"/>
              </w:rPr>
              <w:t>Agency for Healthcare Research and Quality (AHRQ)</w:t>
            </w:r>
          </w:p>
          <w:p w14:paraId="055BF8BF" w14:textId="77777777" w:rsidR="00F96A7A" w:rsidRPr="005D71A4" w:rsidRDefault="00600A34" w:rsidP="00072AF8">
            <w:pPr>
              <w:pStyle w:val="051Tabletext228pt"/>
              <w:rPr>
                <w:sz w:val="18"/>
                <w:szCs w:val="18"/>
              </w:rPr>
            </w:pPr>
            <w:r w:rsidRPr="005D71A4">
              <w:rPr>
                <w:sz w:val="18"/>
                <w:szCs w:val="18"/>
              </w:rPr>
              <w:t>Harvard School of Public Health</w:t>
            </w:r>
          </w:p>
          <w:p w14:paraId="2426798C" w14:textId="77777777" w:rsidR="00600A34" w:rsidRPr="005D71A4" w:rsidRDefault="00067CD6" w:rsidP="00072AF8">
            <w:pPr>
              <w:pStyle w:val="051Tabletext228pt"/>
              <w:rPr>
                <w:sz w:val="18"/>
                <w:szCs w:val="18"/>
              </w:rPr>
            </w:pPr>
            <w:r w:rsidRPr="005D71A4">
              <w:rPr>
                <w:sz w:val="18"/>
                <w:szCs w:val="18"/>
              </w:rPr>
              <w:t>Institute for Clinical and Economic Review (ICER)</w:t>
            </w:r>
          </w:p>
          <w:p w14:paraId="470383ED" w14:textId="77777777" w:rsidR="00067CD6" w:rsidRPr="005D71A4" w:rsidRDefault="003C4FE2" w:rsidP="00072AF8">
            <w:pPr>
              <w:pStyle w:val="051Tabletext228pt"/>
              <w:rPr>
                <w:sz w:val="18"/>
                <w:szCs w:val="18"/>
              </w:rPr>
            </w:pPr>
            <w:r w:rsidRPr="005D71A4">
              <w:rPr>
                <w:sz w:val="18"/>
                <w:szCs w:val="18"/>
              </w:rPr>
              <w:t>Institute for Clinical Systems Improvement (ICSI)</w:t>
            </w:r>
          </w:p>
          <w:p w14:paraId="38AC088A" w14:textId="37653608" w:rsidR="003C4FE2" w:rsidRPr="005D71A4" w:rsidRDefault="00D3558F" w:rsidP="00072AF8">
            <w:pPr>
              <w:pStyle w:val="051Tabletext228pt"/>
              <w:rPr>
                <w:sz w:val="18"/>
                <w:szCs w:val="18"/>
              </w:rPr>
            </w:pPr>
            <w:r w:rsidRPr="005D71A4">
              <w:rPr>
                <w:sz w:val="18"/>
                <w:szCs w:val="18"/>
              </w:rPr>
              <w:t>Office of Health Technology Assessment Archive</w:t>
            </w:r>
          </w:p>
          <w:p w14:paraId="54625CFF" w14:textId="11666E8D" w:rsidR="005314A3" w:rsidRPr="005D71A4" w:rsidRDefault="00DB28AE" w:rsidP="00072AF8">
            <w:pPr>
              <w:pStyle w:val="051Tabletext228pt"/>
              <w:rPr>
                <w:sz w:val="18"/>
                <w:szCs w:val="18"/>
                <w:highlight w:val="yellow"/>
              </w:rPr>
            </w:pPr>
            <w:r w:rsidRPr="005D71A4">
              <w:rPr>
                <w:sz w:val="18"/>
                <w:szCs w:val="18"/>
              </w:rPr>
              <w:t>Veteran’s Affairs Research and Development Technology Assessment Program</w:t>
            </w:r>
          </w:p>
        </w:tc>
        <w:tc>
          <w:tcPr>
            <w:tcW w:w="1095" w:type="dxa"/>
            <w:shd w:val="clear" w:color="auto" w:fill="auto"/>
          </w:tcPr>
          <w:p w14:paraId="17F0D0D4" w14:textId="31DC9895" w:rsidR="000C4212" w:rsidRPr="005D71A4" w:rsidRDefault="000C4212" w:rsidP="00072AF8">
            <w:pPr>
              <w:pStyle w:val="051Tabletext228pt"/>
              <w:rPr>
                <w:sz w:val="18"/>
                <w:szCs w:val="18"/>
                <w:highlight w:val="yellow"/>
              </w:rPr>
            </w:pPr>
            <w:r w:rsidRPr="005D71A4">
              <w:rPr>
                <w:sz w:val="18"/>
                <w:szCs w:val="18"/>
              </w:rPr>
              <w:lastRenderedPageBreak/>
              <w:t>Last 10 years</w:t>
            </w:r>
          </w:p>
          <w:p w14:paraId="13B3ABAF" w14:textId="18682588" w:rsidR="005314A3" w:rsidRPr="005D71A4" w:rsidRDefault="005314A3" w:rsidP="00072AF8">
            <w:pPr>
              <w:pStyle w:val="051Tabletext228pt"/>
              <w:rPr>
                <w:sz w:val="18"/>
                <w:szCs w:val="18"/>
                <w:highlight w:val="yellow"/>
              </w:rPr>
            </w:pPr>
          </w:p>
        </w:tc>
        <w:tc>
          <w:tcPr>
            <w:tcW w:w="2022" w:type="dxa"/>
          </w:tcPr>
          <w:p w14:paraId="0406A224" w14:textId="77777777" w:rsidR="003E1D94" w:rsidRPr="005D71A4" w:rsidRDefault="003E1D94" w:rsidP="003E1D94">
            <w:pPr>
              <w:pStyle w:val="051Tabletext228pt"/>
              <w:rPr>
                <w:sz w:val="18"/>
                <w:szCs w:val="18"/>
              </w:rPr>
            </w:pPr>
            <w:r w:rsidRPr="005D71A4">
              <w:rPr>
                <w:sz w:val="18"/>
                <w:szCs w:val="18"/>
              </w:rPr>
              <w:t>mid-urethral sling</w:t>
            </w:r>
          </w:p>
          <w:p w14:paraId="0D86F362" w14:textId="77777777" w:rsidR="003E1D94" w:rsidRPr="005D71A4" w:rsidRDefault="003E1D94" w:rsidP="003E1D94">
            <w:pPr>
              <w:pStyle w:val="051Tabletext228pt"/>
              <w:rPr>
                <w:sz w:val="18"/>
                <w:szCs w:val="18"/>
              </w:rPr>
            </w:pPr>
            <w:proofErr w:type="spellStart"/>
            <w:r w:rsidRPr="005D71A4">
              <w:rPr>
                <w:sz w:val="18"/>
                <w:szCs w:val="18"/>
              </w:rPr>
              <w:t>midurethral</w:t>
            </w:r>
            <w:proofErr w:type="spellEnd"/>
            <w:r w:rsidRPr="005D71A4">
              <w:rPr>
                <w:sz w:val="18"/>
                <w:szCs w:val="18"/>
              </w:rPr>
              <w:t xml:space="preserve"> sling</w:t>
            </w:r>
          </w:p>
          <w:p w14:paraId="0D33A1D7" w14:textId="77777777" w:rsidR="003E1D94" w:rsidRPr="005D71A4" w:rsidRDefault="003E1D94" w:rsidP="003E1D94">
            <w:pPr>
              <w:pStyle w:val="051Tabletext228pt"/>
              <w:rPr>
                <w:sz w:val="18"/>
                <w:szCs w:val="18"/>
              </w:rPr>
            </w:pPr>
            <w:r w:rsidRPr="005D71A4">
              <w:rPr>
                <w:sz w:val="18"/>
                <w:szCs w:val="18"/>
              </w:rPr>
              <w:t>stress urinary incontinence</w:t>
            </w:r>
          </w:p>
          <w:p w14:paraId="10D4612B" w14:textId="77777777" w:rsidR="003E1D94" w:rsidRPr="005D71A4" w:rsidRDefault="003E1D94" w:rsidP="003E1D94">
            <w:pPr>
              <w:pStyle w:val="051Tabletext228pt"/>
              <w:rPr>
                <w:sz w:val="18"/>
                <w:szCs w:val="18"/>
              </w:rPr>
            </w:pPr>
            <w:proofErr w:type="spellStart"/>
            <w:r w:rsidRPr="005D71A4">
              <w:rPr>
                <w:sz w:val="18"/>
                <w:szCs w:val="18"/>
              </w:rPr>
              <w:t>urogynaecological</w:t>
            </w:r>
            <w:proofErr w:type="spellEnd"/>
            <w:r w:rsidRPr="005D71A4">
              <w:rPr>
                <w:sz w:val="18"/>
                <w:szCs w:val="18"/>
              </w:rPr>
              <w:t xml:space="preserve"> mesh</w:t>
            </w:r>
          </w:p>
          <w:p w14:paraId="1D064778" w14:textId="3EA05A9B" w:rsidR="005314A3" w:rsidRPr="005D71A4" w:rsidRDefault="003E1D94" w:rsidP="003E1D94">
            <w:pPr>
              <w:pStyle w:val="051Tabletext228pt"/>
              <w:rPr>
                <w:sz w:val="18"/>
                <w:szCs w:val="18"/>
                <w:highlight w:val="yellow"/>
              </w:rPr>
            </w:pPr>
            <w:proofErr w:type="spellStart"/>
            <w:r w:rsidRPr="005D71A4">
              <w:rPr>
                <w:sz w:val="18"/>
                <w:szCs w:val="18"/>
              </w:rPr>
              <w:t>urogynecological</w:t>
            </w:r>
            <w:proofErr w:type="spellEnd"/>
            <w:r w:rsidRPr="005D71A4">
              <w:rPr>
                <w:sz w:val="18"/>
                <w:szCs w:val="18"/>
              </w:rPr>
              <w:t xml:space="preserve"> mesh</w:t>
            </w:r>
          </w:p>
        </w:tc>
      </w:tr>
      <w:tr w:rsidR="00C4742D" w:rsidRPr="00B0485F" w14:paraId="15D4D04D" w14:textId="77777777" w:rsidTr="00022055">
        <w:tc>
          <w:tcPr>
            <w:tcW w:w="993" w:type="dxa"/>
            <w:shd w:val="clear" w:color="auto" w:fill="auto"/>
          </w:tcPr>
          <w:p w14:paraId="198FE63A" w14:textId="31FB527A" w:rsidR="00C4742D" w:rsidRPr="005D71A4" w:rsidRDefault="00C4742D" w:rsidP="002C3A45">
            <w:pPr>
              <w:pStyle w:val="031Tablesubheading8pt"/>
              <w:keepNext w:val="0"/>
              <w:rPr>
                <w:sz w:val="18"/>
                <w:szCs w:val="18"/>
              </w:rPr>
            </w:pPr>
            <w:r w:rsidRPr="005D71A4">
              <w:rPr>
                <w:sz w:val="18"/>
                <w:szCs w:val="18"/>
              </w:rPr>
              <w:t>Guidelines</w:t>
            </w:r>
            <w:r w:rsidR="00E56A1D" w:rsidRPr="005D71A4">
              <w:rPr>
                <w:sz w:val="18"/>
                <w:szCs w:val="18"/>
              </w:rPr>
              <w:t xml:space="preserve"> </w:t>
            </w:r>
          </w:p>
        </w:tc>
        <w:tc>
          <w:tcPr>
            <w:tcW w:w="5528" w:type="dxa"/>
            <w:shd w:val="clear" w:color="auto" w:fill="auto"/>
          </w:tcPr>
          <w:p w14:paraId="4642E320" w14:textId="05ED2861" w:rsidR="00C4742D" w:rsidRPr="005D71A4" w:rsidRDefault="00E56A1D" w:rsidP="00072AF8">
            <w:pPr>
              <w:pStyle w:val="051Tabletext228pt"/>
              <w:rPr>
                <w:sz w:val="18"/>
                <w:szCs w:val="18"/>
              </w:rPr>
            </w:pPr>
            <w:r w:rsidRPr="005D71A4">
              <w:rPr>
                <w:sz w:val="18"/>
                <w:szCs w:val="18"/>
              </w:rPr>
              <w:t>Guidelines International Network (GIN)</w:t>
            </w:r>
            <w:r w:rsidR="00AB7C13" w:rsidRPr="005D71A4">
              <w:rPr>
                <w:sz w:val="18"/>
                <w:szCs w:val="18"/>
              </w:rPr>
              <w:t xml:space="preserve"> (</w:t>
            </w:r>
            <w:hyperlink r:id="rId44" w:tooltip="Link goes to Guidelines International Network guideline library and registry of guidelines in development" w:history="1">
              <w:r w:rsidR="009D4337" w:rsidRPr="005D71A4">
                <w:rPr>
                  <w:rStyle w:val="Hyperlink"/>
                  <w:sz w:val="18"/>
                  <w:szCs w:val="18"/>
                </w:rPr>
                <w:t>https://guidelines.ebmportal.com/</w:t>
              </w:r>
            </w:hyperlink>
            <w:r w:rsidR="00AB7C13" w:rsidRPr="005D71A4">
              <w:rPr>
                <w:sz w:val="18"/>
                <w:szCs w:val="18"/>
              </w:rPr>
              <w:t xml:space="preserve">) </w:t>
            </w:r>
          </w:p>
          <w:p w14:paraId="4080073A" w14:textId="450F0CB6" w:rsidR="00C4742D" w:rsidRPr="005D71A4" w:rsidRDefault="006C7EB1" w:rsidP="00072AF8">
            <w:pPr>
              <w:pStyle w:val="051Tabletext228pt"/>
              <w:rPr>
                <w:sz w:val="18"/>
                <w:szCs w:val="18"/>
                <w:highlight w:val="yellow"/>
              </w:rPr>
            </w:pPr>
            <w:r w:rsidRPr="005D71A4">
              <w:rPr>
                <w:sz w:val="18"/>
                <w:szCs w:val="18"/>
              </w:rPr>
              <w:t>National Institute for Health and Care Excellence (NICE)</w:t>
            </w:r>
          </w:p>
        </w:tc>
        <w:tc>
          <w:tcPr>
            <w:tcW w:w="1095" w:type="dxa"/>
            <w:shd w:val="clear" w:color="auto" w:fill="auto"/>
          </w:tcPr>
          <w:p w14:paraId="0AA212D7" w14:textId="5D74F858" w:rsidR="00C4742D" w:rsidRPr="005D71A4" w:rsidRDefault="000C4212" w:rsidP="00072AF8">
            <w:pPr>
              <w:pStyle w:val="051Tabletext228pt"/>
              <w:rPr>
                <w:sz w:val="18"/>
                <w:szCs w:val="18"/>
                <w:highlight w:val="yellow"/>
              </w:rPr>
            </w:pPr>
            <w:r w:rsidRPr="005D71A4">
              <w:rPr>
                <w:sz w:val="18"/>
                <w:szCs w:val="18"/>
              </w:rPr>
              <w:t>Last 10 years</w:t>
            </w:r>
          </w:p>
        </w:tc>
        <w:tc>
          <w:tcPr>
            <w:tcW w:w="2022" w:type="dxa"/>
          </w:tcPr>
          <w:p w14:paraId="1A0290D2" w14:textId="18AD84D5" w:rsidR="00C4742D" w:rsidRPr="005D71A4" w:rsidRDefault="00C81944" w:rsidP="00072AF8">
            <w:pPr>
              <w:pStyle w:val="051Tabletext228pt"/>
              <w:rPr>
                <w:sz w:val="18"/>
                <w:szCs w:val="18"/>
              </w:rPr>
            </w:pPr>
            <w:r w:rsidRPr="005D71A4">
              <w:rPr>
                <w:sz w:val="18"/>
                <w:szCs w:val="18"/>
              </w:rPr>
              <w:t>m</w:t>
            </w:r>
            <w:r w:rsidR="00E56A1D" w:rsidRPr="005D71A4">
              <w:rPr>
                <w:sz w:val="18"/>
                <w:szCs w:val="18"/>
              </w:rPr>
              <w:t>id-urethral sling</w:t>
            </w:r>
          </w:p>
          <w:p w14:paraId="4570C0BF" w14:textId="0F963819" w:rsidR="00E56A1D" w:rsidRPr="005D71A4" w:rsidRDefault="00C81944" w:rsidP="00072AF8">
            <w:pPr>
              <w:pStyle w:val="051Tabletext228pt"/>
              <w:rPr>
                <w:sz w:val="18"/>
                <w:szCs w:val="18"/>
              </w:rPr>
            </w:pPr>
            <w:proofErr w:type="spellStart"/>
            <w:r w:rsidRPr="005D71A4">
              <w:rPr>
                <w:sz w:val="18"/>
                <w:szCs w:val="18"/>
              </w:rPr>
              <w:t>m</w:t>
            </w:r>
            <w:r w:rsidR="00E56A1D" w:rsidRPr="005D71A4">
              <w:rPr>
                <w:sz w:val="18"/>
                <w:szCs w:val="18"/>
              </w:rPr>
              <w:t>idurethral</w:t>
            </w:r>
            <w:proofErr w:type="spellEnd"/>
            <w:r w:rsidR="00E56A1D" w:rsidRPr="005D71A4">
              <w:rPr>
                <w:sz w:val="18"/>
                <w:szCs w:val="18"/>
              </w:rPr>
              <w:t xml:space="preserve"> sling</w:t>
            </w:r>
          </w:p>
          <w:p w14:paraId="0373EF3E" w14:textId="4D62E0D8" w:rsidR="00C81944" w:rsidRPr="005D71A4" w:rsidRDefault="00C81944" w:rsidP="00072AF8">
            <w:pPr>
              <w:pStyle w:val="051Tabletext228pt"/>
              <w:rPr>
                <w:sz w:val="18"/>
                <w:szCs w:val="18"/>
              </w:rPr>
            </w:pPr>
            <w:r w:rsidRPr="005D71A4">
              <w:rPr>
                <w:sz w:val="18"/>
                <w:szCs w:val="18"/>
              </w:rPr>
              <w:t>stress urinary incontinence</w:t>
            </w:r>
          </w:p>
          <w:p w14:paraId="1D1876F6" w14:textId="14D1C99D" w:rsidR="00C81944" w:rsidRPr="005D71A4" w:rsidRDefault="00C81944" w:rsidP="00072AF8">
            <w:pPr>
              <w:pStyle w:val="051Tabletext228pt"/>
              <w:rPr>
                <w:sz w:val="18"/>
                <w:szCs w:val="18"/>
              </w:rPr>
            </w:pPr>
            <w:proofErr w:type="spellStart"/>
            <w:r w:rsidRPr="005D71A4">
              <w:rPr>
                <w:sz w:val="18"/>
                <w:szCs w:val="18"/>
              </w:rPr>
              <w:t>urogynaecological</w:t>
            </w:r>
            <w:proofErr w:type="spellEnd"/>
            <w:r w:rsidRPr="005D71A4">
              <w:rPr>
                <w:sz w:val="18"/>
                <w:szCs w:val="18"/>
              </w:rPr>
              <w:t xml:space="preserve"> mesh</w:t>
            </w:r>
          </w:p>
          <w:p w14:paraId="06B9829F" w14:textId="097A10D5" w:rsidR="00C81944" w:rsidRPr="005D71A4" w:rsidRDefault="00C81944" w:rsidP="00072AF8">
            <w:pPr>
              <w:pStyle w:val="051Tabletext228pt"/>
              <w:rPr>
                <w:sz w:val="18"/>
                <w:szCs w:val="18"/>
                <w:highlight w:val="yellow"/>
              </w:rPr>
            </w:pPr>
            <w:proofErr w:type="spellStart"/>
            <w:r w:rsidRPr="005D71A4">
              <w:rPr>
                <w:sz w:val="18"/>
                <w:szCs w:val="18"/>
              </w:rPr>
              <w:t>urogynecological</w:t>
            </w:r>
            <w:proofErr w:type="spellEnd"/>
            <w:r w:rsidRPr="005D71A4">
              <w:rPr>
                <w:sz w:val="18"/>
                <w:szCs w:val="18"/>
              </w:rPr>
              <w:t xml:space="preserve"> mesh</w:t>
            </w:r>
          </w:p>
        </w:tc>
      </w:tr>
    </w:tbl>
    <w:p w14:paraId="679BC9E4" w14:textId="77777777" w:rsidR="00DF2744" w:rsidRDefault="00DF2744" w:rsidP="00DF2744">
      <w:pPr>
        <w:pStyle w:val="111Tablefootnoteslast-nostick8pt"/>
      </w:pPr>
      <w:bookmarkStart w:id="188" w:name="_Ref131409857"/>
    </w:p>
    <w:p w14:paraId="0E26EBFB" w14:textId="0664E46C" w:rsidR="006F6B78" w:rsidRPr="009F3109" w:rsidRDefault="006F6B78" w:rsidP="00945B0E">
      <w:pPr>
        <w:pStyle w:val="Heading8"/>
      </w:pPr>
      <w:bookmarkStart w:id="189" w:name="_Ref134184001"/>
      <w:bookmarkStart w:id="190" w:name="_Toc165627859"/>
      <w:r w:rsidRPr="009F3109">
        <w:t>Comparative cost</w:t>
      </w:r>
      <w:r w:rsidR="00147AD3" w:rsidRPr="009F3109">
        <w:t>-e</w:t>
      </w:r>
      <w:r w:rsidRPr="009F3109">
        <w:t>ffectiveness</w:t>
      </w:r>
      <w:bookmarkEnd w:id="188"/>
      <w:bookmarkEnd w:id="189"/>
      <w:bookmarkEnd w:id="190"/>
    </w:p>
    <w:p w14:paraId="7608F834" w14:textId="457CADAC" w:rsidR="00261F3D" w:rsidRDefault="00493FA0" w:rsidP="00064C79">
      <w:r w:rsidRPr="008621CC">
        <w:t xml:space="preserve">Search strings used to </w:t>
      </w:r>
      <w:r w:rsidR="00F43EF2" w:rsidRPr="008621CC">
        <w:t>query EMBASE</w:t>
      </w:r>
      <w:r w:rsidR="001E3DA1">
        <w:t>.com (which concurrently searches Medline and EMBASE)</w:t>
      </w:r>
      <w:r w:rsidR="00F43EF2" w:rsidRPr="008621CC">
        <w:t xml:space="preserve"> for evidence of cost effectiveness are presented in </w:t>
      </w:r>
      <w:r w:rsidR="008621CC" w:rsidRPr="00DF2744">
        <w:rPr>
          <w:b/>
          <w:bCs/>
        </w:rPr>
        <w:fldChar w:fldCharType="begin"/>
      </w:r>
      <w:r w:rsidR="008621CC" w:rsidRPr="00DF2744">
        <w:rPr>
          <w:b/>
          <w:bCs/>
        </w:rPr>
        <w:instrText xml:space="preserve"> REF _Ref131409631 \h  \* MERGEFORMAT </w:instrText>
      </w:r>
      <w:r w:rsidR="008621CC" w:rsidRPr="00DF2744">
        <w:rPr>
          <w:b/>
          <w:bCs/>
        </w:rPr>
      </w:r>
      <w:r w:rsidR="008621CC" w:rsidRPr="00DF2744">
        <w:rPr>
          <w:b/>
          <w:bCs/>
        </w:rPr>
        <w:fldChar w:fldCharType="separate"/>
      </w:r>
      <w:r w:rsidR="007105D3" w:rsidRPr="007105D3">
        <w:rPr>
          <w:b/>
          <w:bCs/>
        </w:rPr>
        <w:t xml:space="preserve">Table App. </w:t>
      </w:r>
      <w:r w:rsidR="007105D3" w:rsidRPr="007105D3">
        <w:rPr>
          <w:b/>
          <w:bCs/>
          <w:noProof/>
        </w:rPr>
        <w:t>2</w:t>
      </w:r>
      <w:r w:rsidR="008621CC" w:rsidRPr="00DF2744">
        <w:rPr>
          <w:b/>
          <w:bCs/>
        </w:rPr>
        <w:fldChar w:fldCharType="end"/>
      </w:r>
      <w:r w:rsidR="008621CC">
        <w:t>, showing the number of results taken through each step of the literature search</w:t>
      </w:r>
      <w:r w:rsidR="008621CC" w:rsidRPr="008621CC">
        <w:t>.</w:t>
      </w:r>
    </w:p>
    <w:p w14:paraId="662A3F5D" w14:textId="55B2914C" w:rsidR="00997633" w:rsidRPr="008621CC" w:rsidRDefault="0038195E" w:rsidP="00997633">
      <w:pPr>
        <w:pStyle w:val="BodyText"/>
      </w:pPr>
      <w:r w:rsidRPr="0001693F">
        <w:t>The</w:t>
      </w:r>
      <w:r w:rsidR="00997633" w:rsidRPr="0001693F">
        <w:t xml:space="preserve"> literature search</w:t>
      </w:r>
      <w:r w:rsidRPr="0001693F">
        <w:t xml:space="preserve"> (15 March 2023)</w:t>
      </w:r>
      <w:r w:rsidR="00997633" w:rsidRPr="0001693F">
        <w:t xml:space="preserve"> returned 64 articles, of which </w:t>
      </w:r>
      <w:r w:rsidR="004314DE" w:rsidRPr="0001693F">
        <w:t>eight</w:t>
      </w:r>
      <w:r w:rsidR="00997633" w:rsidRPr="0001693F">
        <w:t xml:space="preserve"> were eligible for inclusion following full text review. The </w:t>
      </w:r>
      <w:r w:rsidR="004314DE" w:rsidRPr="0001693F">
        <w:t>eight</w:t>
      </w:r>
      <w:r w:rsidR="00997633" w:rsidRPr="0001693F">
        <w:t xml:space="preserve"> articles comprised </w:t>
      </w:r>
      <w:r w:rsidR="004314DE" w:rsidRPr="0001693F">
        <w:t>six</w:t>
      </w:r>
      <w:r w:rsidR="00997633" w:rsidRPr="0001693F">
        <w:t xml:space="preserve"> economic modelling studies</w:t>
      </w:r>
      <w:r w:rsidR="004314DE" w:rsidRPr="0001693F">
        <w:t xml:space="preserve"> </w:t>
      </w:r>
      <w:r w:rsidR="00997633" w:rsidRPr="0001693F">
        <w:t xml:space="preserve">and two comparative clinical studies (one prospective observational and one RCT). The majority of the remaining 64 results were excluded because the interventions did not match the PICO (for example, MUS versus physiotherapy; MUS versus </w:t>
      </w:r>
      <w:proofErr w:type="gramStart"/>
      <w:r w:rsidR="00997633" w:rsidRPr="0001693F">
        <w:t>mini-sling</w:t>
      </w:r>
      <w:proofErr w:type="gramEnd"/>
      <w:r w:rsidR="00997633" w:rsidRPr="0001693F">
        <w:t>).</w:t>
      </w:r>
      <w:r w:rsidR="00997633" w:rsidRPr="00B0485F">
        <w:t xml:space="preserve"> </w:t>
      </w:r>
      <w:r w:rsidR="00997633">
        <w:t>Studies were only included if an economic evaluation / analysis of cost-effectiveness was presented.</w:t>
      </w:r>
      <w:r w:rsidR="00997633" w:rsidRPr="00B0485F">
        <w:t xml:space="preserve"> </w:t>
      </w:r>
    </w:p>
    <w:p w14:paraId="4B45F432" w14:textId="3F1526B5" w:rsidR="003E17D4" w:rsidRPr="00B0485F" w:rsidRDefault="003E17D4" w:rsidP="003E17D4">
      <w:pPr>
        <w:pStyle w:val="Caption"/>
      </w:pPr>
      <w:bookmarkStart w:id="191" w:name="_Ref131409631"/>
      <w:bookmarkStart w:id="192" w:name="_Toc165627905"/>
      <w:r w:rsidRPr="00B0485F">
        <w:t xml:space="preserve">Table App. </w:t>
      </w:r>
      <w:fldSimple w:instr=" SEQ Table_App. \* ARABIC ">
        <w:r w:rsidR="007105D3">
          <w:rPr>
            <w:noProof/>
          </w:rPr>
          <w:t>2</w:t>
        </w:r>
      </w:fldSimple>
      <w:bookmarkEnd w:id="191"/>
      <w:r w:rsidRPr="00B0485F">
        <w:tab/>
        <w:t xml:space="preserve">Search strategy to identify comparative </w:t>
      </w:r>
      <w:r>
        <w:t>cost</w:t>
      </w:r>
      <w:r w:rsidRPr="00B0485F">
        <w:t xml:space="preserve"> effectiveness evidence on mid-urethral slings</w:t>
      </w:r>
      <w:bookmarkEnd w:id="192"/>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Search strategy to identify comparative cost effectiveness evidence on mid-urethral slings"/>
        <w:tblDescription w:val="This table shows the search strings used to identify comparative cost-effectiveness evidence on mid-urethral slings. The number of results are also presented by stage of search/review. "/>
      </w:tblPr>
      <w:tblGrid>
        <w:gridCol w:w="566"/>
        <w:gridCol w:w="6567"/>
        <w:gridCol w:w="809"/>
        <w:gridCol w:w="1696"/>
      </w:tblGrid>
      <w:tr w:rsidR="00AC656E" w:rsidRPr="00B0485F" w14:paraId="2EF709D0" w14:textId="77777777" w:rsidTr="006B1E8A">
        <w:trPr>
          <w:tblHeader/>
        </w:trPr>
        <w:tc>
          <w:tcPr>
            <w:tcW w:w="567" w:type="dxa"/>
            <w:tcBorders>
              <w:bottom w:val="single" w:sz="4" w:space="0" w:color="auto"/>
            </w:tcBorders>
            <w:shd w:val="clear" w:color="auto" w:fill="BFBFBF"/>
          </w:tcPr>
          <w:p w14:paraId="55B60E22" w14:textId="3BDED611" w:rsidR="00AC656E" w:rsidRPr="005D71A4" w:rsidRDefault="00AC656E" w:rsidP="00AC656E">
            <w:pPr>
              <w:pStyle w:val="031Tablesubheading8pt"/>
              <w:keepNext w:val="0"/>
              <w:rPr>
                <w:sz w:val="18"/>
                <w:szCs w:val="18"/>
              </w:rPr>
            </w:pPr>
            <w:r w:rsidRPr="005D71A4">
              <w:rPr>
                <w:sz w:val="18"/>
                <w:szCs w:val="18"/>
              </w:rPr>
              <w:t>No.</w:t>
            </w:r>
          </w:p>
        </w:tc>
        <w:tc>
          <w:tcPr>
            <w:tcW w:w="6663" w:type="dxa"/>
            <w:shd w:val="clear" w:color="auto" w:fill="BFBFBF"/>
          </w:tcPr>
          <w:p w14:paraId="444924BD" w14:textId="722D9C5C" w:rsidR="00AC656E" w:rsidRPr="005D71A4" w:rsidRDefault="00AC656E" w:rsidP="00AC656E">
            <w:pPr>
              <w:pStyle w:val="031Tablesubheading8pt"/>
              <w:keepNext w:val="0"/>
              <w:rPr>
                <w:sz w:val="18"/>
                <w:szCs w:val="18"/>
              </w:rPr>
            </w:pPr>
            <w:r w:rsidRPr="005D71A4">
              <w:rPr>
                <w:sz w:val="18"/>
                <w:szCs w:val="18"/>
              </w:rPr>
              <w:t xml:space="preserve">Search strings </w:t>
            </w:r>
          </w:p>
        </w:tc>
        <w:tc>
          <w:tcPr>
            <w:tcW w:w="708" w:type="dxa"/>
            <w:shd w:val="clear" w:color="auto" w:fill="BFBFBF"/>
          </w:tcPr>
          <w:p w14:paraId="45134033" w14:textId="3023E2E3" w:rsidR="00AC656E" w:rsidRPr="005D71A4" w:rsidRDefault="00AC656E" w:rsidP="00AC656E">
            <w:pPr>
              <w:pStyle w:val="031Tablesubheading8pt"/>
              <w:keepNext w:val="0"/>
              <w:rPr>
                <w:sz w:val="18"/>
                <w:szCs w:val="18"/>
              </w:rPr>
            </w:pPr>
            <w:r w:rsidRPr="005D71A4">
              <w:rPr>
                <w:sz w:val="18"/>
                <w:szCs w:val="18"/>
              </w:rPr>
              <w:t>Results</w:t>
            </w:r>
          </w:p>
        </w:tc>
        <w:tc>
          <w:tcPr>
            <w:tcW w:w="1700" w:type="dxa"/>
            <w:shd w:val="clear" w:color="auto" w:fill="BFBFBF"/>
          </w:tcPr>
          <w:p w14:paraId="0E92C0B1" w14:textId="315B6657" w:rsidR="00AC656E" w:rsidRPr="005D71A4" w:rsidRDefault="00D1181C" w:rsidP="00AC656E">
            <w:pPr>
              <w:pStyle w:val="031Tablesubheading8pt"/>
              <w:keepNext w:val="0"/>
              <w:rPr>
                <w:sz w:val="18"/>
                <w:szCs w:val="18"/>
              </w:rPr>
            </w:pPr>
            <w:r w:rsidRPr="005D71A4">
              <w:rPr>
                <w:sz w:val="18"/>
                <w:szCs w:val="18"/>
              </w:rPr>
              <w:t xml:space="preserve">Review </w:t>
            </w:r>
          </w:p>
        </w:tc>
      </w:tr>
      <w:tr w:rsidR="003224E6" w:rsidRPr="00B0485F" w14:paraId="737A41AD" w14:textId="77777777" w:rsidTr="006B1E8A">
        <w:tc>
          <w:tcPr>
            <w:tcW w:w="567" w:type="dxa"/>
            <w:shd w:val="clear" w:color="auto" w:fill="auto"/>
          </w:tcPr>
          <w:p w14:paraId="56403D4A" w14:textId="75B8177A" w:rsidR="003224E6" w:rsidRPr="005D71A4" w:rsidRDefault="003224E6" w:rsidP="003224E6">
            <w:pPr>
              <w:pStyle w:val="031Tablesubheading8pt"/>
              <w:keepNext w:val="0"/>
              <w:rPr>
                <w:sz w:val="18"/>
                <w:szCs w:val="18"/>
              </w:rPr>
            </w:pPr>
            <w:r w:rsidRPr="005D71A4">
              <w:rPr>
                <w:sz w:val="18"/>
                <w:szCs w:val="18"/>
              </w:rPr>
              <w:t>#1</w:t>
            </w:r>
          </w:p>
        </w:tc>
        <w:tc>
          <w:tcPr>
            <w:tcW w:w="6663" w:type="dxa"/>
            <w:shd w:val="clear" w:color="auto" w:fill="auto"/>
          </w:tcPr>
          <w:p w14:paraId="28F39FE1" w14:textId="3332D2EE" w:rsidR="003224E6" w:rsidRPr="005D71A4" w:rsidRDefault="003224E6" w:rsidP="003224E6">
            <w:pPr>
              <w:pStyle w:val="051Tabletext228pt"/>
              <w:rPr>
                <w:sz w:val="18"/>
                <w:szCs w:val="18"/>
                <w:highlight w:val="yellow"/>
              </w:rPr>
            </w:pPr>
            <w:r w:rsidRPr="005D71A4">
              <w:rPr>
                <w:sz w:val="18"/>
                <w:szCs w:val="18"/>
              </w:rPr>
              <w:t>mid-urethral sling*':</w:t>
            </w:r>
            <w:proofErr w:type="spellStart"/>
            <w:r w:rsidRPr="005D71A4">
              <w:rPr>
                <w:sz w:val="18"/>
                <w:szCs w:val="18"/>
              </w:rPr>
              <w:t>ti,ab,kw</w:t>
            </w:r>
            <w:proofErr w:type="spellEnd"/>
            <w:r w:rsidRPr="005D71A4">
              <w:rPr>
                <w:sz w:val="18"/>
                <w:szCs w:val="18"/>
              </w:rPr>
              <w:t xml:space="preserve"> OR '</w:t>
            </w:r>
            <w:proofErr w:type="spellStart"/>
            <w:r w:rsidRPr="005D71A4">
              <w:rPr>
                <w:sz w:val="18"/>
                <w:szCs w:val="18"/>
              </w:rPr>
              <w:t>midurethral</w:t>
            </w:r>
            <w:proofErr w:type="spellEnd"/>
            <w:r w:rsidRPr="005D71A4">
              <w:rPr>
                <w:sz w:val="18"/>
                <w:szCs w:val="18"/>
              </w:rPr>
              <w:t xml:space="preserve"> sling*':</w:t>
            </w:r>
            <w:proofErr w:type="spellStart"/>
            <w:r w:rsidRPr="005D71A4">
              <w:rPr>
                <w:sz w:val="18"/>
                <w:szCs w:val="18"/>
              </w:rPr>
              <w:t>ti,ab,kw</w:t>
            </w:r>
            <w:proofErr w:type="spellEnd"/>
            <w:r w:rsidRPr="005D71A4">
              <w:rPr>
                <w:sz w:val="18"/>
                <w:szCs w:val="18"/>
              </w:rPr>
              <w:t xml:space="preserve"> OR 'mid-urethral tape*':</w:t>
            </w:r>
            <w:proofErr w:type="spellStart"/>
            <w:r w:rsidRPr="005D71A4">
              <w:rPr>
                <w:sz w:val="18"/>
                <w:szCs w:val="18"/>
              </w:rPr>
              <w:t>ti,ab,kw</w:t>
            </w:r>
            <w:proofErr w:type="spellEnd"/>
            <w:r w:rsidRPr="005D71A4">
              <w:rPr>
                <w:sz w:val="18"/>
                <w:szCs w:val="18"/>
              </w:rPr>
              <w:t xml:space="preserve"> OR '</w:t>
            </w:r>
            <w:proofErr w:type="spellStart"/>
            <w:r w:rsidRPr="005D71A4">
              <w:rPr>
                <w:sz w:val="18"/>
                <w:szCs w:val="18"/>
              </w:rPr>
              <w:t>midurethral</w:t>
            </w:r>
            <w:proofErr w:type="spellEnd"/>
            <w:r w:rsidRPr="005D71A4">
              <w:rPr>
                <w:sz w:val="18"/>
                <w:szCs w:val="18"/>
              </w:rPr>
              <w:t xml:space="preserve"> tape*':</w:t>
            </w:r>
            <w:proofErr w:type="spellStart"/>
            <w:r w:rsidRPr="005D71A4">
              <w:rPr>
                <w:sz w:val="18"/>
                <w:szCs w:val="18"/>
              </w:rPr>
              <w:t>ti,ab,kw</w:t>
            </w:r>
            <w:proofErr w:type="spellEnd"/>
            <w:r w:rsidRPr="005D71A4">
              <w:rPr>
                <w:sz w:val="18"/>
                <w:szCs w:val="18"/>
              </w:rPr>
              <w:t xml:space="preserve"> OR 'tension free vaginal tape'/de OR 'tension-free vaginal tape procedure'/de OR '</w:t>
            </w:r>
            <w:proofErr w:type="spellStart"/>
            <w:r w:rsidRPr="005D71A4">
              <w:rPr>
                <w:sz w:val="18"/>
                <w:szCs w:val="18"/>
              </w:rPr>
              <w:t>transobturator</w:t>
            </w:r>
            <w:proofErr w:type="spellEnd"/>
            <w:r w:rsidRPr="005D71A4">
              <w:rPr>
                <w:sz w:val="18"/>
                <w:szCs w:val="18"/>
              </w:rPr>
              <w:t xml:space="preserve"> tape'/de</w:t>
            </w:r>
          </w:p>
        </w:tc>
        <w:tc>
          <w:tcPr>
            <w:tcW w:w="708" w:type="dxa"/>
            <w:shd w:val="clear" w:color="auto" w:fill="auto"/>
          </w:tcPr>
          <w:p w14:paraId="25495448" w14:textId="17AC3AF9" w:rsidR="003224E6" w:rsidRPr="005D71A4" w:rsidRDefault="003224E6" w:rsidP="003224E6">
            <w:pPr>
              <w:pStyle w:val="051Tabletext228pt"/>
              <w:rPr>
                <w:sz w:val="18"/>
                <w:szCs w:val="18"/>
                <w:highlight w:val="yellow"/>
              </w:rPr>
            </w:pPr>
            <w:r w:rsidRPr="005D71A4">
              <w:rPr>
                <w:sz w:val="18"/>
                <w:szCs w:val="18"/>
              </w:rPr>
              <w:t>7,628</w:t>
            </w:r>
          </w:p>
        </w:tc>
        <w:tc>
          <w:tcPr>
            <w:tcW w:w="1700" w:type="dxa"/>
          </w:tcPr>
          <w:p w14:paraId="052B9185" w14:textId="31E7BA90" w:rsidR="003224E6" w:rsidRPr="005D71A4" w:rsidRDefault="002A70B0" w:rsidP="003224E6">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20F1E52F" w14:textId="77777777" w:rsidTr="006B1E8A">
        <w:tc>
          <w:tcPr>
            <w:tcW w:w="567" w:type="dxa"/>
            <w:shd w:val="clear" w:color="auto" w:fill="auto"/>
          </w:tcPr>
          <w:p w14:paraId="33C2C920" w14:textId="3269ACE4" w:rsidR="00A323F5" w:rsidRPr="005D71A4" w:rsidRDefault="00A323F5" w:rsidP="00A323F5">
            <w:pPr>
              <w:pStyle w:val="031Tablesubheading8pt"/>
              <w:keepNext w:val="0"/>
              <w:rPr>
                <w:sz w:val="18"/>
                <w:szCs w:val="18"/>
              </w:rPr>
            </w:pPr>
            <w:r w:rsidRPr="005D71A4">
              <w:rPr>
                <w:sz w:val="18"/>
                <w:szCs w:val="18"/>
              </w:rPr>
              <w:t>#2</w:t>
            </w:r>
          </w:p>
        </w:tc>
        <w:tc>
          <w:tcPr>
            <w:tcW w:w="6663" w:type="dxa"/>
            <w:shd w:val="clear" w:color="auto" w:fill="auto"/>
          </w:tcPr>
          <w:p w14:paraId="52AA97A8" w14:textId="10940BEA" w:rsidR="00A323F5" w:rsidRPr="005D71A4" w:rsidRDefault="00A323F5" w:rsidP="00A323F5">
            <w:pPr>
              <w:pStyle w:val="051Tabletext228pt"/>
              <w:rPr>
                <w:sz w:val="18"/>
                <w:szCs w:val="18"/>
                <w:highlight w:val="yellow"/>
              </w:rPr>
            </w:pPr>
            <w:r w:rsidRPr="005D71A4">
              <w:rPr>
                <w:sz w:val="18"/>
                <w:szCs w:val="18"/>
              </w:rPr>
              <w:t>stress incontinence'/de OR 'stress incontinence':</w:t>
            </w:r>
            <w:proofErr w:type="spellStart"/>
            <w:r w:rsidRPr="005D71A4">
              <w:rPr>
                <w:sz w:val="18"/>
                <w:szCs w:val="18"/>
              </w:rPr>
              <w:t>ti,ab,kw</w:t>
            </w:r>
            <w:proofErr w:type="spellEnd"/>
            <w:r w:rsidRPr="005D71A4">
              <w:rPr>
                <w:sz w:val="18"/>
                <w:szCs w:val="18"/>
              </w:rPr>
              <w:t xml:space="preserve"> OR 'stress urinary incontinence':</w:t>
            </w:r>
            <w:proofErr w:type="spellStart"/>
            <w:r w:rsidRPr="005D71A4">
              <w:rPr>
                <w:sz w:val="18"/>
                <w:szCs w:val="18"/>
              </w:rPr>
              <w:t>ti,ab,kw</w:t>
            </w:r>
            <w:proofErr w:type="spellEnd"/>
          </w:p>
        </w:tc>
        <w:tc>
          <w:tcPr>
            <w:tcW w:w="708" w:type="dxa"/>
            <w:shd w:val="clear" w:color="auto" w:fill="auto"/>
          </w:tcPr>
          <w:p w14:paraId="7588E95C" w14:textId="455F2F42" w:rsidR="00A323F5" w:rsidRPr="005D71A4" w:rsidRDefault="00A323F5" w:rsidP="00A323F5">
            <w:pPr>
              <w:pStyle w:val="051Tabletext228pt"/>
              <w:rPr>
                <w:sz w:val="18"/>
                <w:szCs w:val="18"/>
                <w:highlight w:val="yellow"/>
              </w:rPr>
            </w:pPr>
            <w:r w:rsidRPr="005D71A4">
              <w:rPr>
                <w:sz w:val="18"/>
                <w:szCs w:val="18"/>
              </w:rPr>
              <w:t>29,287</w:t>
            </w:r>
          </w:p>
        </w:tc>
        <w:tc>
          <w:tcPr>
            <w:tcW w:w="1700" w:type="dxa"/>
          </w:tcPr>
          <w:p w14:paraId="206D6CC1" w14:textId="54B60513"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0F55CF3E" w14:textId="77777777" w:rsidTr="006B1E8A">
        <w:tc>
          <w:tcPr>
            <w:tcW w:w="567" w:type="dxa"/>
            <w:shd w:val="clear" w:color="auto" w:fill="auto"/>
          </w:tcPr>
          <w:p w14:paraId="70D1A925" w14:textId="1B1A6D30" w:rsidR="00A323F5" w:rsidRPr="005D71A4" w:rsidRDefault="00A323F5" w:rsidP="00A323F5">
            <w:pPr>
              <w:pStyle w:val="031Tablesubheading8pt"/>
              <w:keepNext w:val="0"/>
              <w:rPr>
                <w:sz w:val="18"/>
                <w:szCs w:val="18"/>
              </w:rPr>
            </w:pPr>
            <w:r w:rsidRPr="005D71A4">
              <w:rPr>
                <w:sz w:val="18"/>
                <w:szCs w:val="18"/>
              </w:rPr>
              <w:t>#3</w:t>
            </w:r>
          </w:p>
        </w:tc>
        <w:tc>
          <w:tcPr>
            <w:tcW w:w="6663" w:type="dxa"/>
            <w:shd w:val="clear" w:color="auto" w:fill="auto"/>
          </w:tcPr>
          <w:p w14:paraId="3652DE5D" w14:textId="2AA9A37A" w:rsidR="00A323F5" w:rsidRPr="005D71A4" w:rsidRDefault="00A323F5" w:rsidP="00A323F5">
            <w:pPr>
              <w:pStyle w:val="051Tabletext228pt"/>
              <w:rPr>
                <w:sz w:val="18"/>
                <w:szCs w:val="18"/>
                <w:highlight w:val="yellow"/>
              </w:rPr>
            </w:pPr>
            <w:r w:rsidRPr="005D71A4">
              <w:rPr>
                <w:sz w:val="18"/>
                <w:szCs w:val="18"/>
              </w:rPr>
              <w:t>economic evaluation'/exp OR 'health care cost'/de OR 'economic model'/exp OR 'health utility'/de OR 'economics'/de OR 'utilities' OR '</w:t>
            </w:r>
            <w:proofErr w:type="spellStart"/>
            <w:r w:rsidRPr="005D71A4">
              <w:rPr>
                <w:sz w:val="18"/>
                <w:szCs w:val="18"/>
              </w:rPr>
              <w:t>modeled</w:t>
            </w:r>
            <w:proofErr w:type="spellEnd"/>
            <w:r w:rsidRPr="005D71A4">
              <w:rPr>
                <w:sz w:val="18"/>
                <w:szCs w:val="18"/>
              </w:rPr>
              <w:t xml:space="preserve"> evaluation' OR 'modelled evaluation'</w:t>
            </w:r>
          </w:p>
        </w:tc>
        <w:tc>
          <w:tcPr>
            <w:tcW w:w="708" w:type="dxa"/>
            <w:shd w:val="clear" w:color="auto" w:fill="auto"/>
          </w:tcPr>
          <w:p w14:paraId="24295B3F" w14:textId="6FA4D7C8" w:rsidR="00A323F5" w:rsidRPr="005D71A4" w:rsidRDefault="00A323F5" w:rsidP="00A323F5">
            <w:pPr>
              <w:pStyle w:val="051Tabletext228pt"/>
              <w:rPr>
                <w:sz w:val="18"/>
                <w:szCs w:val="18"/>
                <w:highlight w:val="yellow"/>
              </w:rPr>
            </w:pPr>
            <w:r w:rsidRPr="005D71A4">
              <w:rPr>
                <w:sz w:val="18"/>
                <w:szCs w:val="18"/>
              </w:rPr>
              <w:t>708,877</w:t>
            </w:r>
          </w:p>
        </w:tc>
        <w:tc>
          <w:tcPr>
            <w:tcW w:w="1700" w:type="dxa"/>
          </w:tcPr>
          <w:p w14:paraId="619E41F9" w14:textId="1CABB884"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36270782" w14:textId="77777777" w:rsidTr="006B1E8A">
        <w:tc>
          <w:tcPr>
            <w:tcW w:w="567" w:type="dxa"/>
            <w:shd w:val="clear" w:color="auto" w:fill="auto"/>
          </w:tcPr>
          <w:p w14:paraId="46194A38" w14:textId="5FDB936B" w:rsidR="00A323F5" w:rsidRPr="005D71A4" w:rsidRDefault="00A323F5" w:rsidP="00A323F5">
            <w:pPr>
              <w:pStyle w:val="031Tablesubheading8pt"/>
              <w:keepNext w:val="0"/>
              <w:rPr>
                <w:sz w:val="18"/>
                <w:szCs w:val="18"/>
              </w:rPr>
            </w:pPr>
            <w:r w:rsidRPr="005D71A4">
              <w:rPr>
                <w:sz w:val="18"/>
                <w:szCs w:val="18"/>
              </w:rPr>
              <w:t>#4</w:t>
            </w:r>
          </w:p>
        </w:tc>
        <w:tc>
          <w:tcPr>
            <w:tcW w:w="6663" w:type="dxa"/>
            <w:shd w:val="clear" w:color="auto" w:fill="auto"/>
          </w:tcPr>
          <w:p w14:paraId="53410F8C" w14:textId="48F15B2F" w:rsidR="00A323F5" w:rsidRPr="005D71A4" w:rsidRDefault="00A323F5" w:rsidP="00A323F5">
            <w:pPr>
              <w:pStyle w:val="051Tabletext228pt"/>
              <w:rPr>
                <w:sz w:val="18"/>
                <w:szCs w:val="18"/>
                <w:highlight w:val="yellow"/>
              </w:rPr>
            </w:pPr>
            <w:r w:rsidRPr="005D71A4">
              <w:rPr>
                <w:sz w:val="18"/>
                <w:szCs w:val="18"/>
              </w:rPr>
              <w:t xml:space="preserve">(((cost* OR economic OR </w:t>
            </w:r>
            <w:proofErr w:type="spellStart"/>
            <w:r w:rsidRPr="005D71A4">
              <w:rPr>
                <w:sz w:val="18"/>
                <w:szCs w:val="18"/>
              </w:rPr>
              <w:t>markov</w:t>
            </w:r>
            <w:proofErr w:type="spellEnd"/>
            <w:r w:rsidRPr="005D71A4">
              <w:rPr>
                <w:sz w:val="18"/>
                <w:szCs w:val="18"/>
              </w:rPr>
              <w:t>) NEAR/3 (model OR analysis OR analyses)):</w:t>
            </w:r>
            <w:proofErr w:type="spellStart"/>
            <w:r w:rsidRPr="005D71A4">
              <w:rPr>
                <w:sz w:val="18"/>
                <w:szCs w:val="18"/>
              </w:rPr>
              <w:t>ti,ab,kw</w:t>
            </w:r>
            <w:proofErr w:type="spellEnd"/>
            <w:r w:rsidRPr="005D71A4">
              <w:rPr>
                <w:sz w:val="18"/>
                <w:szCs w:val="18"/>
              </w:rPr>
              <w:t>) OR 'cost impact$':</w:t>
            </w:r>
            <w:proofErr w:type="spellStart"/>
            <w:r w:rsidRPr="005D71A4">
              <w:rPr>
                <w:sz w:val="18"/>
                <w:szCs w:val="18"/>
              </w:rPr>
              <w:t>ti,ab,kw</w:t>
            </w:r>
            <w:proofErr w:type="spellEnd"/>
            <w:r w:rsidRPr="005D71A4">
              <w:rPr>
                <w:sz w:val="18"/>
                <w:szCs w:val="18"/>
              </w:rPr>
              <w:t xml:space="preserve"> OR 'economic impact$':</w:t>
            </w:r>
            <w:proofErr w:type="spellStart"/>
            <w:r w:rsidRPr="005D71A4">
              <w:rPr>
                <w:sz w:val="18"/>
                <w:szCs w:val="18"/>
              </w:rPr>
              <w:t>ti,ab,kw</w:t>
            </w:r>
            <w:proofErr w:type="spellEnd"/>
            <w:r w:rsidRPr="005D71A4">
              <w:rPr>
                <w:sz w:val="18"/>
                <w:szCs w:val="18"/>
              </w:rPr>
              <w:t xml:space="preserve"> OR 'cost outcome$':</w:t>
            </w:r>
            <w:proofErr w:type="spellStart"/>
            <w:r w:rsidRPr="005D71A4">
              <w:rPr>
                <w:sz w:val="18"/>
                <w:szCs w:val="18"/>
              </w:rPr>
              <w:t>ti,ab,kw</w:t>
            </w:r>
            <w:proofErr w:type="spellEnd"/>
            <w:r w:rsidRPr="005D71A4">
              <w:rPr>
                <w:sz w:val="18"/>
                <w:szCs w:val="18"/>
              </w:rPr>
              <w:t xml:space="preserve"> OR 'budget impact$':</w:t>
            </w:r>
            <w:proofErr w:type="spellStart"/>
            <w:r w:rsidRPr="005D71A4">
              <w:rPr>
                <w:sz w:val="18"/>
                <w:szCs w:val="18"/>
              </w:rPr>
              <w:t>ti,ab,kw</w:t>
            </w:r>
            <w:proofErr w:type="spellEnd"/>
          </w:p>
        </w:tc>
        <w:tc>
          <w:tcPr>
            <w:tcW w:w="708" w:type="dxa"/>
            <w:shd w:val="clear" w:color="auto" w:fill="auto"/>
          </w:tcPr>
          <w:p w14:paraId="01FE5976" w14:textId="21F70793" w:rsidR="00A323F5" w:rsidRPr="005D71A4" w:rsidRDefault="00A323F5" w:rsidP="00A323F5">
            <w:pPr>
              <w:pStyle w:val="051Tabletext228pt"/>
              <w:rPr>
                <w:sz w:val="18"/>
                <w:szCs w:val="18"/>
                <w:highlight w:val="yellow"/>
              </w:rPr>
            </w:pPr>
            <w:r w:rsidRPr="005D71A4">
              <w:rPr>
                <w:sz w:val="18"/>
                <w:szCs w:val="18"/>
              </w:rPr>
              <w:t>126,565</w:t>
            </w:r>
          </w:p>
        </w:tc>
        <w:tc>
          <w:tcPr>
            <w:tcW w:w="1700" w:type="dxa"/>
          </w:tcPr>
          <w:p w14:paraId="15BAB10D" w14:textId="5643F82A"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65899925" w14:textId="77777777" w:rsidTr="006B1E8A">
        <w:tc>
          <w:tcPr>
            <w:tcW w:w="567" w:type="dxa"/>
            <w:shd w:val="clear" w:color="auto" w:fill="auto"/>
          </w:tcPr>
          <w:p w14:paraId="2EF607FA" w14:textId="05B34691" w:rsidR="00A323F5" w:rsidRPr="005D71A4" w:rsidRDefault="00A323F5" w:rsidP="00A323F5">
            <w:pPr>
              <w:pStyle w:val="031Tablesubheading8pt"/>
              <w:keepNext w:val="0"/>
              <w:rPr>
                <w:sz w:val="18"/>
                <w:szCs w:val="18"/>
              </w:rPr>
            </w:pPr>
            <w:r w:rsidRPr="005D71A4">
              <w:rPr>
                <w:sz w:val="18"/>
                <w:szCs w:val="18"/>
              </w:rPr>
              <w:t>#5</w:t>
            </w:r>
          </w:p>
        </w:tc>
        <w:tc>
          <w:tcPr>
            <w:tcW w:w="6663" w:type="dxa"/>
            <w:shd w:val="clear" w:color="auto" w:fill="auto"/>
          </w:tcPr>
          <w:p w14:paraId="2F9CBC57" w14:textId="6E43E812" w:rsidR="00A323F5" w:rsidRPr="005D71A4" w:rsidRDefault="00A323F5" w:rsidP="00A323F5">
            <w:pPr>
              <w:pStyle w:val="051Tabletext228pt"/>
              <w:rPr>
                <w:sz w:val="18"/>
                <w:szCs w:val="18"/>
                <w:highlight w:val="yellow"/>
              </w:rPr>
            </w:pPr>
            <w:r w:rsidRPr="005D71A4">
              <w:rPr>
                <w:sz w:val="18"/>
                <w:szCs w:val="18"/>
              </w:rPr>
              <w:t>life year$':</w:t>
            </w:r>
            <w:proofErr w:type="spellStart"/>
            <w:r w:rsidRPr="005D71A4">
              <w:rPr>
                <w:sz w:val="18"/>
                <w:szCs w:val="18"/>
              </w:rPr>
              <w:t>ti,ab,kw</w:t>
            </w:r>
            <w:proofErr w:type="spellEnd"/>
            <w:r w:rsidRPr="005D71A4">
              <w:rPr>
                <w:sz w:val="18"/>
                <w:szCs w:val="18"/>
              </w:rPr>
              <w:t xml:space="preserve"> OR </w:t>
            </w:r>
            <w:proofErr w:type="spellStart"/>
            <w:r w:rsidRPr="005D71A4">
              <w:rPr>
                <w:sz w:val="18"/>
                <w:szCs w:val="18"/>
              </w:rPr>
              <w:t>qaly</w:t>
            </w:r>
            <w:proofErr w:type="spellEnd"/>
            <w:r w:rsidRPr="005D71A4">
              <w:rPr>
                <w:sz w:val="18"/>
                <w:szCs w:val="18"/>
              </w:rPr>
              <w:t>$:</w:t>
            </w:r>
            <w:proofErr w:type="spellStart"/>
            <w:r w:rsidRPr="005D71A4">
              <w:rPr>
                <w:sz w:val="18"/>
                <w:szCs w:val="18"/>
              </w:rPr>
              <w:t>ti,ab,kw</w:t>
            </w:r>
            <w:proofErr w:type="spellEnd"/>
            <w:r w:rsidRPr="005D71A4">
              <w:rPr>
                <w:sz w:val="18"/>
                <w:szCs w:val="18"/>
              </w:rPr>
              <w:t xml:space="preserve"> OR LYG$:</w:t>
            </w:r>
            <w:proofErr w:type="spellStart"/>
            <w:r w:rsidRPr="005D71A4">
              <w:rPr>
                <w:sz w:val="18"/>
                <w:szCs w:val="18"/>
              </w:rPr>
              <w:t>ti,ab,kw</w:t>
            </w:r>
            <w:proofErr w:type="spellEnd"/>
          </w:p>
        </w:tc>
        <w:tc>
          <w:tcPr>
            <w:tcW w:w="708" w:type="dxa"/>
            <w:shd w:val="clear" w:color="auto" w:fill="auto"/>
          </w:tcPr>
          <w:p w14:paraId="2AF22A20" w14:textId="1CEA45E1" w:rsidR="00A323F5" w:rsidRPr="005D71A4" w:rsidRDefault="00A323F5" w:rsidP="00A323F5">
            <w:pPr>
              <w:pStyle w:val="051Tabletext228pt"/>
              <w:rPr>
                <w:sz w:val="18"/>
                <w:szCs w:val="18"/>
                <w:highlight w:val="yellow"/>
              </w:rPr>
            </w:pPr>
            <w:r w:rsidRPr="005D71A4">
              <w:rPr>
                <w:sz w:val="18"/>
                <w:szCs w:val="18"/>
              </w:rPr>
              <w:t>42,850</w:t>
            </w:r>
          </w:p>
        </w:tc>
        <w:tc>
          <w:tcPr>
            <w:tcW w:w="1700" w:type="dxa"/>
          </w:tcPr>
          <w:p w14:paraId="2746E345" w14:textId="46927EA4"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2B2AF7D8" w14:textId="77777777" w:rsidTr="006B1E8A">
        <w:tc>
          <w:tcPr>
            <w:tcW w:w="567" w:type="dxa"/>
            <w:shd w:val="clear" w:color="auto" w:fill="auto"/>
          </w:tcPr>
          <w:p w14:paraId="0BBC6293" w14:textId="49A6E238" w:rsidR="00A323F5" w:rsidRPr="005D71A4" w:rsidRDefault="00A323F5" w:rsidP="00A323F5">
            <w:pPr>
              <w:pStyle w:val="031Tablesubheading8pt"/>
              <w:keepNext w:val="0"/>
              <w:rPr>
                <w:sz w:val="18"/>
                <w:szCs w:val="18"/>
              </w:rPr>
            </w:pPr>
            <w:r w:rsidRPr="005D71A4">
              <w:rPr>
                <w:sz w:val="18"/>
                <w:szCs w:val="18"/>
              </w:rPr>
              <w:t>#6</w:t>
            </w:r>
          </w:p>
        </w:tc>
        <w:tc>
          <w:tcPr>
            <w:tcW w:w="6663" w:type="dxa"/>
            <w:shd w:val="clear" w:color="auto" w:fill="auto"/>
          </w:tcPr>
          <w:p w14:paraId="551E53FB" w14:textId="3E2AFE1D" w:rsidR="00A323F5" w:rsidRPr="005D71A4" w:rsidRDefault="00A323F5" w:rsidP="00A323F5">
            <w:pPr>
              <w:pStyle w:val="051Tabletext228pt"/>
              <w:rPr>
                <w:sz w:val="18"/>
                <w:szCs w:val="18"/>
                <w:highlight w:val="yellow"/>
              </w:rPr>
            </w:pPr>
            <w:r w:rsidRPr="005D71A4">
              <w:rPr>
                <w:sz w:val="18"/>
                <w:szCs w:val="18"/>
              </w:rPr>
              <w:t>#3 OR #4 OR #5</w:t>
            </w:r>
          </w:p>
        </w:tc>
        <w:tc>
          <w:tcPr>
            <w:tcW w:w="708" w:type="dxa"/>
            <w:shd w:val="clear" w:color="auto" w:fill="auto"/>
          </w:tcPr>
          <w:p w14:paraId="07889A78" w14:textId="62879A69" w:rsidR="00A323F5" w:rsidRPr="005D71A4" w:rsidRDefault="00A323F5" w:rsidP="00A323F5">
            <w:pPr>
              <w:pStyle w:val="051Tabletext228pt"/>
              <w:rPr>
                <w:sz w:val="18"/>
                <w:szCs w:val="18"/>
                <w:highlight w:val="yellow"/>
              </w:rPr>
            </w:pPr>
            <w:r w:rsidRPr="005D71A4">
              <w:rPr>
                <w:sz w:val="18"/>
                <w:szCs w:val="18"/>
              </w:rPr>
              <w:t>759,543</w:t>
            </w:r>
          </w:p>
        </w:tc>
        <w:tc>
          <w:tcPr>
            <w:tcW w:w="1700" w:type="dxa"/>
          </w:tcPr>
          <w:p w14:paraId="1E9A93F6" w14:textId="7ABF82F2"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0A4348A4" w14:textId="77777777" w:rsidTr="006B1E8A">
        <w:tc>
          <w:tcPr>
            <w:tcW w:w="567" w:type="dxa"/>
            <w:shd w:val="clear" w:color="auto" w:fill="auto"/>
          </w:tcPr>
          <w:p w14:paraId="147A65E0" w14:textId="22416B5E" w:rsidR="00A323F5" w:rsidRPr="005D71A4" w:rsidRDefault="00A323F5" w:rsidP="00A323F5">
            <w:pPr>
              <w:pStyle w:val="031Tablesubheading8pt"/>
              <w:keepNext w:val="0"/>
              <w:rPr>
                <w:sz w:val="18"/>
                <w:szCs w:val="18"/>
              </w:rPr>
            </w:pPr>
            <w:r w:rsidRPr="005D71A4">
              <w:rPr>
                <w:sz w:val="18"/>
                <w:szCs w:val="18"/>
              </w:rPr>
              <w:t>#7</w:t>
            </w:r>
          </w:p>
        </w:tc>
        <w:tc>
          <w:tcPr>
            <w:tcW w:w="6663" w:type="dxa"/>
            <w:shd w:val="clear" w:color="auto" w:fill="auto"/>
          </w:tcPr>
          <w:p w14:paraId="36A2EFDB" w14:textId="126376E1" w:rsidR="00A323F5" w:rsidRPr="005D71A4" w:rsidRDefault="00A323F5" w:rsidP="00A323F5">
            <w:pPr>
              <w:pStyle w:val="051Tabletext228pt"/>
              <w:rPr>
                <w:sz w:val="18"/>
                <w:szCs w:val="18"/>
                <w:highlight w:val="yellow"/>
              </w:rPr>
            </w:pPr>
            <w:r w:rsidRPr="005D71A4">
              <w:rPr>
                <w:sz w:val="18"/>
                <w:szCs w:val="18"/>
              </w:rPr>
              <w:t>#1 AND #2 AND #6</w:t>
            </w:r>
          </w:p>
        </w:tc>
        <w:tc>
          <w:tcPr>
            <w:tcW w:w="708" w:type="dxa"/>
            <w:shd w:val="clear" w:color="auto" w:fill="auto"/>
          </w:tcPr>
          <w:p w14:paraId="23D88837" w14:textId="073B878A" w:rsidR="00A323F5" w:rsidRPr="005D71A4" w:rsidRDefault="00A323F5" w:rsidP="00A323F5">
            <w:pPr>
              <w:pStyle w:val="051Tabletext228pt"/>
              <w:rPr>
                <w:sz w:val="18"/>
                <w:szCs w:val="18"/>
                <w:highlight w:val="yellow"/>
              </w:rPr>
            </w:pPr>
            <w:r w:rsidRPr="005D71A4">
              <w:rPr>
                <w:sz w:val="18"/>
                <w:szCs w:val="18"/>
              </w:rPr>
              <w:t>202</w:t>
            </w:r>
          </w:p>
        </w:tc>
        <w:tc>
          <w:tcPr>
            <w:tcW w:w="1700" w:type="dxa"/>
          </w:tcPr>
          <w:p w14:paraId="44EE6FC9" w14:textId="0712676B"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72081347" w14:textId="77777777" w:rsidTr="006B1E8A">
        <w:tc>
          <w:tcPr>
            <w:tcW w:w="567" w:type="dxa"/>
            <w:shd w:val="clear" w:color="auto" w:fill="auto"/>
          </w:tcPr>
          <w:p w14:paraId="42AED8D8" w14:textId="42C0B3A4" w:rsidR="00A323F5" w:rsidRPr="005D71A4" w:rsidRDefault="00A323F5" w:rsidP="00A323F5">
            <w:pPr>
              <w:pStyle w:val="031Tablesubheading8pt"/>
              <w:keepNext w:val="0"/>
              <w:rPr>
                <w:sz w:val="18"/>
                <w:szCs w:val="18"/>
              </w:rPr>
            </w:pPr>
            <w:r w:rsidRPr="005D71A4">
              <w:rPr>
                <w:sz w:val="18"/>
                <w:szCs w:val="18"/>
              </w:rPr>
              <w:t>#8</w:t>
            </w:r>
          </w:p>
        </w:tc>
        <w:tc>
          <w:tcPr>
            <w:tcW w:w="6663" w:type="dxa"/>
            <w:shd w:val="clear" w:color="auto" w:fill="auto"/>
          </w:tcPr>
          <w:p w14:paraId="48C1A3CB" w14:textId="0CD44F23" w:rsidR="00A323F5" w:rsidRPr="005D71A4" w:rsidRDefault="00A323F5" w:rsidP="00A323F5">
            <w:pPr>
              <w:pStyle w:val="051Tabletext228pt"/>
              <w:rPr>
                <w:sz w:val="18"/>
                <w:szCs w:val="18"/>
                <w:highlight w:val="yellow"/>
              </w:rPr>
            </w:pPr>
            <w:r w:rsidRPr="005D71A4">
              <w:rPr>
                <w:sz w:val="18"/>
                <w:szCs w:val="18"/>
              </w:rPr>
              <w:t>#7 AND [2013-2023]/</w:t>
            </w:r>
            <w:proofErr w:type="spellStart"/>
            <w:r w:rsidRPr="005D71A4">
              <w:rPr>
                <w:sz w:val="18"/>
                <w:szCs w:val="18"/>
              </w:rPr>
              <w:t>py</w:t>
            </w:r>
            <w:proofErr w:type="spellEnd"/>
          </w:p>
        </w:tc>
        <w:tc>
          <w:tcPr>
            <w:tcW w:w="708" w:type="dxa"/>
            <w:shd w:val="clear" w:color="auto" w:fill="auto"/>
          </w:tcPr>
          <w:p w14:paraId="47B58DF8" w14:textId="11CB60FF" w:rsidR="00A323F5" w:rsidRPr="005D71A4" w:rsidRDefault="00A323F5" w:rsidP="00A323F5">
            <w:pPr>
              <w:pStyle w:val="051Tabletext228pt"/>
              <w:rPr>
                <w:sz w:val="18"/>
                <w:szCs w:val="18"/>
                <w:highlight w:val="yellow"/>
              </w:rPr>
            </w:pPr>
            <w:r w:rsidRPr="005D71A4">
              <w:rPr>
                <w:sz w:val="18"/>
                <w:szCs w:val="18"/>
              </w:rPr>
              <w:t>114</w:t>
            </w:r>
          </w:p>
        </w:tc>
        <w:tc>
          <w:tcPr>
            <w:tcW w:w="1700" w:type="dxa"/>
          </w:tcPr>
          <w:p w14:paraId="1B143A2A" w14:textId="327473B3"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10AB7A5F" w14:textId="77777777" w:rsidTr="006B1E8A">
        <w:tc>
          <w:tcPr>
            <w:tcW w:w="567" w:type="dxa"/>
            <w:shd w:val="clear" w:color="auto" w:fill="auto"/>
          </w:tcPr>
          <w:p w14:paraId="7026E692" w14:textId="75B860C8" w:rsidR="00A323F5" w:rsidRPr="005D71A4" w:rsidRDefault="00A323F5" w:rsidP="00A323F5">
            <w:pPr>
              <w:pStyle w:val="031Tablesubheading8pt"/>
              <w:keepNext w:val="0"/>
              <w:rPr>
                <w:sz w:val="18"/>
                <w:szCs w:val="18"/>
              </w:rPr>
            </w:pPr>
            <w:r w:rsidRPr="005D71A4">
              <w:rPr>
                <w:sz w:val="18"/>
                <w:szCs w:val="18"/>
              </w:rPr>
              <w:t>#9</w:t>
            </w:r>
          </w:p>
        </w:tc>
        <w:tc>
          <w:tcPr>
            <w:tcW w:w="6663" w:type="dxa"/>
            <w:shd w:val="clear" w:color="auto" w:fill="auto"/>
          </w:tcPr>
          <w:p w14:paraId="1F6860B5" w14:textId="47ECAA6F" w:rsidR="00A323F5" w:rsidRPr="005D71A4" w:rsidRDefault="00A323F5" w:rsidP="00A323F5">
            <w:pPr>
              <w:pStyle w:val="051Tabletext228pt"/>
              <w:rPr>
                <w:sz w:val="18"/>
                <w:szCs w:val="18"/>
                <w:highlight w:val="yellow"/>
              </w:rPr>
            </w:pPr>
            <w:r w:rsidRPr="005D71A4">
              <w:rPr>
                <w:sz w:val="18"/>
                <w:szCs w:val="18"/>
              </w:rPr>
              <w:t>#8 NOT ([conference abstract]/</w:t>
            </w:r>
            <w:proofErr w:type="spellStart"/>
            <w:r w:rsidRPr="005D71A4">
              <w:rPr>
                <w:sz w:val="18"/>
                <w:szCs w:val="18"/>
              </w:rPr>
              <w:t>lim</w:t>
            </w:r>
            <w:proofErr w:type="spellEnd"/>
            <w:r w:rsidRPr="005D71A4">
              <w:rPr>
                <w:sz w:val="18"/>
                <w:szCs w:val="18"/>
              </w:rPr>
              <w:t xml:space="preserve"> OR [editorial]/</w:t>
            </w:r>
            <w:proofErr w:type="spellStart"/>
            <w:r w:rsidRPr="005D71A4">
              <w:rPr>
                <w:sz w:val="18"/>
                <w:szCs w:val="18"/>
              </w:rPr>
              <w:t>lim</w:t>
            </w:r>
            <w:proofErr w:type="spellEnd"/>
            <w:r w:rsidRPr="005D71A4">
              <w:rPr>
                <w:sz w:val="18"/>
                <w:szCs w:val="18"/>
              </w:rPr>
              <w:t xml:space="preserve"> OR [letter]/</w:t>
            </w:r>
            <w:proofErr w:type="spellStart"/>
            <w:r w:rsidRPr="005D71A4">
              <w:rPr>
                <w:sz w:val="18"/>
                <w:szCs w:val="18"/>
              </w:rPr>
              <w:t>lim</w:t>
            </w:r>
            <w:proofErr w:type="spellEnd"/>
            <w:r w:rsidRPr="005D71A4">
              <w:rPr>
                <w:sz w:val="18"/>
                <w:szCs w:val="18"/>
              </w:rPr>
              <w:t xml:space="preserve"> OR [note]/</w:t>
            </w:r>
            <w:proofErr w:type="spellStart"/>
            <w:r w:rsidRPr="005D71A4">
              <w:rPr>
                <w:sz w:val="18"/>
                <w:szCs w:val="18"/>
              </w:rPr>
              <w:t>lim</w:t>
            </w:r>
            <w:proofErr w:type="spellEnd"/>
            <w:r w:rsidRPr="005D71A4">
              <w:rPr>
                <w:sz w:val="18"/>
                <w:szCs w:val="18"/>
              </w:rPr>
              <w:t xml:space="preserve"> OR [book]/</w:t>
            </w:r>
            <w:proofErr w:type="spellStart"/>
            <w:r w:rsidRPr="005D71A4">
              <w:rPr>
                <w:sz w:val="18"/>
                <w:szCs w:val="18"/>
              </w:rPr>
              <w:t>lim</w:t>
            </w:r>
            <w:proofErr w:type="spellEnd"/>
            <w:r w:rsidRPr="005D71A4">
              <w:rPr>
                <w:sz w:val="18"/>
                <w:szCs w:val="18"/>
              </w:rPr>
              <w:t xml:space="preserve"> OR 'case report'/de)</w:t>
            </w:r>
          </w:p>
        </w:tc>
        <w:tc>
          <w:tcPr>
            <w:tcW w:w="708" w:type="dxa"/>
            <w:shd w:val="clear" w:color="auto" w:fill="auto"/>
          </w:tcPr>
          <w:p w14:paraId="0252C85D" w14:textId="4254E264" w:rsidR="00A323F5" w:rsidRPr="005D71A4" w:rsidRDefault="00A323F5" w:rsidP="00A323F5">
            <w:pPr>
              <w:pStyle w:val="051Tabletext228pt"/>
              <w:rPr>
                <w:sz w:val="18"/>
                <w:szCs w:val="18"/>
                <w:highlight w:val="yellow"/>
              </w:rPr>
            </w:pPr>
            <w:r w:rsidRPr="005D71A4">
              <w:rPr>
                <w:sz w:val="18"/>
                <w:szCs w:val="18"/>
              </w:rPr>
              <w:t>66</w:t>
            </w:r>
          </w:p>
        </w:tc>
        <w:tc>
          <w:tcPr>
            <w:tcW w:w="1700" w:type="dxa"/>
          </w:tcPr>
          <w:p w14:paraId="3CDD4BA3" w14:textId="58096093" w:rsidR="00A323F5" w:rsidRPr="005D71A4" w:rsidRDefault="002A70B0" w:rsidP="00A323F5">
            <w:pPr>
              <w:pStyle w:val="051Tabletext228pt"/>
              <w:rPr>
                <w:sz w:val="18"/>
                <w:szCs w:val="18"/>
                <w:highlight w:val="yellow"/>
              </w:rPr>
            </w:pPr>
            <w:r w:rsidRPr="005D71A4">
              <w:rPr>
                <w:sz w:val="18"/>
                <w:szCs w:val="18"/>
              </w:rPr>
              <w:t>EMBASE</w:t>
            </w:r>
            <w:r w:rsidR="00F5009F" w:rsidRPr="005D71A4">
              <w:rPr>
                <w:sz w:val="18"/>
                <w:szCs w:val="18"/>
              </w:rPr>
              <w:t>/Medline</w:t>
            </w:r>
          </w:p>
        </w:tc>
      </w:tr>
      <w:tr w:rsidR="00A323F5" w:rsidRPr="00B0485F" w14:paraId="50572087" w14:textId="77777777" w:rsidTr="006B1E8A">
        <w:tc>
          <w:tcPr>
            <w:tcW w:w="567" w:type="dxa"/>
            <w:shd w:val="clear" w:color="auto" w:fill="auto"/>
          </w:tcPr>
          <w:p w14:paraId="1B3BC89C" w14:textId="3D65E06D" w:rsidR="00A323F5" w:rsidRPr="005D71A4" w:rsidRDefault="00A323F5" w:rsidP="00A323F5">
            <w:pPr>
              <w:pStyle w:val="031Tablesubheading8pt"/>
              <w:keepNext w:val="0"/>
              <w:rPr>
                <w:sz w:val="18"/>
                <w:szCs w:val="18"/>
              </w:rPr>
            </w:pPr>
            <w:r w:rsidRPr="005D71A4">
              <w:rPr>
                <w:sz w:val="18"/>
                <w:szCs w:val="18"/>
              </w:rPr>
              <w:t>#10</w:t>
            </w:r>
          </w:p>
        </w:tc>
        <w:tc>
          <w:tcPr>
            <w:tcW w:w="6663" w:type="dxa"/>
            <w:shd w:val="clear" w:color="auto" w:fill="auto"/>
          </w:tcPr>
          <w:p w14:paraId="5F8BD6D2" w14:textId="5D53516B" w:rsidR="00A323F5" w:rsidRPr="005D71A4" w:rsidRDefault="00A323F5" w:rsidP="00A323F5">
            <w:pPr>
              <w:pStyle w:val="051Tabletext228pt"/>
              <w:rPr>
                <w:sz w:val="18"/>
                <w:szCs w:val="18"/>
              </w:rPr>
            </w:pPr>
            <w:r w:rsidRPr="005D71A4">
              <w:rPr>
                <w:sz w:val="18"/>
                <w:szCs w:val="18"/>
              </w:rPr>
              <w:t xml:space="preserve">#9 AND </w:t>
            </w:r>
            <w:proofErr w:type="spellStart"/>
            <w:r w:rsidRPr="005D71A4">
              <w:rPr>
                <w:sz w:val="18"/>
                <w:szCs w:val="18"/>
              </w:rPr>
              <w:t>english:la</w:t>
            </w:r>
            <w:proofErr w:type="spellEnd"/>
            <w:r w:rsidRPr="005D71A4">
              <w:rPr>
                <w:sz w:val="18"/>
                <w:szCs w:val="18"/>
              </w:rPr>
              <w:t xml:space="preserve"> AND [</w:t>
            </w:r>
            <w:proofErr w:type="spellStart"/>
            <w:r w:rsidRPr="005D71A4">
              <w:rPr>
                <w:sz w:val="18"/>
                <w:szCs w:val="18"/>
              </w:rPr>
              <w:t>english</w:t>
            </w:r>
            <w:proofErr w:type="spellEnd"/>
            <w:r w:rsidRPr="005D71A4">
              <w:rPr>
                <w:sz w:val="18"/>
                <w:szCs w:val="18"/>
              </w:rPr>
              <w:t>]/</w:t>
            </w:r>
            <w:proofErr w:type="spellStart"/>
            <w:r w:rsidRPr="005D71A4">
              <w:rPr>
                <w:sz w:val="18"/>
                <w:szCs w:val="18"/>
              </w:rPr>
              <w:t>lim</w:t>
            </w:r>
            <w:proofErr w:type="spellEnd"/>
          </w:p>
        </w:tc>
        <w:tc>
          <w:tcPr>
            <w:tcW w:w="708" w:type="dxa"/>
            <w:shd w:val="clear" w:color="auto" w:fill="auto"/>
          </w:tcPr>
          <w:p w14:paraId="12BD2171" w14:textId="4D7DE24E" w:rsidR="00A323F5" w:rsidRPr="005D71A4" w:rsidRDefault="00A323F5" w:rsidP="00A323F5">
            <w:pPr>
              <w:pStyle w:val="051Tabletext228pt"/>
              <w:rPr>
                <w:sz w:val="18"/>
                <w:szCs w:val="18"/>
              </w:rPr>
            </w:pPr>
            <w:r w:rsidRPr="005D71A4">
              <w:rPr>
                <w:sz w:val="18"/>
                <w:szCs w:val="18"/>
              </w:rPr>
              <w:t>64</w:t>
            </w:r>
          </w:p>
        </w:tc>
        <w:tc>
          <w:tcPr>
            <w:tcW w:w="1700" w:type="dxa"/>
          </w:tcPr>
          <w:p w14:paraId="7CB895C8" w14:textId="51DCB08F" w:rsidR="00A323F5" w:rsidRPr="005D71A4" w:rsidRDefault="00A323F5" w:rsidP="00A323F5">
            <w:pPr>
              <w:pStyle w:val="051Tabletext228pt"/>
              <w:rPr>
                <w:sz w:val="18"/>
                <w:szCs w:val="18"/>
              </w:rPr>
            </w:pPr>
            <w:r w:rsidRPr="005D71A4">
              <w:rPr>
                <w:sz w:val="18"/>
                <w:szCs w:val="18"/>
              </w:rPr>
              <w:t>Abstract Screening</w:t>
            </w:r>
          </w:p>
        </w:tc>
      </w:tr>
      <w:tr w:rsidR="00A323F5" w:rsidRPr="00B0485F" w14:paraId="40C1C837" w14:textId="77777777" w:rsidTr="006B1E8A">
        <w:tc>
          <w:tcPr>
            <w:tcW w:w="567" w:type="dxa"/>
            <w:shd w:val="clear" w:color="auto" w:fill="auto"/>
          </w:tcPr>
          <w:p w14:paraId="56492039" w14:textId="23FAD8E4" w:rsidR="00A323F5" w:rsidRPr="005D71A4" w:rsidRDefault="00A323F5" w:rsidP="00A323F5">
            <w:pPr>
              <w:pStyle w:val="031Tablesubheading8pt"/>
              <w:keepNext w:val="0"/>
              <w:rPr>
                <w:sz w:val="18"/>
                <w:szCs w:val="18"/>
              </w:rPr>
            </w:pPr>
            <w:r w:rsidRPr="005D71A4">
              <w:rPr>
                <w:sz w:val="18"/>
                <w:szCs w:val="18"/>
              </w:rPr>
              <w:lastRenderedPageBreak/>
              <w:t>—</w:t>
            </w:r>
          </w:p>
        </w:tc>
        <w:tc>
          <w:tcPr>
            <w:tcW w:w="6663" w:type="dxa"/>
            <w:shd w:val="clear" w:color="auto" w:fill="auto"/>
          </w:tcPr>
          <w:p w14:paraId="4E6606B8" w14:textId="676C1FB5" w:rsidR="00A323F5" w:rsidRPr="005D71A4" w:rsidRDefault="00A323F5" w:rsidP="00A323F5">
            <w:pPr>
              <w:pStyle w:val="051Tabletext228pt"/>
              <w:rPr>
                <w:sz w:val="18"/>
                <w:szCs w:val="18"/>
                <w:highlight w:val="yellow"/>
              </w:rPr>
            </w:pPr>
            <w:r w:rsidRPr="005D71A4">
              <w:rPr>
                <w:sz w:val="18"/>
                <w:szCs w:val="18"/>
              </w:rPr>
              <w:t>—</w:t>
            </w:r>
          </w:p>
        </w:tc>
        <w:tc>
          <w:tcPr>
            <w:tcW w:w="708" w:type="dxa"/>
            <w:shd w:val="clear" w:color="auto" w:fill="auto"/>
          </w:tcPr>
          <w:p w14:paraId="3B1C9CC8" w14:textId="755CAD15" w:rsidR="00A323F5" w:rsidRPr="005D71A4" w:rsidRDefault="00A323F5" w:rsidP="00A323F5">
            <w:pPr>
              <w:pStyle w:val="051Tabletext228pt"/>
              <w:rPr>
                <w:sz w:val="18"/>
                <w:szCs w:val="18"/>
              </w:rPr>
            </w:pPr>
            <w:r w:rsidRPr="005D71A4">
              <w:rPr>
                <w:sz w:val="18"/>
                <w:szCs w:val="18"/>
              </w:rPr>
              <w:t>2</w:t>
            </w:r>
            <w:r w:rsidR="00A75675" w:rsidRPr="005D71A4">
              <w:rPr>
                <w:sz w:val="18"/>
                <w:szCs w:val="18"/>
              </w:rPr>
              <w:t>1</w:t>
            </w:r>
          </w:p>
        </w:tc>
        <w:tc>
          <w:tcPr>
            <w:tcW w:w="1700" w:type="dxa"/>
          </w:tcPr>
          <w:p w14:paraId="53B779A0" w14:textId="151DE773" w:rsidR="00A323F5" w:rsidRPr="005D71A4" w:rsidRDefault="00A323F5" w:rsidP="00A323F5">
            <w:pPr>
              <w:pStyle w:val="051Tabletext228pt"/>
              <w:rPr>
                <w:sz w:val="18"/>
                <w:szCs w:val="18"/>
              </w:rPr>
            </w:pPr>
            <w:r w:rsidRPr="005D71A4">
              <w:rPr>
                <w:sz w:val="18"/>
                <w:szCs w:val="18"/>
              </w:rPr>
              <w:t>Full text review</w:t>
            </w:r>
          </w:p>
        </w:tc>
      </w:tr>
      <w:tr w:rsidR="00A323F5" w:rsidRPr="00B0485F" w14:paraId="042F41C5" w14:textId="77777777" w:rsidTr="006B1E8A">
        <w:tc>
          <w:tcPr>
            <w:tcW w:w="567" w:type="dxa"/>
            <w:shd w:val="clear" w:color="auto" w:fill="auto"/>
          </w:tcPr>
          <w:p w14:paraId="51F4D91D" w14:textId="36FB72B3" w:rsidR="00A323F5" w:rsidRPr="005D71A4" w:rsidRDefault="00A323F5" w:rsidP="00A323F5">
            <w:pPr>
              <w:pStyle w:val="031Tablesubheading8pt"/>
              <w:keepNext w:val="0"/>
              <w:rPr>
                <w:sz w:val="18"/>
                <w:szCs w:val="24"/>
              </w:rPr>
            </w:pPr>
            <w:r w:rsidRPr="005D71A4">
              <w:rPr>
                <w:sz w:val="18"/>
                <w:szCs w:val="24"/>
              </w:rPr>
              <w:t>—</w:t>
            </w:r>
          </w:p>
        </w:tc>
        <w:tc>
          <w:tcPr>
            <w:tcW w:w="6663" w:type="dxa"/>
            <w:shd w:val="clear" w:color="auto" w:fill="auto"/>
          </w:tcPr>
          <w:p w14:paraId="393A1F80" w14:textId="3A09450F" w:rsidR="00A323F5" w:rsidRPr="005D71A4" w:rsidRDefault="00A323F5" w:rsidP="00A323F5">
            <w:pPr>
              <w:pStyle w:val="051Tabletext228pt"/>
              <w:rPr>
                <w:sz w:val="18"/>
                <w:szCs w:val="24"/>
                <w:highlight w:val="yellow"/>
              </w:rPr>
            </w:pPr>
            <w:r w:rsidRPr="005D71A4">
              <w:rPr>
                <w:sz w:val="18"/>
                <w:szCs w:val="24"/>
              </w:rPr>
              <w:t>—</w:t>
            </w:r>
          </w:p>
        </w:tc>
        <w:tc>
          <w:tcPr>
            <w:tcW w:w="708" w:type="dxa"/>
            <w:shd w:val="clear" w:color="auto" w:fill="auto"/>
          </w:tcPr>
          <w:p w14:paraId="05D755E8" w14:textId="0B7B5523" w:rsidR="00A323F5" w:rsidRPr="005D71A4" w:rsidRDefault="00FE09B5" w:rsidP="00A323F5">
            <w:pPr>
              <w:pStyle w:val="051Tabletext228pt"/>
              <w:rPr>
                <w:sz w:val="18"/>
                <w:szCs w:val="24"/>
              </w:rPr>
            </w:pPr>
            <w:r w:rsidRPr="005D71A4">
              <w:rPr>
                <w:sz w:val="18"/>
                <w:szCs w:val="24"/>
              </w:rPr>
              <w:t>8</w:t>
            </w:r>
          </w:p>
        </w:tc>
        <w:tc>
          <w:tcPr>
            <w:tcW w:w="1700" w:type="dxa"/>
          </w:tcPr>
          <w:p w14:paraId="3107680B" w14:textId="5AECD38C" w:rsidR="00A323F5" w:rsidRPr="005D71A4" w:rsidRDefault="00A323F5" w:rsidP="00A323F5">
            <w:pPr>
              <w:pStyle w:val="051Tabletext228pt"/>
              <w:rPr>
                <w:sz w:val="18"/>
                <w:szCs w:val="24"/>
              </w:rPr>
            </w:pPr>
            <w:r w:rsidRPr="005D71A4">
              <w:rPr>
                <w:sz w:val="18"/>
                <w:szCs w:val="24"/>
              </w:rPr>
              <w:t>Studies for inclusion</w:t>
            </w:r>
          </w:p>
        </w:tc>
      </w:tr>
    </w:tbl>
    <w:p w14:paraId="5C477D03" w14:textId="77777777" w:rsidR="00261F3D" w:rsidRPr="00261F3D" w:rsidRDefault="00261F3D" w:rsidP="00261F3D">
      <w:pPr>
        <w:pStyle w:val="BodyText"/>
        <w:rPr>
          <w:highlight w:val="yellow"/>
        </w:rPr>
      </w:pPr>
    </w:p>
    <w:p w14:paraId="3AFA32DC" w14:textId="471A3195" w:rsidR="007074E5" w:rsidRPr="00B0485F" w:rsidRDefault="00B07AA0" w:rsidP="00955387">
      <w:pPr>
        <w:pStyle w:val="Heading7"/>
      </w:pPr>
      <w:bookmarkStart w:id="193" w:name="_Toc165627860"/>
      <w:bookmarkStart w:id="194" w:name="_Ref132699913"/>
      <w:bookmarkStart w:id="195" w:name="_Ref132699917"/>
      <w:bookmarkStart w:id="196" w:name="_Ref130477699"/>
      <w:bookmarkStart w:id="197" w:name="_Ref129763827"/>
      <w:r w:rsidRPr="00B0485F">
        <w:lastRenderedPageBreak/>
        <w:t xml:space="preserve">NICE </w:t>
      </w:r>
      <w:r w:rsidR="00531300">
        <w:t xml:space="preserve">relevant </w:t>
      </w:r>
      <w:r w:rsidR="00A011D8">
        <w:t xml:space="preserve">included studies for </w:t>
      </w:r>
      <w:r w:rsidRPr="00B0485F">
        <w:t>clinical effectiveness</w:t>
      </w:r>
      <w:bookmarkEnd w:id="193"/>
      <w:r w:rsidR="00531300">
        <w:t xml:space="preserve"> </w:t>
      </w:r>
      <w:bookmarkEnd w:id="194"/>
      <w:bookmarkEnd w:id="195"/>
    </w:p>
    <w:p w14:paraId="11A02992" w14:textId="1EFFF34C" w:rsidR="0063161F" w:rsidRPr="0063161F" w:rsidRDefault="0063161F" w:rsidP="0063161F">
      <w:pPr>
        <w:pStyle w:val="Heading8"/>
      </w:pPr>
      <w:bookmarkStart w:id="198" w:name="_Toc165627861"/>
      <w:r>
        <w:t>Study characteristics</w:t>
      </w:r>
      <w:bookmarkEnd w:id="198"/>
    </w:p>
    <w:p w14:paraId="1ECD23D7" w14:textId="770362F1" w:rsidR="001F1DC9" w:rsidRPr="001F1DC9" w:rsidRDefault="004F2D5D" w:rsidP="004F2D5D">
      <w:pPr>
        <w:pStyle w:val="Heading9"/>
      </w:pPr>
      <w:bookmarkStart w:id="199" w:name="_Ref165620195"/>
      <w:proofErr w:type="spellStart"/>
      <w:r>
        <w:t>Colposuspension</w:t>
      </w:r>
      <w:proofErr w:type="spellEnd"/>
      <w:r>
        <w:t xml:space="preserve"> versus MUS</w:t>
      </w:r>
      <w:bookmarkEnd w:id="199"/>
    </w:p>
    <w:p w14:paraId="0CFB23F4" w14:textId="078DDB0D" w:rsidR="004E19E5" w:rsidRPr="00B0485F" w:rsidRDefault="004E19E5" w:rsidP="004E19E5">
      <w:pPr>
        <w:pStyle w:val="Caption"/>
      </w:pPr>
      <w:bookmarkStart w:id="200" w:name="_Ref130478437"/>
      <w:bookmarkStart w:id="201" w:name="_Ref132275701"/>
      <w:bookmarkStart w:id="202" w:name="_Ref132285620"/>
      <w:bookmarkStart w:id="203" w:name="_Toc165627906"/>
      <w:r w:rsidRPr="00B0485F">
        <w:t xml:space="preserve">Table App. </w:t>
      </w:r>
      <w:fldSimple w:instr=" SEQ Table_App. \* ARABIC ">
        <w:r w:rsidR="007105D3">
          <w:rPr>
            <w:noProof/>
          </w:rPr>
          <w:t>3</w:t>
        </w:r>
      </w:fldSimple>
      <w:bookmarkEnd w:id="200"/>
      <w:bookmarkEnd w:id="201"/>
      <w:bookmarkEnd w:id="202"/>
      <w:r w:rsidRPr="00B0485F">
        <w:tab/>
        <w:t xml:space="preserve">Summary of included RCTs for </w:t>
      </w:r>
      <w:proofErr w:type="spellStart"/>
      <w:r w:rsidRPr="00B0485F">
        <w:t>colposuspension</w:t>
      </w:r>
      <w:proofErr w:type="spellEnd"/>
      <w:r w:rsidRPr="00B0485F">
        <w:t xml:space="preserve"> versus </w:t>
      </w:r>
      <w:r w:rsidR="00F1626C">
        <w:t>MUS</w:t>
      </w:r>
      <w:bookmarkEnd w:id="203"/>
    </w:p>
    <w:tbl>
      <w:tblPr>
        <w:tblStyle w:val="TableGrid"/>
        <w:tblW w:w="5000" w:type="pct"/>
        <w:tblLook w:val="04A0" w:firstRow="1" w:lastRow="0" w:firstColumn="1" w:lastColumn="0" w:noHBand="0" w:noVBand="1"/>
        <w:tblCaption w:val="Summary of included RCTs for colposuspension versus MUS (from NICE)"/>
        <w:tblDescription w:val="This table summarises the study characteristics of the relevant included RCTs from the NICE evidence review for colposuspension versus MUS. The study ID, participants, intervention, comparator, outcomes and length of follow-up are presented. "/>
      </w:tblPr>
      <w:tblGrid>
        <w:gridCol w:w="1383"/>
        <w:gridCol w:w="2144"/>
        <w:gridCol w:w="2285"/>
        <w:gridCol w:w="2552"/>
        <w:gridCol w:w="1274"/>
      </w:tblGrid>
      <w:tr w:rsidR="004E19E5" w:rsidRPr="00B0485F" w14:paraId="65E81AB3" w14:textId="77777777" w:rsidTr="00E7619C">
        <w:trPr>
          <w:cnfStyle w:val="100000000000" w:firstRow="1" w:lastRow="0" w:firstColumn="0" w:lastColumn="0" w:oddVBand="0" w:evenVBand="0" w:oddHBand="0" w:evenHBand="0" w:firstRowFirstColumn="0" w:firstRowLastColumn="0" w:lastRowFirstColumn="0" w:lastRowLastColumn="0"/>
        </w:trPr>
        <w:tc>
          <w:tcPr>
            <w:tcW w:w="1383" w:type="dxa"/>
          </w:tcPr>
          <w:p w14:paraId="3E5CD9EB" w14:textId="3835069B" w:rsidR="004E19E5" w:rsidRPr="00B0485F" w:rsidRDefault="004E19E5" w:rsidP="007456CD">
            <w:pPr>
              <w:pStyle w:val="011TableHeading8pt"/>
              <w:spacing w:before="20" w:after="20" w:line="240" w:lineRule="auto"/>
            </w:pPr>
            <w:r w:rsidRPr="00B0485F">
              <w:t>Study ID</w:t>
            </w:r>
          </w:p>
        </w:tc>
        <w:tc>
          <w:tcPr>
            <w:tcW w:w="2144" w:type="dxa"/>
          </w:tcPr>
          <w:p w14:paraId="0B20D4D5" w14:textId="4C27E5FC" w:rsidR="004E19E5" w:rsidRPr="00B0485F" w:rsidRDefault="004E19E5" w:rsidP="007456CD">
            <w:pPr>
              <w:pStyle w:val="011TableHeading8pt"/>
              <w:spacing w:before="20" w:after="20" w:line="240" w:lineRule="auto"/>
            </w:pPr>
            <w:r w:rsidRPr="00B0485F">
              <w:t>Participants</w:t>
            </w:r>
          </w:p>
        </w:tc>
        <w:tc>
          <w:tcPr>
            <w:tcW w:w="2285" w:type="dxa"/>
          </w:tcPr>
          <w:p w14:paraId="0591954C" w14:textId="77777777" w:rsidR="004E19E5" w:rsidRPr="00B0485F" w:rsidRDefault="004E19E5" w:rsidP="007456CD">
            <w:pPr>
              <w:pStyle w:val="011TableHeading8pt"/>
              <w:spacing w:before="20" w:after="20" w:line="240" w:lineRule="auto"/>
            </w:pPr>
            <w:r w:rsidRPr="00B0485F">
              <w:t>Intervention</w:t>
            </w:r>
          </w:p>
          <w:p w14:paraId="3D1934A4" w14:textId="77777777" w:rsidR="004E19E5" w:rsidRPr="00B0485F" w:rsidRDefault="004E19E5" w:rsidP="007456CD">
            <w:pPr>
              <w:pStyle w:val="011TableHeading8pt"/>
              <w:spacing w:before="20" w:after="20" w:line="240" w:lineRule="auto"/>
            </w:pPr>
            <w:r w:rsidRPr="00B0485F">
              <w:t>Comparator</w:t>
            </w:r>
          </w:p>
        </w:tc>
        <w:tc>
          <w:tcPr>
            <w:tcW w:w="2552" w:type="dxa"/>
          </w:tcPr>
          <w:p w14:paraId="0B053B9E" w14:textId="77777777" w:rsidR="004E19E5" w:rsidRPr="00B0485F" w:rsidRDefault="004E19E5" w:rsidP="007456CD">
            <w:pPr>
              <w:pStyle w:val="011TableHeading8pt"/>
              <w:spacing w:before="20" w:after="20" w:line="240" w:lineRule="auto"/>
            </w:pPr>
            <w:r w:rsidRPr="00B0485F">
              <w:t>Outcomes</w:t>
            </w:r>
          </w:p>
        </w:tc>
        <w:tc>
          <w:tcPr>
            <w:tcW w:w="1274" w:type="dxa"/>
          </w:tcPr>
          <w:p w14:paraId="62CCCD2D" w14:textId="77777777" w:rsidR="004E19E5" w:rsidRPr="00B0485F" w:rsidRDefault="004E19E5" w:rsidP="007456CD">
            <w:pPr>
              <w:pStyle w:val="011TableHeading8pt"/>
              <w:spacing w:before="20" w:after="20" w:line="240" w:lineRule="auto"/>
            </w:pPr>
            <w:r w:rsidRPr="00B0485F">
              <w:t>Follow-up (months)</w:t>
            </w:r>
          </w:p>
        </w:tc>
      </w:tr>
      <w:tr w:rsidR="004E19E5" w:rsidRPr="00B0485F" w14:paraId="334413F0" w14:textId="77777777" w:rsidTr="00E7619C">
        <w:tc>
          <w:tcPr>
            <w:tcW w:w="1383" w:type="dxa"/>
          </w:tcPr>
          <w:p w14:paraId="257903AD" w14:textId="4EBB175B" w:rsidR="004E19E5" w:rsidRPr="00B0485F" w:rsidRDefault="004E19E5" w:rsidP="007456CD">
            <w:pPr>
              <w:pStyle w:val="051Tabletext228pt"/>
              <w:spacing w:before="20" w:after="20"/>
              <w:rPr>
                <w:vertAlign w:val="superscript"/>
              </w:rPr>
            </w:pPr>
            <w:r w:rsidRPr="00B0485F">
              <w:t>Bai 2005</w:t>
            </w:r>
            <w:r w:rsidRPr="00B0485F">
              <w:rPr>
                <w:vertAlign w:val="superscript"/>
              </w:rPr>
              <w:t>1</w:t>
            </w:r>
          </w:p>
        </w:tc>
        <w:tc>
          <w:tcPr>
            <w:tcW w:w="2144" w:type="dxa"/>
          </w:tcPr>
          <w:p w14:paraId="0C2B0AE0" w14:textId="77777777" w:rsidR="004E19E5" w:rsidRDefault="004E19E5" w:rsidP="007456CD">
            <w:pPr>
              <w:pStyle w:val="051Tabletext228pt"/>
              <w:spacing w:before="20" w:after="20"/>
            </w:pPr>
            <w:r w:rsidRPr="00B0485F">
              <w:t>Grade 1 or 2 SUI</w:t>
            </w:r>
          </w:p>
          <w:p w14:paraId="2E8EDB4A" w14:textId="40DCCA65" w:rsidR="004E19E5" w:rsidRPr="00B0485F" w:rsidRDefault="00CE09E0" w:rsidP="007456CD">
            <w:pPr>
              <w:pStyle w:val="051Tabletext228pt"/>
              <w:spacing w:before="20" w:after="20"/>
            </w:pPr>
            <w:r>
              <w:t>N=</w:t>
            </w:r>
            <w:r w:rsidR="00714127" w:rsidRPr="00B0485F">
              <w:t>64</w:t>
            </w:r>
            <w:r w:rsidR="00714127" w:rsidRPr="00B0485F">
              <w:rPr>
                <w:vertAlign w:val="superscript"/>
              </w:rPr>
              <w:t>2</w:t>
            </w:r>
          </w:p>
        </w:tc>
        <w:tc>
          <w:tcPr>
            <w:tcW w:w="2285" w:type="dxa"/>
          </w:tcPr>
          <w:p w14:paraId="397F7EC0"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6B2E4F8F" w14:textId="77777777" w:rsidR="004E19E5" w:rsidRPr="00B0485F" w:rsidRDefault="004E19E5" w:rsidP="007456CD">
            <w:pPr>
              <w:pStyle w:val="051Tabletext228pt"/>
              <w:spacing w:before="20" w:after="20"/>
            </w:pPr>
            <w:r w:rsidRPr="00B0485F">
              <w:t>TVT</w:t>
            </w:r>
          </w:p>
        </w:tc>
        <w:tc>
          <w:tcPr>
            <w:tcW w:w="2552" w:type="dxa"/>
          </w:tcPr>
          <w:p w14:paraId="6AAF098C" w14:textId="77777777" w:rsidR="004E19E5" w:rsidRPr="00B0485F" w:rsidRDefault="004E19E5" w:rsidP="007456CD">
            <w:pPr>
              <w:pStyle w:val="051Tabletext228pt"/>
              <w:spacing w:before="20" w:after="20"/>
            </w:pPr>
            <w:r w:rsidRPr="00B0485F">
              <w:t>Change in continence status</w:t>
            </w:r>
          </w:p>
        </w:tc>
        <w:tc>
          <w:tcPr>
            <w:tcW w:w="1274" w:type="dxa"/>
          </w:tcPr>
          <w:p w14:paraId="580E2F94" w14:textId="77777777" w:rsidR="004E19E5" w:rsidRPr="00B0485F" w:rsidRDefault="004E19E5" w:rsidP="007456CD">
            <w:pPr>
              <w:pStyle w:val="051Tabletext228pt"/>
              <w:spacing w:before="20" w:after="20"/>
            </w:pPr>
            <w:r w:rsidRPr="00B0485F">
              <w:t>12</w:t>
            </w:r>
          </w:p>
        </w:tc>
      </w:tr>
      <w:tr w:rsidR="004E19E5" w:rsidRPr="00B0485F" w14:paraId="2D60F785" w14:textId="77777777" w:rsidTr="00E7619C">
        <w:tc>
          <w:tcPr>
            <w:tcW w:w="1383" w:type="dxa"/>
          </w:tcPr>
          <w:p w14:paraId="681C0F4D" w14:textId="248D2196" w:rsidR="004E19E5" w:rsidRPr="00B0485F" w:rsidRDefault="004E19E5" w:rsidP="007456CD">
            <w:pPr>
              <w:pStyle w:val="051Tabletext228pt"/>
              <w:spacing w:before="20" w:after="20"/>
            </w:pPr>
            <w:proofErr w:type="spellStart"/>
            <w:r w:rsidRPr="00B0485F">
              <w:t>Bandarian</w:t>
            </w:r>
            <w:proofErr w:type="spellEnd"/>
            <w:r w:rsidRPr="00B0485F">
              <w:t xml:space="preserve"> 2011</w:t>
            </w:r>
          </w:p>
        </w:tc>
        <w:tc>
          <w:tcPr>
            <w:tcW w:w="2144" w:type="dxa"/>
          </w:tcPr>
          <w:p w14:paraId="500EED3A" w14:textId="77777777" w:rsidR="004E19E5" w:rsidRDefault="004E19E5" w:rsidP="007456CD">
            <w:pPr>
              <w:pStyle w:val="051Tabletext228pt"/>
              <w:spacing w:before="20" w:after="20"/>
            </w:pPr>
            <w:r w:rsidRPr="00B0485F">
              <w:t>Incontinence surgery-naïve SUI who failed medical or conservative treatment</w:t>
            </w:r>
          </w:p>
          <w:p w14:paraId="1783F696" w14:textId="1DB1D7A0" w:rsidR="004E19E5" w:rsidRPr="00B0485F" w:rsidRDefault="00AD0D3E" w:rsidP="007456CD">
            <w:pPr>
              <w:pStyle w:val="051Tabletext228pt"/>
              <w:spacing w:before="20" w:after="20"/>
            </w:pPr>
            <w:r>
              <w:t>N=62</w:t>
            </w:r>
          </w:p>
        </w:tc>
        <w:tc>
          <w:tcPr>
            <w:tcW w:w="2285" w:type="dxa"/>
          </w:tcPr>
          <w:p w14:paraId="3C978467"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1BBF27D4" w14:textId="77777777" w:rsidR="004E19E5" w:rsidRPr="00B0485F" w:rsidRDefault="004E19E5" w:rsidP="007456CD">
            <w:pPr>
              <w:pStyle w:val="051Tabletext228pt"/>
              <w:spacing w:before="20" w:after="20"/>
            </w:pPr>
            <w:r w:rsidRPr="00A92C11">
              <w:t>TOT</w:t>
            </w:r>
          </w:p>
        </w:tc>
        <w:tc>
          <w:tcPr>
            <w:tcW w:w="2552" w:type="dxa"/>
          </w:tcPr>
          <w:p w14:paraId="0F67C3A4" w14:textId="77777777" w:rsidR="004E19E5" w:rsidRPr="00B0485F" w:rsidRDefault="004E19E5" w:rsidP="007456CD">
            <w:pPr>
              <w:pStyle w:val="051Tabletext228pt"/>
              <w:spacing w:before="20" w:after="20"/>
            </w:pPr>
            <w:r w:rsidRPr="00B0485F">
              <w:t>AEs</w:t>
            </w:r>
          </w:p>
          <w:p w14:paraId="1AC912F8" w14:textId="77777777" w:rsidR="004E19E5" w:rsidRPr="00B0485F" w:rsidRDefault="004E19E5" w:rsidP="007456CD">
            <w:pPr>
              <w:pStyle w:val="051Tabletext228pt"/>
              <w:spacing w:before="20" w:after="20"/>
            </w:pPr>
            <w:r w:rsidRPr="00B0485F">
              <w:t>Complications</w:t>
            </w:r>
          </w:p>
          <w:p w14:paraId="2EE963E6" w14:textId="77777777" w:rsidR="004E19E5" w:rsidRPr="00B0485F" w:rsidRDefault="004E19E5" w:rsidP="007456CD">
            <w:pPr>
              <w:pStyle w:val="051Tabletext228pt"/>
              <w:spacing w:before="20" w:after="20"/>
            </w:pPr>
            <w:r w:rsidRPr="00B0485F">
              <w:t>Change in continence status</w:t>
            </w:r>
          </w:p>
          <w:p w14:paraId="4AAA440C" w14:textId="77777777" w:rsidR="004E19E5" w:rsidRPr="00B0485F" w:rsidRDefault="004E19E5" w:rsidP="007456CD">
            <w:pPr>
              <w:pStyle w:val="051Tabletext228pt"/>
              <w:spacing w:before="20" w:after="20"/>
            </w:pPr>
            <w:r w:rsidRPr="00B0485F">
              <w:t>Improvement in continence status</w:t>
            </w:r>
          </w:p>
        </w:tc>
        <w:tc>
          <w:tcPr>
            <w:tcW w:w="1274" w:type="dxa"/>
          </w:tcPr>
          <w:p w14:paraId="010163DE" w14:textId="77777777" w:rsidR="004E19E5" w:rsidRPr="00B0485F" w:rsidRDefault="004E19E5" w:rsidP="007456CD">
            <w:pPr>
              <w:pStyle w:val="051Tabletext228pt"/>
              <w:spacing w:before="20" w:after="20"/>
            </w:pPr>
            <w:r w:rsidRPr="00B0485F">
              <w:t>25 (mean)</w:t>
            </w:r>
          </w:p>
        </w:tc>
      </w:tr>
      <w:tr w:rsidR="004E19E5" w:rsidRPr="00B0485F" w14:paraId="26134CFA" w14:textId="77777777" w:rsidTr="00E7619C">
        <w:tc>
          <w:tcPr>
            <w:tcW w:w="1383" w:type="dxa"/>
          </w:tcPr>
          <w:p w14:paraId="4F294C41" w14:textId="6889071B" w:rsidR="004E19E5" w:rsidRPr="00B0485F" w:rsidRDefault="004E19E5" w:rsidP="007456CD">
            <w:pPr>
              <w:pStyle w:val="051Tabletext228pt"/>
              <w:spacing w:before="20" w:after="20"/>
            </w:pPr>
            <w:r w:rsidRPr="00B0485F">
              <w:t>El-Barky 2005</w:t>
            </w:r>
          </w:p>
        </w:tc>
        <w:tc>
          <w:tcPr>
            <w:tcW w:w="2144" w:type="dxa"/>
          </w:tcPr>
          <w:p w14:paraId="05259F09" w14:textId="77777777" w:rsidR="004E19E5" w:rsidRDefault="004E19E5" w:rsidP="007456CD">
            <w:pPr>
              <w:pStyle w:val="051Tabletext228pt"/>
              <w:spacing w:before="20" w:after="20"/>
            </w:pPr>
            <w:r w:rsidRPr="00B0485F">
              <w:t>USI</w:t>
            </w:r>
          </w:p>
          <w:p w14:paraId="7E5F3A31" w14:textId="22452F84" w:rsidR="004E19E5" w:rsidRPr="00B0485F" w:rsidRDefault="00314DCF" w:rsidP="007456CD">
            <w:pPr>
              <w:pStyle w:val="051Tabletext228pt"/>
              <w:spacing w:before="20" w:after="20"/>
            </w:pPr>
            <w:r>
              <w:t>N=50</w:t>
            </w:r>
          </w:p>
        </w:tc>
        <w:tc>
          <w:tcPr>
            <w:tcW w:w="2285" w:type="dxa"/>
          </w:tcPr>
          <w:p w14:paraId="26486F2D"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43DDD11D" w14:textId="77777777" w:rsidR="004E19E5" w:rsidRPr="00B0485F" w:rsidRDefault="004E19E5" w:rsidP="007456CD">
            <w:pPr>
              <w:pStyle w:val="051Tabletext228pt"/>
              <w:spacing w:before="20" w:after="20"/>
            </w:pPr>
            <w:r w:rsidRPr="00B0485F">
              <w:t>TVT</w:t>
            </w:r>
          </w:p>
        </w:tc>
        <w:tc>
          <w:tcPr>
            <w:tcW w:w="2552" w:type="dxa"/>
          </w:tcPr>
          <w:p w14:paraId="2FAC0F1E" w14:textId="77777777" w:rsidR="004E19E5" w:rsidRPr="00B0485F" w:rsidRDefault="004E19E5" w:rsidP="007456CD">
            <w:pPr>
              <w:pStyle w:val="051Tabletext228pt"/>
              <w:spacing w:before="20" w:after="20"/>
            </w:pPr>
            <w:r w:rsidRPr="00B0485F">
              <w:t>AEs</w:t>
            </w:r>
          </w:p>
        </w:tc>
        <w:tc>
          <w:tcPr>
            <w:tcW w:w="1274" w:type="dxa"/>
          </w:tcPr>
          <w:p w14:paraId="76CCB39C" w14:textId="77777777" w:rsidR="004E19E5" w:rsidRPr="00B0485F" w:rsidRDefault="004E19E5" w:rsidP="007456CD">
            <w:pPr>
              <w:pStyle w:val="051Tabletext228pt"/>
              <w:spacing w:before="20" w:after="20"/>
            </w:pPr>
            <w:r w:rsidRPr="00B0485F">
              <w:t>3-6</w:t>
            </w:r>
          </w:p>
        </w:tc>
      </w:tr>
      <w:tr w:rsidR="004E19E5" w:rsidRPr="00B0485F" w14:paraId="3A30B482" w14:textId="77777777" w:rsidTr="00E7619C">
        <w:tc>
          <w:tcPr>
            <w:tcW w:w="1383" w:type="dxa"/>
          </w:tcPr>
          <w:p w14:paraId="4D7CDC79" w14:textId="77777777" w:rsidR="004E19E5" w:rsidRPr="00B0485F" w:rsidRDefault="004E19E5" w:rsidP="007456CD">
            <w:pPr>
              <w:pStyle w:val="051Tabletext228pt"/>
              <w:spacing w:before="20" w:after="20"/>
            </w:pPr>
            <w:r w:rsidRPr="00B0485F">
              <w:t>Foote 2006</w:t>
            </w:r>
          </w:p>
          <w:p w14:paraId="4A22FD00" w14:textId="03EA15F2" w:rsidR="004E19E5" w:rsidRPr="00B0485F" w:rsidRDefault="004E19E5" w:rsidP="007456CD">
            <w:pPr>
              <w:pStyle w:val="051Tabletext228pt"/>
              <w:spacing w:before="20" w:after="20"/>
            </w:pPr>
          </w:p>
        </w:tc>
        <w:tc>
          <w:tcPr>
            <w:tcW w:w="2144" w:type="dxa"/>
          </w:tcPr>
          <w:p w14:paraId="67467944" w14:textId="77777777" w:rsidR="004E19E5" w:rsidRDefault="004E19E5" w:rsidP="007456CD">
            <w:pPr>
              <w:pStyle w:val="051Tabletext228pt"/>
              <w:spacing w:before="20" w:after="20"/>
            </w:pPr>
            <w:r w:rsidRPr="00B0485F">
              <w:t>USI</w:t>
            </w:r>
          </w:p>
          <w:p w14:paraId="3B50CA2F" w14:textId="5FFB7848" w:rsidR="004E7AF3" w:rsidRPr="00B0485F" w:rsidRDefault="004E7AF3" w:rsidP="007456CD">
            <w:pPr>
              <w:pStyle w:val="051Tabletext228pt"/>
              <w:spacing w:before="20" w:after="20"/>
            </w:pPr>
            <w:r>
              <w:t>N=97</w:t>
            </w:r>
          </w:p>
        </w:tc>
        <w:tc>
          <w:tcPr>
            <w:tcW w:w="2285" w:type="dxa"/>
          </w:tcPr>
          <w:p w14:paraId="2569371B" w14:textId="356EE2E8" w:rsidR="004E19E5" w:rsidRPr="00B0485F" w:rsidRDefault="009F6782" w:rsidP="007456CD">
            <w:pPr>
              <w:pStyle w:val="051Tabletext228pt"/>
              <w:spacing w:before="20" w:after="20"/>
            </w:pPr>
            <w:r w:rsidRPr="00B0485F">
              <w:t>Laparoscopic</w:t>
            </w:r>
            <w:r w:rsidR="004E19E5" w:rsidRPr="00B0485F">
              <w:t xml:space="preserve"> </w:t>
            </w:r>
            <w:proofErr w:type="spellStart"/>
            <w:r w:rsidR="004E19E5" w:rsidRPr="00B0485F">
              <w:t>colposuspension</w:t>
            </w:r>
            <w:proofErr w:type="spellEnd"/>
          </w:p>
          <w:p w14:paraId="5073CBF7" w14:textId="77777777" w:rsidR="004E19E5" w:rsidRPr="00B0485F" w:rsidRDefault="004E19E5" w:rsidP="007456CD">
            <w:pPr>
              <w:pStyle w:val="051Tabletext228pt"/>
              <w:spacing w:before="20" w:after="20"/>
            </w:pPr>
            <w:r w:rsidRPr="00B0485F">
              <w:t>SPARC</w:t>
            </w:r>
          </w:p>
        </w:tc>
        <w:tc>
          <w:tcPr>
            <w:tcW w:w="2552" w:type="dxa"/>
          </w:tcPr>
          <w:p w14:paraId="0564B5AD" w14:textId="77777777" w:rsidR="004E19E5" w:rsidRPr="00B0485F" w:rsidRDefault="004E19E5" w:rsidP="007456CD">
            <w:pPr>
              <w:pStyle w:val="051Tabletext228pt"/>
              <w:spacing w:before="20" w:after="20"/>
            </w:pPr>
            <w:r w:rsidRPr="00B0485F">
              <w:t>AEs</w:t>
            </w:r>
          </w:p>
          <w:p w14:paraId="039A5364" w14:textId="77777777" w:rsidR="004E19E5" w:rsidRPr="00B0485F" w:rsidRDefault="004E19E5" w:rsidP="007456CD">
            <w:pPr>
              <w:pStyle w:val="051Tabletext228pt"/>
              <w:spacing w:before="20" w:after="20"/>
            </w:pPr>
            <w:r w:rsidRPr="00B0485F">
              <w:t>Complications</w:t>
            </w:r>
          </w:p>
          <w:p w14:paraId="527DD6E1" w14:textId="77777777" w:rsidR="004E19E5" w:rsidRPr="00B0485F" w:rsidRDefault="004E19E5" w:rsidP="007456CD">
            <w:pPr>
              <w:pStyle w:val="051Tabletext228pt"/>
              <w:spacing w:before="20" w:after="20"/>
            </w:pPr>
            <w:r w:rsidRPr="00B0485F">
              <w:t>Improvement in continence status</w:t>
            </w:r>
          </w:p>
        </w:tc>
        <w:tc>
          <w:tcPr>
            <w:tcW w:w="1274" w:type="dxa"/>
          </w:tcPr>
          <w:p w14:paraId="40A94E61" w14:textId="77777777" w:rsidR="004E19E5" w:rsidRPr="00B0485F" w:rsidRDefault="004E19E5" w:rsidP="007456CD">
            <w:pPr>
              <w:pStyle w:val="051Tabletext228pt"/>
              <w:spacing w:before="20" w:after="20"/>
            </w:pPr>
            <w:r w:rsidRPr="00B0485F">
              <w:t>6, 24</w:t>
            </w:r>
          </w:p>
        </w:tc>
      </w:tr>
      <w:tr w:rsidR="004E19E5" w:rsidRPr="00B0485F" w14:paraId="378CA038" w14:textId="77777777" w:rsidTr="00E7619C">
        <w:tc>
          <w:tcPr>
            <w:tcW w:w="1383" w:type="dxa"/>
          </w:tcPr>
          <w:p w14:paraId="7989ADD3" w14:textId="77777777" w:rsidR="004E19E5" w:rsidRPr="00B0485F" w:rsidRDefault="004E19E5" w:rsidP="007456CD">
            <w:pPr>
              <w:pStyle w:val="051Tabletext228pt"/>
              <w:spacing w:before="20" w:after="20"/>
            </w:pPr>
            <w:r w:rsidRPr="00B0485F">
              <w:t>Liapis 2002</w:t>
            </w:r>
          </w:p>
          <w:p w14:paraId="31DE663F" w14:textId="38D3DA96" w:rsidR="004E19E5" w:rsidRPr="00B0485F" w:rsidRDefault="004E19E5" w:rsidP="007456CD">
            <w:pPr>
              <w:pStyle w:val="051Tabletext228pt"/>
              <w:spacing w:before="20" w:after="20"/>
            </w:pPr>
          </w:p>
        </w:tc>
        <w:tc>
          <w:tcPr>
            <w:tcW w:w="2144" w:type="dxa"/>
          </w:tcPr>
          <w:p w14:paraId="516D73E5" w14:textId="4451D276" w:rsidR="004E19E5" w:rsidRDefault="004E19E5" w:rsidP="007456CD">
            <w:pPr>
              <w:pStyle w:val="051Tabletext228pt"/>
              <w:spacing w:before="20" w:after="20"/>
            </w:pPr>
            <w:r w:rsidRPr="00B0485F">
              <w:t>Incontinence surgery-naïve</w:t>
            </w:r>
            <w:r w:rsidR="00013FEC">
              <w:t xml:space="preserve"> </w:t>
            </w:r>
            <w:r w:rsidRPr="00B0485F">
              <w:t>genuine SI and ≤ stage 1 anterior wall prolapse</w:t>
            </w:r>
          </w:p>
          <w:p w14:paraId="34BF2285" w14:textId="1D2F107D" w:rsidR="004E7AF3" w:rsidRPr="00B0485F" w:rsidRDefault="004E7AF3" w:rsidP="007456CD">
            <w:pPr>
              <w:pStyle w:val="051Tabletext228pt"/>
              <w:spacing w:before="20" w:after="20"/>
            </w:pPr>
            <w:r>
              <w:t>N=71</w:t>
            </w:r>
          </w:p>
        </w:tc>
        <w:tc>
          <w:tcPr>
            <w:tcW w:w="2285" w:type="dxa"/>
          </w:tcPr>
          <w:p w14:paraId="239C0B3B"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346791C7" w14:textId="77777777" w:rsidR="004E19E5" w:rsidRPr="00B0485F" w:rsidRDefault="004E19E5" w:rsidP="007456CD">
            <w:pPr>
              <w:pStyle w:val="051Tabletext228pt"/>
              <w:spacing w:before="20" w:after="20"/>
            </w:pPr>
            <w:r w:rsidRPr="00B0485F">
              <w:t>TVT</w:t>
            </w:r>
          </w:p>
        </w:tc>
        <w:tc>
          <w:tcPr>
            <w:tcW w:w="2552" w:type="dxa"/>
          </w:tcPr>
          <w:p w14:paraId="045053BE" w14:textId="77777777" w:rsidR="004E19E5" w:rsidRPr="00B0485F" w:rsidRDefault="004E19E5" w:rsidP="007456CD">
            <w:pPr>
              <w:pStyle w:val="051Tabletext228pt"/>
              <w:spacing w:before="20" w:after="20"/>
            </w:pPr>
            <w:r w:rsidRPr="00B0485F">
              <w:t>AEs</w:t>
            </w:r>
          </w:p>
          <w:p w14:paraId="18A94856" w14:textId="77777777" w:rsidR="004E19E5" w:rsidRPr="00B0485F" w:rsidRDefault="004E19E5" w:rsidP="007456CD">
            <w:pPr>
              <w:pStyle w:val="051Tabletext228pt"/>
              <w:spacing w:before="20" w:after="20"/>
            </w:pPr>
            <w:r w:rsidRPr="00B0485F">
              <w:t>Complications</w:t>
            </w:r>
          </w:p>
          <w:p w14:paraId="3148DA71" w14:textId="77777777" w:rsidR="004E19E5" w:rsidRPr="00B0485F" w:rsidRDefault="004E19E5" w:rsidP="007456CD">
            <w:pPr>
              <w:pStyle w:val="051Tabletext228pt"/>
              <w:spacing w:before="20" w:after="20"/>
            </w:pPr>
            <w:r w:rsidRPr="00B0485F">
              <w:t>Change in continence status</w:t>
            </w:r>
          </w:p>
          <w:p w14:paraId="52F0FAAA" w14:textId="77777777" w:rsidR="004E19E5" w:rsidRPr="00B0485F" w:rsidRDefault="004E19E5" w:rsidP="007456CD">
            <w:pPr>
              <w:pStyle w:val="051Tabletext228pt"/>
              <w:spacing w:before="20" w:after="20"/>
            </w:pPr>
            <w:r w:rsidRPr="00B0485F">
              <w:t>Improvement in continence status</w:t>
            </w:r>
          </w:p>
        </w:tc>
        <w:tc>
          <w:tcPr>
            <w:tcW w:w="1274" w:type="dxa"/>
          </w:tcPr>
          <w:p w14:paraId="01CD2EE4" w14:textId="77777777" w:rsidR="004E19E5" w:rsidRPr="00B0485F" w:rsidRDefault="004E19E5" w:rsidP="007456CD">
            <w:pPr>
              <w:pStyle w:val="051Tabletext228pt"/>
              <w:spacing w:before="20" w:after="20"/>
            </w:pPr>
            <w:r w:rsidRPr="00B0485F">
              <w:t>24</w:t>
            </w:r>
          </w:p>
        </w:tc>
      </w:tr>
      <w:tr w:rsidR="004E19E5" w:rsidRPr="00B0485F" w14:paraId="39B93A3E" w14:textId="77777777" w:rsidTr="00E7619C">
        <w:tc>
          <w:tcPr>
            <w:tcW w:w="1383" w:type="dxa"/>
          </w:tcPr>
          <w:p w14:paraId="28EB5173" w14:textId="1203DE06" w:rsidR="004E19E5" w:rsidRPr="00B0485F" w:rsidRDefault="004E19E5" w:rsidP="007456CD">
            <w:pPr>
              <w:pStyle w:val="051Tabletext228pt"/>
              <w:spacing w:before="20" w:after="20"/>
            </w:pPr>
            <w:r w:rsidRPr="00B0485F">
              <w:t>Paraiso 2004/</w:t>
            </w:r>
            <w:r w:rsidR="00690787">
              <w:t xml:space="preserve"> </w:t>
            </w:r>
            <w:proofErr w:type="spellStart"/>
            <w:r w:rsidRPr="00B0485F">
              <w:t>Jelovsek</w:t>
            </w:r>
            <w:proofErr w:type="spellEnd"/>
            <w:r w:rsidRPr="00B0485F">
              <w:t xml:space="preserve"> 2008</w:t>
            </w:r>
          </w:p>
          <w:p w14:paraId="66A06FBB" w14:textId="40530AD0" w:rsidR="004E19E5" w:rsidRPr="00B0485F" w:rsidRDefault="004E19E5" w:rsidP="007456CD">
            <w:pPr>
              <w:pStyle w:val="051Tabletext228pt"/>
              <w:spacing w:before="20" w:after="20"/>
            </w:pPr>
          </w:p>
        </w:tc>
        <w:tc>
          <w:tcPr>
            <w:tcW w:w="2144" w:type="dxa"/>
          </w:tcPr>
          <w:p w14:paraId="5FF49077" w14:textId="77777777" w:rsidR="004E19E5" w:rsidRDefault="004E19E5" w:rsidP="007456CD">
            <w:pPr>
              <w:pStyle w:val="051Tabletext228pt"/>
              <w:spacing w:before="20" w:after="20"/>
            </w:pPr>
            <w:r w:rsidRPr="00B0485F">
              <w:t>Primary USI</w:t>
            </w:r>
          </w:p>
          <w:p w14:paraId="33EB59A9" w14:textId="60975798" w:rsidR="004E7AF3" w:rsidRPr="00B0485F" w:rsidRDefault="004E7AF3" w:rsidP="007456CD">
            <w:pPr>
              <w:pStyle w:val="051Tabletext228pt"/>
              <w:spacing w:before="20" w:after="20"/>
            </w:pPr>
            <w:r>
              <w:t>N=</w:t>
            </w:r>
            <w:r w:rsidR="009C1B2F">
              <w:t>72</w:t>
            </w:r>
          </w:p>
        </w:tc>
        <w:tc>
          <w:tcPr>
            <w:tcW w:w="2285" w:type="dxa"/>
          </w:tcPr>
          <w:p w14:paraId="66DB847B" w14:textId="7C2B69E3" w:rsidR="004E19E5" w:rsidRPr="00B0485F" w:rsidRDefault="009F6782" w:rsidP="007456CD">
            <w:pPr>
              <w:pStyle w:val="051Tabletext228pt"/>
              <w:spacing w:before="20" w:after="20"/>
            </w:pPr>
            <w:r w:rsidRPr="00B0485F">
              <w:t>Laparoscopic</w:t>
            </w:r>
            <w:r w:rsidR="004E19E5" w:rsidRPr="00B0485F">
              <w:t xml:space="preserve"> </w:t>
            </w:r>
            <w:proofErr w:type="spellStart"/>
            <w:r w:rsidR="004E19E5" w:rsidRPr="00B0485F">
              <w:t>colposuspension</w:t>
            </w:r>
            <w:proofErr w:type="spellEnd"/>
          </w:p>
          <w:p w14:paraId="0E764598" w14:textId="77777777" w:rsidR="004E19E5" w:rsidRPr="00B0485F" w:rsidRDefault="004E19E5" w:rsidP="007456CD">
            <w:pPr>
              <w:pStyle w:val="051Tabletext228pt"/>
              <w:spacing w:before="20" w:after="20"/>
            </w:pPr>
            <w:r w:rsidRPr="00B0485F">
              <w:t>TVT</w:t>
            </w:r>
          </w:p>
        </w:tc>
        <w:tc>
          <w:tcPr>
            <w:tcW w:w="2552" w:type="dxa"/>
          </w:tcPr>
          <w:p w14:paraId="6A5882B3" w14:textId="77777777" w:rsidR="004E19E5" w:rsidRPr="00B0485F" w:rsidRDefault="004E19E5" w:rsidP="007456CD">
            <w:pPr>
              <w:pStyle w:val="051Tabletext228pt"/>
              <w:spacing w:before="20" w:after="20"/>
            </w:pPr>
            <w:r w:rsidRPr="00B0485F">
              <w:t>AEs</w:t>
            </w:r>
          </w:p>
          <w:p w14:paraId="609B0CDA" w14:textId="77777777" w:rsidR="004E19E5" w:rsidRPr="00B0485F" w:rsidRDefault="004E19E5" w:rsidP="007456CD">
            <w:pPr>
              <w:pStyle w:val="051Tabletext228pt"/>
              <w:spacing w:before="20" w:after="20"/>
            </w:pPr>
            <w:r w:rsidRPr="00B0485F">
              <w:t>Complications</w:t>
            </w:r>
          </w:p>
          <w:p w14:paraId="374902C1" w14:textId="77777777" w:rsidR="004E19E5" w:rsidRPr="00B0485F" w:rsidRDefault="004E19E5" w:rsidP="007456CD">
            <w:pPr>
              <w:pStyle w:val="051Tabletext228pt"/>
              <w:spacing w:before="20" w:after="20"/>
            </w:pPr>
            <w:r w:rsidRPr="00B0485F">
              <w:t>Change in continence status</w:t>
            </w:r>
          </w:p>
          <w:p w14:paraId="06FB6DC0" w14:textId="77777777" w:rsidR="004E19E5" w:rsidRPr="00B0485F" w:rsidRDefault="004E19E5" w:rsidP="007456CD">
            <w:pPr>
              <w:pStyle w:val="051Tabletext228pt"/>
              <w:spacing w:before="20" w:after="20"/>
            </w:pPr>
            <w:r w:rsidRPr="00B0485F">
              <w:t>Improvement in continence status</w:t>
            </w:r>
          </w:p>
          <w:p w14:paraId="76AE04BC" w14:textId="77777777" w:rsidR="004E19E5" w:rsidRPr="00B0485F" w:rsidRDefault="004E19E5" w:rsidP="007456CD">
            <w:pPr>
              <w:pStyle w:val="051Tabletext228pt"/>
              <w:spacing w:before="20" w:after="20"/>
            </w:pPr>
            <w:r w:rsidRPr="00B0485F">
              <w:t>Repeat surgery</w:t>
            </w:r>
          </w:p>
        </w:tc>
        <w:tc>
          <w:tcPr>
            <w:tcW w:w="1274" w:type="dxa"/>
          </w:tcPr>
          <w:p w14:paraId="0CF8A406" w14:textId="77777777" w:rsidR="004E19E5" w:rsidRPr="00B0485F" w:rsidRDefault="004E19E5" w:rsidP="007456CD">
            <w:pPr>
              <w:pStyle w:val="051Tabletext228pt"/>
              <w:spacing w:before="20" w:after="20"/>
            </w:pPr>
            <w:r w:rsidRPr="00B0485F">
              <w:t>20.6 (mean)/65 (median)</w:t>
            </w:r>
          </w:p>
        </w:tc>
      </w:tr>
      <w:tr w:rsidR="004E19E5" w:rsidRPr="00B0485F" w14:paraId="40AC35FA" w14:textId="77777777" w:rsidTr="00E7619C">
        <w:tc>
          <w:tcPr>
            <w:tcW w:w="1383" w:type="dxa"/>
          </w:tcPr>
          <w:p w14:paraId="11FC41FB" w14:textId="77777777" w:rsidR="004E19E5" w:rsidRPr="00B0485F" w:rsidRDefault="004E19E5" w:rsidP="007456CD">
            <w:pPr>
              <w:pStyle w:val="051Tabletext228pt"/>
              <w:spacing w:before="20" w:after="20"/>
            </w:pPr>
            <w:r w:rsidRPr="00B0485F">
              <w:t>Persson 2002</w:t>
            </w:r>
          </w:p>
          <w:p w14:paraId="157BEB6A" w14:textId="11FB9524" w:rsidR="004E19E5" w:rsidRPr="00B0485F" w:rsidRDefault="004E19E5" w:rsidP="007456CD">
            <w:pPr>
              <w:pStyle w:val="051Tabletext228pt"/>
              <w:spacing w:before="20" w:after="20"/>
            </w:pPr>
          </w:p>
        </w:tc>
        <w:tc>
          <w:tcPr>
            <w:tcW w:w="2144" w:type="dxa"/>
          </w:tcPr>
          <w:p w14:paraId="4994FEC5" w14:textId="77777777" w:rsidR="004E19E5" w:rsidRDefault="004E19E5" w:rsidP="007456CD">
            <w:pPr>
              <w:pStyle w:val="051Tabletext228pt"/>
              <w:spacing w:before="20" w:after="20"/>
            </w:pPr>
            <w:r w:rsidRPr="00B0485F">
              <w:t>USI or stress-predominant MUI</w:t>
            </w:r>
          </w:p>
          <w:p w14:paraId="4E0301F2" w14:textId="3F7A5E98" w:rsidR="009C1B2F" w:rsidRPr="00B0485F" w:rsidRDefault="009C1B2F" w:rsidP="007456CD">
            <w:pPr>
              <w:pStyle w:val="051Tabletext228pt"/>
              <w:spacing w:before="20" w:after="20"/>
            </w:pPr>
            <w:r>
              <w:t>N=79</w:t>
            </w:r>
          </w:p>
        </w:tc>
        <w:tc>
          <w:tcPr>
            <w:tcW w:w="2285" w:type="dxa"/>
          </w:tcPr>
          <w:p w14:paraId="646E82D8" w14:textId="5648240F" w:rsidR="004E19E5" w:rsidRPr="00B0485F" w:rsidRDefault="009F6782" w:rsidP="007456CD">
            <w:pPr>
              <w:pStyle w:val="051Tabletext228pt"/>
              <w:spacing w:before="20" w:after="20"/>
            </w:pPr>
            <w:r w:rsidRPr="00B0485F">
              <w:t>Laparoscopic</w:t>
            </w:r>
            <w:r w:rsidR="004E19E5" w:rsidRPr="00B0485F">
              <w:t xml:space="preserve"> </w:t>
            </w:r>
            <w:proofErr w:type="spellStart"/>
            <w:r w:rsidR="004E19E5" w:rsidRPr="00B0485F">
              <w:t>colposuspension</w:t>
            </w:r>
            <w:proofErr w:type="spellEnd"/>
          </w:p>
          <w:p w14:paraId="7E9E81D0" w14:textId="77777777" w:rsidR="004E19E5" w:rsidRPr="00B0485F" w:rsidRDefault="004E19E5" w:rsidP="007456CD">
            <w:pPr>
              <w:pStyle w:val="051Tabletext228pt"/>
              <w:spacing w:before="20" w:after="20"/>
            </w:pPr>
            <w:r w:rsidRPr="00B0485F">
              <w:t>TVT</w:t>
            </w:r>
          </w:p>
        </w:tc>
        <w:tc>
          <w:tcPr>
            <w:tcW w:w="2552" w:type="dxa"/>
          </w:tcPr>
          <w:p w14:paraId="21E7179A" w14:textId="77777777" w:rsidR="004E19E5" w:rsidRPr="00B0485F" w:rsidRDefault="004E19E5" w:rsidP="007456CD">
            <w:pPr>
              <w:pStyle w:val="051Tabletext228pt"/>
              <w:spacing w:before="20" w:after="20"/>
            </w:pPr>
            <w:r w:rsidRPr="00B0485F">
              <w:t>AEs</w:t>
            </w:r>
          </w:p>
          <w:p w14:paraId="39813F58" w14:textId="77777777" w:rsidR="004E19E5" w:rsidRPr="00B0485F" w:rsidRDefault="004E19E5" w:rsidP="007456CD">
            <w:pPr>
              <w:pStyle w:val="051Tabletext228pt"/>
              <w:spacing w:before="20" w:after="20"/>
            </w:pPr>
            <w:r w:rsidRPr="00B0485F">
              <w:t>Complications</w:t>
            </w:r>
          </w:p>
          <w:p w14:paraId="2E67E8FD" w14:textId="77777777" w:rsidR="004E19E5" w:rsidRPr="00B0485F" w:rsidRDefault="004E19E5" w:rsidP="007456CD">
            <w:pPr>
              <w:pStyle w:val="051Tabletext228pt"/>
              <w:spacing w:before="20" w:after="20"/>
            </w:pPr>
            <w:r w:rsidRPr="00B0485F">
              <w:t>Change in continence status</w:t>
            </w:r>
          </w:p>
        </w:tc>
        <w:tc>
          <w:tcPr>
            <w:tcW w:w="1274" w:type="dxa"/>
          </w:tcPr>
          <w:p w14:paraId="6361F977" w14:textId="77777777" w:rsidR="004E19E5" w:rsidRPr="00B0485F" w:rsidRDefault="004E19E5" w:rsidP="007456CD">
            <w:pPr>
              <w:pStyle w:val="051Tabletext228pt"/>
              <w:spacing w:before="20" w:after="20"/>
            </w:pPr>
            <w:r w:rsidRPr="00B0485F">
              <w:t>12</w:t>
            </w:r>
          </w:p>
        </w:tc>
      </w:tr>
      <w:tr w:rsidR="004E19E5" w:rsidRPr="00B0485F" w14:paraId="1B3697B4" w14:textId="77777777" w:rsidTr="00E7619C">
        <w:tc>
          <w:tcPr>
            <w:tcW w:w="1383" w:type="dxa"/>
          </w:tcPr>
          <w:p w14:paraId="299F994E" w14:textId="77777777" w:rsidR="004E19E5" w:rsidRPr="00B0485F" w:rsidRDefault="004E19E5" w:rsidP="007456CD">
            <w:pPr>
              <w:pStyle w:val="051Tabletext228pt"/>
              <w:spacing w:before="20" w:after="20"/>
            </w:pPr>
            <w:proofErr w:type="spellStart"/>
            <w:r w:rsidRPr="00B0485F">
              <w:t>Sivaslioglu</w:t>
            </w:r>
            <w:proofErr w:type="spellEnd"/>
            <w:r w:rsidRPr="00B0485F">
              <w:t xml:space="preserve"> 2007</w:t>
            </w:r>
          </w:p>
          <w:p w14:paraId="6AC904DF" w14:textId="6A4DC67F" w:rsidR="004E19E5" w:rsidRPr="00B0485F" w:rsidRDefault="004E19E5" w:rsidP="007456CD">
            <w:pPr>
              <w:pStyle w:val="051Tabletext228pt"/>
              <w:spacing w:before="20" w:after="20"/>
            </w:pPr>
          </w:p>
        </w:tc>
        <w:tc>
          <w:tcPr>
            <w:tcW w:w="2144" w:type="dxa"/>
          </w:tcPr>
          <w:p w14:paraId="27E1C1D8" w14:textId="77777777" w:rsidR="004E19E5" w:rsidRDefault="004E19E5" w:rsidP="007456CD">
            <w:pPr>
              <w:pStyle w:val="051Tabletext228pt"/>
              <w:spacing w:before="20" w:after="20"/>
            </w:pPr>
            <w:r w:rsidRPr="00B0485F">
              <w:t>Incontinence surgery-naïve USI</w:t>
            </w:r>
          </w:p>
          <w:p w14:paraId="3CCCE06A" w14:textId="3FF8C4AE" w:rsidR="009C1B2F" w:rsidRPr="00B0485F" w:rsidRDefault="009C1B2F" w:rsidP="007456CD">
            <w:pPr>
              <w:pStyle w:val="051Tabletext228pt"/>
              <w:spacing w:before="20" w:after="20"/>
            </w:pPr>
            <w:r>
              <w:t>N=100</w:t>
            </w:r>
          </w:p>
        </w:tc>
        <w:tc>
          <w:tcPr>
            <w:tcW w:w="2285" w:type="dxa"/>
          </w:tcPr>
          <w:p w14:paraId="1ACA10A9"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54EDE82E" w14:textId="77777777" w:rsidR="004E19E5" w:rsidRPr="00B0485F" w:rsidRDefault="004E19E5" w:rsidP="007456CD">
            <w:pPr>
              <w:pStyle w:val="051Tabletext228pt"/>
              <w:spacing w:before="20" w:after="20"/>
            </w:pPr>
            <w:r w:rsidRPr="005A3DA7">
              <w:t>TOT</w:t>
            </w:r>
          </w:p>
        </w:tc>
        <w:tc>
          <w:tcPr>
            <w:tcW w:w="2552" w:type="dxa"/>
          </w:tcPr>
          <w:p w14:paraId="45F0FCCF" w14:textId="77777777" w:rsidR="004E19E5" w:rsidRPr="00B0485F" w:rsidRDefault="004E19E5" w:rsidP="007456CD">
            <w:pPr>
              <w:pStyle w:val="051Tabletext228pt"/>
              <w:spacing w:before="20" w:after="20"/>
            </w:pPr>
            <w:r w:rsidRPr="00B0485F">
              <w:t>AEs</w:t>
            </w:r>
          </w:p>
          <w:p w14:paraId="491F71B5" w14:textId="77777777" w:rsidR="004E19E5" w:rsidRPr="00B0485F" w:rsidRDefault="004E19E5" w:rsidP="007456CD">
            <w:pPr>
              <w:pStyle w:val="051Tabletext228pt"/>
              <w:spacing w:before="20" w:after="20"/>
            </w:pPr>
            <w:r w:rsidRPr="00B0485F">
              <w:t>Complications</w:t>
            </w:r>
          </w:p>
          <w:p w14:paraId="565A04CB" w14:textId="77777777" w:rsidR="004E19E5" w:rsidRPr="00B0485F" w:rsidRDefault="004E19E5" w:rsidP="007456CD">
            <w:pPr>
              <w:pStyle w:val="051Tabletext228pt"/>
              <w:spacing w:before="20" w:after="20"/>
            </w:pPr>
            <w:r w:rsidRPr="00B0485F">
              <w:t>Change in continence status</w:t>
            </w:r>
          </w:p>
          <w:p w14:paraId="5676C9FE" w14:textId="77777777" w:rsidR="004E19E5" w:rsidRPr="00B0485F" w:rsidRDefault="004E19E5" w:rsidP="007456CD">
            <w:pPr>
              <w:pStyle w:val="051Tabletext228pt"/>
              <w:spacing w:before="20" w:after="20"/>
            </w:pPr>
            <w:r w:rsidRPr="00B0485F">
              <w:t>Repeat surgery</w:t>
            </w:r>
          </w:p>
        </w:tc>
        <w:tc>
          <w:tcPr>
            <w:tcW w:w="1274" w:type="dxa"/>
          </w:tcPr>
          <w:p w14:paraId="263004D8" w14:textId="77777777" w:rsidR="004E19E5" w:rsidRPr="00B0485F" w:rsidRDefault="004E19E5" w:rsidP="007456CD">
            <w:pPr>
              <w:pStyle w:val="051Tabletext228pt"/>
              <w:spacing w:before="20" w:after="20"/>
            </w:pPr>
            <w:r w:rsidRPr="00B0485F">
              <w:t>12, 24</w:t>
            </w:r>
          </w:p>
        </w:tc>
      </w:tr>
      <w:tr w:rsidR="004E19E5" w:rsidRPr="00B0485F" w14:paraId="39C00642" w14:textId="77777777" w:rsidTr="00E7619C">
        <w:tc>
          <w:tcPr>
            <w:tcW w:w="1383" w:type="dxa"/>
          </w:tcPr>
          <w:p w14:paraId="1866A7F0" w14:textId="77777777" w:rsidR="004E19E5" w:rsidRPr="00B0485F" w:rsidRDefault="004E19E5" w:rsidP="007456CD">
            <w:pPr>
              <w:pStyle w:val="051Tabletext228pt"/>
              <w:spacing w:before="20" w:after="20"/>
            </w:pPr>
            <w:r w:rsidRPr="00B0485F">
              <w:t>Trabuco 2016/2018</w:t>
            </w:r>
          </w:p>
          <w:p w14:paraId="354569F8" w14:textId="2BC14FB7" w:rsidR="004E19E5" w:rsidRPr="00B0485F" w:rsidRDefault="004E19E5" w:rsidP="007456CD">
            <w:pPr>
              <w:pStyle w:val="051Tabletext228pt"/>
              <w:spacing w:before="20" w:after="20"/>
            </w:pPr>
          </w:p>
        </w:tc>
        <w:tc>
          <w:tcPr>
            <w:tcW w:w="2144" w:type="dxa"/>
          </w:tcPr>
          <w:p w14:paraId="4F42E648" w14:textId="77777777" w:rsidR="004E19E5" w:rsidRDefault="004E19E5" w:rsidP="007456CD">
            <w:pPr>
              <w:pStyle w:val="051Tabletext228pt"/>
              <w:spacing w:before="20" w:after="20"/>
            </w:pPr>
            <w:r w:rsidRPr="00B0485F">
              <w:t>SUI, stress-predominant MUI, or occult SUI and apical or anterior prolapse stage ≥2</w:t>
            </w:r>
          </w:p>
          <w:p w14:paraId="42FF2962" w14:textId="6A3390FD" w:rsidR="009C1B2F" w:rsidRPr="00B0485F" w:rsidRDefault="009C1B2F" w:rsidP="007456CD">
            <w:pPr>
              <w:pStyle w:val="051Tabletext228pt"/>
              <w:spacing w:before="20" w:after="20"/>
            </w:pPr>
            <w:r>
              <w:t>N=113</w:t>
            </w:r>
          </w:p>
        </w:tc>
        <w:tc>
          <w:tcPr>
            <w:tcW w:w="2285" w:type="dxa"/>
          </w:tcPr>
          <w:p w14:paraId="51E369B8"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1C5B9EDF" w14:textId="77777777" w:rsidR="004E19E5" w:rsidRPr="00B0485F" w:rsidRDefault="004E19E5" w:rsidP="007456CD">
            <w:pPr>
              <w:pStyle w:val="051Tabletext228pt"/>
              <w:spacing w:before="20" w:after="20"/>
            </w:pPr>
            <w:r w:rsidRPr="00B0485F">
              <w:t>TVT</w:t>
            </w:r>
          </w:p>
        </w:tc>
        <w:tc>
          <w:tcPr>
            <w:tcW w:w="2552" w:type="dxa"/>
          </w:tcPr>
          <w:p w14:paraId="01EAA17D" w14:textId="77777777" w:rsidR="004E19E5" w:rsidRPr="00B0485F" w:rsidRDefault="004E19E5" w:rsidP="007456CD">
            <w:pPr>
              <w:pStyle w:val="051Tabletext228pt"/>
              <w:spacing w:before="20" w:after="20"/>
            </w:pPr>
            <w:r w:rsidRPr="00B0485F">
              <w:t>AEs</w:t>
            </w:r>
          </w:p>
          <w:p w14:paraId="2141EF09" w14:textId="77777777" w:rsidR="004E19E5" w:rsidRPr="00B0485F" w:rsidRDefault="004E19E5" w:rsidP="007456CD">
            <w:pPr>
              <w:pStyle w:val="051Tabletext228pt"/>
              <w:spacing w:before="20" w:after="20"/>
            </w:pPr>
            <w:r w:rsidRPr="00B0485F">
              <w:t>Complications</w:t>
            </w:r>
          </w:p>
          <w:p w14:paraId="797BEFB4" w14:textId="77777777" w:rsidR="004E19E5" w:rsidRPr="00B0485F" w:rsidRDefault="004E19E5" w:rsidP="007456CD">
            <w:pPr>
              <w:pStyle w:val="051Tabletext228pt"/>
              <w:spacing w:before="20" w:after="20"/>
            </w:pPr>
            <w:r w:rsidRPr="00B0485F">
              <w:t>Change in continence status</w:t>
            </w:r>
          </w:p>
          <w:p w14:paraId="22A7CF84" w14:textId="77777777" w:rsidR="004E19E5" w:rsidRPr="00B0485F" w:rsidRDefault="004E19E5" w:rsidP="007456CD">
            <w:pPr>
              <w:pStyle w:val="051Tabletext228pt"/>
              <w:spacing w:before="20" w:after="20"/>
            </w:pPr>
            <w:r w:rsidRPr="00B0485F">
              <w:t>Improvement in continence status</w:t>
            </w:r>
          </w:p>
          <w:p w14:paraId="1AD0D000" w14:textId="77777777" w:rsidR="004E19E5" w:rsidRPr="00B0485F" w:rsidRDefault="004E19E5" w:rsidP="007456CD">
            <w:pPr>
              <w:pStyle w:val="051Tabletext228pt"/>
              <w:spacing w:before="20" w:after="20"/>
            </w:pPr>
            <w:r w:rsidRPr="00B0485F">
              <w:t>Repeat surgery</w:t>
            </w:r>
          </w:p>
        </w:tc>
        <w:tc>
          <w:tcPr>
            <w:tcW w:w="1274" w:type="dxa"/>
          </w:tcPr>
          <w:p w14:paraId="57C849B2" w14:textId="30990DFC" w:rsidR="004E19E5" w:rsidRPr="00B0485F" w:rsidRDefault="004E19E5" w:rsidP="007456CD">
            <w:pPr>
              <w:pStyle w:val="051Tabletext228pt"/>
              <w:spacing w:before="20" w:after="20"/>
            </w:pPr>
            <w:r w:rsidRPr="00B0485F">
              <w:t>12/24</w:t>
            </w:r>
          </w:p>
        </w:tc>
      </w:tr>
      <w:tr w:rsidR="004E19E5" w:rsidRPr="00B0485F" w14:paraId="71EF6120" w14:textId="77777777" w:rsidTr="00E7619C">
        <w:tc>
          <w:tcPr>
            <w:tcW w:w="1383" w:type="dxa"/>
          </w:tcPr>
          <w:p w14:paraId="16BCEE97" w14:textId="77777777" w:rsidR="004E19E5" w:rsidRPr="00B0485F" w:rsidRDefault="004E19E5" w:rsidP="007456CD">
            <w:pPr>
              <w:pStyle w:val="051Tabletext228pt"/>
              <w:spacing w:before="20" w:after="20"/>
            </w:pPr>
            <w:proofErr w:type="spellStart"/>
            <w:r w:rsidRPr="00B0485F">
              <w:t>Ustun</w:t>
            </w:r>
            <w:proofErr w:type="spellEnd"/>
            <w:r w:rsidRPr="00B0485F">
              <w:t xml:space="preserve"> 2003</w:t>
            </w:r>
          </w:p>
          <w:p w14:paraId="6919DDCF" w14:textId="76887CCC" w:rsidR="004E19E5" w:rsidRPr="00B0485F" w:rsidRDefault="004E19E5" w:rsidP="007456CD">
            <w:pPr>
              <w:pStyle w:val="051Tabletext228pt"/>
              <w:spacing w:before="20" w:after="20"/>
            </w:pPr>
          </w:p>
        </w:tc>
        <w:tc>
          <w:tcPr>
            <w:tcW w:w="2144" w:type="dxa"/>
          </w:tcPr>
          <w:p w14:paraId="7427A841" w14:textId="77777777" w:rsidR="004E19E5" w:rsidRDefault="004E19E5" w:rsidP="007456CD">
            <w:pPr>
              <w:pStyle w:val="051Tabletext228pt"/>
              <w:spacing w:before="20" w:after="20"/>
            </w:pPr>
            <w:r w:rsidRPr="00B0485F">
              <w:t>Proven genuine SI</w:t>
            </w:r>
          </w:p>
          <w:p w14:paraId="205F4EEE" w14:textId="78DC5105" w:rsidR="009C1B2F" w:rsidRPr="00B0485F" w:rsidRDefault="009C1B2F" w:rsidP="007456CD">
            <w:pPr>
              <w:pStyle w:val="051Tabletext228pt"/>
              <w:spacing w:before="20" w:after="20"/>
            </w:pPr>
            <w:r>
              <w:t>N=46</w:t>
            </w:r>
          </w:p>
        </w:tc>
        <w:tc>
          <w:tcPr>
            <w:tcW w:w="2285" w:type="dxa"/>
          </w:tcPr>
          <w:p w14:paraId="0363B630" w14:textId="0B3D1927" w:rsidR="004E19E5" w:rsidRPr="00B0485F" w:rsidRDefault="009F6782" w:rsidP="007456CD">
            <w:pPr>
              <w:pStyle w:val="051Tabletext228pt"/>
              <w:spacing w:before="20" w:after="20"/>
            </w:pPr>
            <w:r w:rsidRPr="00B0485F">
              <w:t>Laparoscopic</w:t>
            </w:r>
            <w:r w:rsidR="004E19E5" w:rsidRPr="00B0485F">
              <w:t xml:space="preserve"> </w:t>
            </w:r>
            <w:proofErr w:type="spellStart"/>
            <w:r w:rsidR="004E19E5" w:rsidRPr="00B0485F">
              <w:t>colposuspension</w:t>
            </w:r>
            <w:proofErr w:type="spellEnd"/>
          </w:p>
          <w:p w14:paraId="23510BFB" w14:textId="77777777" w:rsidR="004E19E5" w:rsidRPr="00B0485F" w:rsidRDefault="004E19E5" w:rsidP="007456CD">
            <w:pPr>
              <w:pStyle w:val="051Tabletext228pt"/>
              <w:spacing w:before="20" w:after="20"/>
            </w:pPr>
            <w:r w:rsidRPr="00B0485F">
              <w:t>TVT</w:t>
            </w:r>
          </w:p>
        </w:tc>
        <w:tc>
          <w:tcPr>
            <w:tcW w:w="2552" w:type="dxa"/>
          </w:tcPr>
          <w:p w14:paraId="77456D07" w14:textId="77777777" w:rsidR="004E19E5" w:rsidRPr="00B0485F" w:rsidRDefault="004E19E5" w:rsidP="007456CD">
            <w:pPr>
              <w:pStyle w:val="051Tabletext228pt"/>
              <w:spacing w:before="20" w:after="20"/>
            </w:pPr>
            <w:r w:rsidRPr="00B0485F">
              <w:t>AEs</w:t>
            </w:r>
          </w:p>
          <w:p w14:paraId="3D74A55F" w14:textId="77777777" w:rsidR="004E19E5" w:rsidRPr="00B0485F" w:rsidRDefault="004E19E5" w:rsidP="007456CD">
            <w:pPr>
              <w:pStyle w:val="051Tabletext228pt"/>
              <w:spacing w:before="20" w:after="20"/>
            </w:pPr>
            <w:r w:rsidRPr="00B0485F">
              <w:t>Change in continence status</w:t>
            </w:r>
          </w:p>
        </w:tc>
        <w:tc>
          <w:tcPr>
            <w:tcW w:w="1274" w:type="dxa"/>
          </w:tcPr>
          <w:p w14:paraId="3EF902DB" w14:textId="77777777" w:rsidR="004E19E5" w:rsidRPr="00B0485F" w:rsidRDefault="004E19E5" w:rsidP="007456CD">
            <w:pPr>
              <w:pStyle w:val="051Tabletext228pt"/>
              <w:spacing w:before="20" w:after="20"/>
            </w:pPr>
            <w:r w:rsidRPr="00B0485F">
              <w:t>25 (mean)</w:t>
            </w:r>
          </w:p>
        </w:tc>
      </w:tr>
      <w:tr w:rsidR="004E19E5" w:rsidRPr="00B0485F" w14:paraId="60B71E7B" w14:textId="77777777" w:rsidTr="00E7619C">
        <w:tc>
          <w:tcPr>
            <w:tcW w:w="1383" w:type="dxa"/>
          </w:tcPr>
          <w:p w14:paraId="076DF31A" w14:textId="77777777" w:rsidR="004E19E5" w:rsidRPr="00B0485F" w:rsidRDefault="004E19E5" w:rsidP="007456CD">
            <w:pPr>
              <w:pStyle w:val="051Tabletext228pt"/>
              <w:spacing w:before="20" w:after="20"/>
            </w:pPr>
            <w:r w:rsidRPr="00B0485F">
              <w:t>Wang 2003</w:t>
            </w:r>
          </w:p>
          <w:p w14:paraId="2013E445" w14:textId="347F4B8E" w:rsidR="004E19E5" w:rsidRPr="00B0485F" w:rsidRDefault="004E19E5" w:rsidP="007456CD">
            <w:pPr>
              <w:pStyle w:val="051Tabletext228pt"/>
              <w:spacing w:before="20" w:after="20"/>
            </w:pPr>
          </w:p>
        </w:tc>
        <w:tc>
          <w:tcPr>
            <w:tcW w:w="2144" w:type="dxa"/>
          </w:tcPr>
          <w:p w14:paraId="497C5E53" w14:textId="77777777" w:rsidR="004E19E5" w:rsidRDefault="004E19E5" w:rsidP="007456CD">
            <w:pPr>
              <w:pStyle w:val="051Tabletext228pt"/>
              <w:spacing w:before="20" w:after="20"/>
            </w:pPr>
            <w:r w:rsidRPr="00B0485F">
              <w:t>USI</w:t>
            </w:r>
          </w:p>
          <w:p w14:paraId="3628EAE8" w14:textId="537E0FF7" w:rsidR="009C1B2F" w:rsidRPr="00B0485F" w:rsidRDefault="009C1B2F" w:rsidP="007456CD">
            <w:pPr>
              <w:pStyle w:val="051Tabletext228pt"/>
              <w:spacing w:before="20" w:after="20"/>
            </w:pPr>
            <w:r>
              <w:t>N=116</w:t>
            </w:r>
          </w:p>
        </w:tc>
        <w:tc>
          <w:tcPr>
            <w:tcW w:w="2285" w:type="dxa"/>
          </w:tcPr>
          <w:p w14:paraId="5AC896D4"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5C4F26F8" w14:textId="77777777" w:rsidR="004E19E5" w:rsidRPr="00B0485F" w:rsidRDefault="004E19E5" w:rsidP="007456CD">
            <w:pPr>
              <w:pStyle w:val="051Tabletext228pt"/>
              <w:spacing w:before="20" w:after="20"/>
            </w:pPr>
            <w:r w:rsidRPr="00B0485F">
              <w:t>TVT</w:t>
            </w:r>
          </w:p>
        </w:tc>
        <w:tc>
          <w:tcPr>
            <w:tcW w:w="2552" w:type="dxa"/>
          </w:tcPr>
          <w:p w14:paraId="6396DDC5" w14:textId="77777777" w:rsidR="004E19E5" w:rsidRPr="00B0485F" w:rsidRDefault="004E19E5" w:rsidP="007456CD">
            <w:pPr>
              <w:pStyle w:val="051Tabletext228pt"/>
              <w:spacing w:before="20" w:after="20"/>
            </w:pPr>
            <w:r w:rsidRPr="00B0485F">
              <w:t>AEs</w:t>
            </w:r>
          </w:p>
          <w:p w14:paraId="2DC6BB10" w14:textId="77777777" w:rsidR="004E19E5" w:rsidRPr="00B0485F" w:rsidRDefault="004E19E5" w:rsidP="007456CD">
            <w:pPr>
              <w:pStyle w:val="051Tabletext228pt"/>
              <w:spacing w:before="20" w:after="20"/>
            </w:pPr>
            <w:r w:rsidRPr="00B0485F">
              <w:t>Complications</w:t>
            </w:r>
          </w:p>
          <w:p w14:paraId="3C032F40" w14:textId="77777777" w:rsidR="004E19E5" w:rsidRPr="00B0485F" w:rsidRDefault="004E19E5" w:rsidP="007456CD">
            <w:pPr>
              <w:pStyle w:val="051Tabletext228pt"/>
              <w:spacing w:before="20" w:after="20"/>
            </w:pPr>
            <w:r w:rsidRPr="00B0485F">
              <w:t>Change in continence status</w:t>
            </w:r>
          </w:p>
          <w:p w14:paraId="61388D4E" w14:textId="77777777" w:rsidR="004E19E5" w:rsidRPr="00B0485F" w:rsidRDefault="004E19E5" w:rsidP="007456CD">
            <w:pPr>
              <w:pStyle w:val="051Tabletext228pt"/>
              <w:spacing w:before="20" w:after="20"/>
            </w:pPr>
            <w:r w:rsidRPr="00B0485F">
              <w:t>Improvement in continence status</w:t>
            </w:r>
          </w:p>
        </w:tc>
        <w:tc>
          <w:tcPr>
            <w:tcW w:w="1274" w:type="dxa"/>
          </w:tcPr>
          <w:p w14:paraId="5191C81F" w14:textId="77777777" w:rsidR="004E19E5" w:rsidRPr="00B0485F" w:rsidRDefault="004E19E5" w:rsidP="007456CD">
            <w:pPr>
              <w:pStyle w:val="051Tabletext228pt"/>
              <w:spacing w:before="20" w:after="20"/>
            </w:pPr>
            <w:r w:rsidRPr="00B0485F">
              <w:t>22 (median)</w:t>
            </w:r>
          </w:p>
        </w:tc>
      </w:tr>
      <w:tr w:rsidR="004E19E5" w:rsidRPr="00B0485F" w14:paraId="4DAED59D" w14:textId="77777777" w:rsidTr="00E7619C">
        <w:tc>
          <w:tcPr>
            <w:tcW w:w="1383" w:type="dxa"/>
          </w:tcPr>
          <w:p w14:paraId="6C1950FD" w14:textId="77777777" w:rsidR="004E19E5" w:rsidRPr="00B0485F" w:rsidRDefault="004E19E5" w:rsidP="007456CD">
            <w:pPr>
              <w:pStyle w:val="051Tabletext228pt"/>
              <w:spacing w:before="20" w:after="20"/>
            </w:pPr>
            <w:r w:rsidRPr="00B0485F">
              <w:t>Ward 2002/2004/2008</w:t>
            </w:r>
          </w:p>
          <w:p w14:paraId="2244E0DD" w14:textId="56FEC9F9" w:rsidR="004E19E5" w:rsidRPr="00B0485F" w:rsidRDefault="004E19E5" w:rsidP="007456CD">
            <w:pPr>
              <w:pStyle w:val="051Tabletext228pt"/>
              <w:spacing w:before="20" w:after="20"/>
            </w:pPr>
          </w:p>
        </w:tc>
        <w:tc>
          <w:tcPr>
            <w:tcW w:w="2144" w:type="dxa"/>
          </w:tcPr>
          <w:p w14:paraId="2AE8B33E" w14:textId="77777777" w:rsidR="004E19E5" w:rsidRDefault="004E19E5" w:rsidP="007456CD">
            <w:pPr>
              <w:pStyle w:val="051Tabletext228pt"/>
              <w:spacing w:before="20" w:after="20"/>
            </w:pPr>
            <w:r w:rsidRPr="00B0485F">
              <w:t>USI who failed PFMT</w:t>
            </w:r>
          </w:p>
          <w:p w14:paraId="477347F1" w14:textId="70E92DB6" w:rsidR="009C1B2F" w:rsidRPr="00B0485F" w:rsidRDefault="009C1B2F" w:rsidP="007456CD">
            <w:pPr>
              <w:pStyle w:val="051Tabletext228pt"/>
              <w:spacing w:before="20" w:after="20"/>
            </w:pPr>
            <w:r>
              <w:t>N=344</w:t>
            </w:r>
          </w:p>
        </w:tc>
        <w:tc>
          <w:tcPr>
            <w:tcW w:w="2285" w:type="dxa"/>
          </w:tcPr>
          <w:p w14:paraId="2C9BB13C" w14:textId="77777777" w:rsidR="004E19E5" w:rsidRPr="00B0485F" w:rsidRDefault="004E19E5" w:rsidP="007456CD">
            <w:pPr>
              <w:pStyle w:val="051Tabletext228pt"/>
              <w:spacing w:before="20" w:after="20"/>
            </w:pPr>
            <w:r w:rsidRPr="00B0485F">
              <w:t xml:space="preserve">Open Burch </w:t>
            </w:r>
            <w:proofErr w:type="spellStart"/>
            <w:r w:rsidRPr="00B0485F">
              <w:t>colposuspension</w:t>
            </w:r>
            <w:proofErr w:type="spellEnd"/>
          </w:p>
          <w:p w14:paraId="6BEB059D" w14:textId="77777777" w:rsidR="004E19E5" w:rsidRPr="00B0485F" w:rsidRDefault="004E19E5" w:rsidP="007456CD">
            <w:pPr>
              <w:pStyle w:val="051Tabletext228pt"/>
              <w:spacing w:before="20" w:after="20"/>
            </w:pPr>
            <w:r w:rsidRPr="00B0485F">
              <w:t>TVT</w:t>
            </w:r>
          </w:p>
        </w:tc>
        <w:tc>
          <w:tcPr>
            <w:tcW w:w="2552" w:type="dxa"/>
          </w:tcPr>
          <w:p w14:paraId="3243486E" w14:textId="396947E6" w:rsidR="004E19E5" w:rsidRPr="00B0485F" w:rsidRDefault="004E19E5" w:rsidP="007456CD">
            <w:pPr>
              <w:pStyle w:val="051Tabletext228pt"/>
              <w:spacing w:before="20" w:after="20"/>
            </w:pPr>
            <w:r w:rsidRPr="00B0485F">
              <w:t xml:space="preserve">Continence-specific </w:t>
            </w:r>
            <w:proofErr w:type="spellStart"/>
            <w:r w:rsidR="002B5ED3">
              <w:t>HR</w:t>
            </w:r>
            <w:r w:rsidRPr="00B0485F">
              <w:t>QoL</w:t>
            </w:r>
            <w:proofErr w:type="spellEnd"/>
          </w:p>
          <w:p w14:paraId="5A3E691E" w14:textId="77777777" w:rsidR="004E19E5" w:rsidRPr="00B0485F" w:rsidRDefault="004E19E5" w:rsidP="007456CD">
            <w:pPr>
              <w:pStyle w:val="051Tabletext228pt"/>
              <w:spacing w:before="20" w:after="20"/>
            </w:pPr>
            <w:r w:rsidRPr="00B0485F">
              <w:t>AEs</w:t>
            </w:r>
          </w:p>
          <w:p w14:paraId="275396D7" w14:textId="77777777" w:rsidR="004E19E5" w:rsidRPr="00B0485F" w:rsidRDefault="004E19E5" w:rsidP="007456CD">
            <w:pPr>
              <w:pStyle w:val="051Tabletext228pt"/>
              <w:spacing w:before="20" w:after="20"/>
            </w:pPr>
            <w:r w:rsidRPr="00B0485F">
              <w:t>Complications</w:t>
            </w:r>
          </w:p>
          <w:p w14:paraId="4CCE8202" w14:textId="77777777" w:rsidR="004E19E5" w:rsidRPr="00B0485F" w:rsidRDefault="004E19E5" w:rsidP="007456CD">
            <w:pPr>
              <w:pStyle w:val="051Tabletext228pt"/>
              <w:spacing w:before="20" w:after="20"/>
            </w:pPr>
            <w:r w:rsidRPr="00B0485F">
              <w:t>Change in continence status</w:t>
            </w:r>
          </w:p>
          <w:p w14:paraId="295E60A4" w14:textId="77777777" w:rsidR="004E19E5" w:rsidRPr="00B0485F" w:rsidRDefault="004E19E5" w:rsidP="007456CD">
            <w:pPr>
              <w:pStyle w:val="051Tabletext228pt"/>
              <w:spacing w:before="20" w:after="20"/>
            </w:pPr>
            <w:r w:rsidRPr="00B0485F">
              <w:t>Repeat surgery</w:t>
            </w:r>
          </w:p>
        </w:tc>
        <w:tc>
          <w:tcPr>
            <w:tcW w:w="1274" w:type="dxa"/>
          </w:tcPr>
          <w:p w14:paraId="24AE4C38" w14:textId="3C1DEE56" w:rsidR="004E19E5" w:rsidRPr="00B0485F" w:rsidRDefault="004E19E5" w:rsidP="007456CD">
            <w:pPr>
              <w:pStyle w:val="051Tabletext228pt"/>
              <w:spacing w:before="20" w:after="20"/>
            </w:pPr>
            <w:r w:rsidRPr="00B0485F">
              <w:t>6/24/60</w:t>
            </w:r>
          </w:p>
        </w:tc>
      </w:tr>
    </w:tbl>
    <w:p w14:paraId="14AEB653" w14:textId="70FA9281" w:rsidR="00124E88" w:rsidRDefault="00124E88" w:rsidP="000670CC">
      <w:pPr>
        <w:pStyle w:val="101Tablefootnotes8pt"/>
      </w:pPr>
      <w:r>
        <w:t xml:space="preserve">Source: NICE Guideline Evidence </w:t>
      </w:r>
      <w:r w:rsidR="00D22C3A">
        <w:t xml:space="preserve">review </w:t>
      </w:r>
      <w:r w:rsidR="00245CE2">
        <w:rPr>
          <w:noProof/>
        </w:rPr>
        <w:t>(NICE 2019b)</w:t>
      </w:r>
    </w:p>
    <w:p w14:paraId="3384382A" w14:textId="127E5C7C" w:rsidR="000670CC" w:rsidRDefault="000670CC" w:rsidP="000670CC">
      <w:pPr>
        <w:pStyle w:val="101Tablefootnotes8pt"/>
      </w:pPr>
      <w:r w:rsidRPr="00B0485F">
        <w:t xml:space="preserve">Abbreviations: AE, adverse event; </w:t>
      </w:r>
      <w:proofErr w:type="spellStart"/>
      <w:r>
        <w:t>HR</w:t>
      </w:r>
      <w:r w:rsidRPr="00B0485F">
        <w:t>QoL</w:t>
      </w:r>
      <w:proofErr w:type="spellEnd"/>
      <w:r w:rsidRPr="00B0485F">
        <w:t xml:space="preserve">, </w:t>
      </w:r>
      <w:r>
        <w:t xml:space="preserve">health-related </w:t>
      </w:r>
      <w:r w:rsidRPr="00B0485F">
        <w:t xml:space="preserve">quality of life; MUI, mixed urinary incontinence; PFMT, pelvic floor muscle training; RCT, randomised controlled trial; SI, stress incontinence; SPARC, retropubic top-down suprapubic arch sling; SUI, stress urinary incontinence; TOT, </w:t>
      </w:r>
      <w:proofErr w:type="spellStart"/>
      <w:r w:rsidRPr="00B0485F">
        <w:t>transobturator</w:t>
      </w:r>
      <w:proofErr w:type="spellEnd"/>
      <w:r w:rsidRPr="00B0485F">
        <w:t xml:space="preserve"> outside-in tape; TVT, retropubic bottom-up tension-free vaginal tape; USI, urodynamic stress incontinence.</w:t>
      </w:r>
    </w:p>
    <w:p w14:paraId="4745B6A3" w14:textId="75BB29FC" w:rsidR="004E19E5" w:rsidRPr="00B0485F" w:rsidRDefault="004E19E5" w:rsidP="000670CC">
      <w:pPr>
        <w:pStyle w:val="101Tablefootnotes8pt"/>
      </w:pPr>
      <w:r w:rsidRPr="00B0485F">
        <w:rPr>
          <w:vertAlign w:val="superscript"/>
        </w:rPr>
        <w:t xml:space="preserve">1 </w:t>
      </w:r>
      <w:r w:rsidRPr="00B0485F">
        <w:t>Bai was a 3-arm study (see</w:t>
      </w:r>
      <w:r w:rsidR="00B568EF">
        <w:t xml:space="preserve"> </w:t>
      </w:r>
      <w:r w:rsidR="00D42819">
        <w:fldChar w:fldCharType="begin"/>
      </w:r>
      <w:r w:rsidR="00D42819">
        <w:instrText xml:space="preserve"> REF _Ref132285560 \h </w:instrText>
      </w:r>
      <w:r w:rsidR="000670CC">
        <w:instrText xml:space="preserve"> \* MERGEFORMAT </w:instrText>
      </w:r>
      <w:r w:rsidR="00D42819">
        <w:fldChar w:fldCharType="separate"/>
      </w:r>
      <w:r w:rsidR="007105D3" w:rsidRPr="00B0485F">
        <w:t xml:space="preserve">Table App. </w:t>
      </w:r>
      <w:r w:rsidR="007105D3">
        <w:rPr>
          <w:noProof/>
        </w:rPr>
        <w:t>4</w:t>
      </w:r>
      <w:r w:rsidR="00D42819">
        <w:fldChar w:fldCharType="end"/>
      </w:r>
      <w:r w:rsidRPr="00B0485F">
        <w:t xml:space="preserve"> for results of rectus fascial sling (n=28) versus TVT)</w:t>
      </w:r>
    </w:p>
    <w:p w14:paraId="587C5372" w14:textId="77777777" w:rsidR="004E19E5" w:rsidRPr="000670CC" w:rsidRDefault="004E19E5" w:rsidP="000670CC">
      <w:pPr>
        <w:pStyle w:val="111Tablefootnoteslast-nostick8pt"/>
      </w:pPr>
      <w:r w:rsidRPr="00B0485F">
        <w:rPr>
          <w:vertAlign w:val="superscript"/>
        </w:rPr>
        <w:t>2</w:t>
      </w:r>
      <w:r w:rsidRPr="00B0485F">
        <w:t xml:space="preserve"> Sample size is for TVT and </w:t>
      </w:r>
      <w:proofErr w:type="spellStart"/>
      <w:r w:rsidRPr="00B0485F">
        <w:t>colposuspension</w:t>
      </w:r>
      <w:proofErr w:type="spellEnd"/>
      <w:r w:rsidRPr="00B0485F">
        <w:t xml:space="preserve"> arms only</w:t>
      </w:r>
    </w:p>
    <w:p w14:paraId="13B50F49" w14:textId="34F3A9B2" w:rsidR="005403C2" w:rsidRDefault="008F5DF1" w:rsidP="005403C2">
      <w:pPr>
        <w:pStyle w:val="Heading9"/>
      </w:pPr>
      <w:bookmarkStart w:id="204" w:name="_Ref165620258"/>
      <w:bookmarkStart w:id="205" w:name="_Ref130478857"/>
      <w:r>
        <w:lastRenderedPageBreak/>
        <w:t>Autologous rectus fascial sling versus MUS</w:t>
      </w:r>
      <w:bookmarkEnd w:id="204"/>
    </w:p>
    <w:p w14:paraId="4A35C2E2" w14:textId="330E276D" w:rsidR="00482AB0" w:rsidRPr="00B0485F" w:rsidRDefault="00482AB0" w:rsidP="00D552A6">
      <w:pPr>
        <w:pStyle w:val="Caption"/>
      </w:pPr>
      <w:bookmarkStart w:id="206" w:name="_Ref132276407"/>
      <w:bookmarkStart w:id="207" w:name="_Ref132285560"/>
      <w:bookmarkStart w:id="208" w:name="_Toc165627907"/>
      <w:r w:rsidRPr="00B0485F">
        <w:t xml:space="preserve">Table App. </w:t>
      </w:r>
      <w:fldSimple w:instr=" SEQ Table_App. \* ARABIC ">
        <w:r w:rsidR="007105D3">
          <w:rPr>
            <w:noProof/>
          </w:rPr>
          <w:t>4</w:t>
        </w:r>
      </w:fldSimple>
      <w:bookmarkEnd w:id="205"/>
      <w:bookmarkEnd w:id="206"/>
      <w:bookmarkEnd w:id="207"/>
      <w:r w:rsidRPr="00B0485F">
        <w:tab/>
        <w:t xml:space="preserve">Summary of included RCTs for autologous rectus fascial sling versus </w:t>
      </w:r>
      <w:r w:rsidR="005403C2">
        <w:t>MUS</w:t>
      </w:r>
      <w:bookmarkEnd w:id="208"/>
    </w:p>
    <w:tbl>
      <w:tblPr>
        <w:tblStyle w:val="TableGrid"/>
        <w:tblW w:w="5000" w:type="pct"/>
        <w:tblLook w:val="04A0" w:firstRow="1" w:lastRow="0" w:firstColumn="1" w:lastColumn="0" w:noHBand="0" w:noVBand="1"/>
        <w:tblCaption w:val="Summary of included RCTs for autologous rectus fascial sling versus MUS (from NICE)"/>
        <w:tblDescription w:val="This table summarises the study characteristics of the relevant included RCTs from the NICE evidence review for autologous rectus fascial sling versus MUS. The study ID, participants, intervention, comparator, outcomes and length of follow-up are presented. "/>
      </w:tblPr>
      <w:tblGrid>
        <w:gridCol w:w="1352"/>
        <w:gridCol w:w="2170"/>
        <w:gridCol w:w="1873"/>
        <w:gridCol w:w="2516"/>
        <w:gridCol w:w="1727"/>
      </w:tblGrid>
      <w:tr w:rsidR="00482AB0" w:rsidRPr="00B0485F" w14:paraId="7695DFF6" w14:textId="77777777" w:rsidTr="00116789">
        <w:trPr>
          <w:cnfStyle w:val="100000000000" w:firstRow="1" w:lastRow="0" w:firstColumn="0" w:lastColumn="0" w:oddVBand="0" w:evenVBand="0" w:oddHBand="0" w:evenHBand="0" w:firstRowFirstColumn="0" w:firstRowLastColumn="0" w:lastRowFirstColumn="0" w:lastRowLastColumn="0"/>
        </w:trPr>
        <w:tc>
          <w:tcPr>
            <w:tcW w:w="1352" w:type="dxa"/>
          </w:tcPr>
          <w:p w14:paraId="4256B4BA" w14:textId="7AD0B7DF" w:rsidR="00482AB0" w:rsidRPr="00B0485F" w:rsidRDefault="00482AB0" w:rsidP="00EA2441">
            <w:pPr>
              <w:pStyle w:val="011TableHeading8pt"/>
              <w:spacing w:before="20" w:after="20" w:line="240" w:lineRule="auto"/>
            </w:pPr>
            <w:r w:rsidRPr="00B0485F">
              <w:t>Study ID</w:t>
            </w:r>
          </w:p>
        </w:tc>
        <w:tc>
          <w:tcPr>
            <w:tcW w:w="2170" w:type="dxa"/>
          </w:tcPr>
          <w:p w14:paraId="13601266" w14:textId="5078A431" w:rsidR="00482AB0" w:rsidRPr="00B0485F" w:rsidRDefault="00482AB0" w:rsidP="00EA2441">
            <w:pPr>
              <w:pStyle w:val="011TableHeading8pt"/>
              <w:spacing w:before="20" w:after="20" w:line="240" w:lineRule="auto"/>
            </w:pPr>
            <w:r w:rsidRPr="00B0485F">
              <w:t>Participants</w:t>
            </w:r>
          </w:p>
        </w:tc>
        <w:tc>
          <w:tcPr>
            <w:tcW w:w="1873" w:type="dxa"/>
          </w:tcPr>
          <w:p w14:paraId="67AE89D3" w14:textId="77777777" w:rsidR="00482AB0" w:rsidRPr="00B0485F" w:rsidRDefault="00482AB0" w:rsidP="00EA2441">
            <w:pPr>
              <w:pStyle w:val="011TableHeading8pt"/>
              <w:spacing w:before="20" w:after="20" w:line="240" w:lineRule="auto"/>
            </w:pPr>
            <w:r w:rsidRPr="00B0485F">
              <w:t>Intervention</w:t>
            </w:r>
          </w:p>
          <w:p w14:paraId="2DEA5B64" w14:textId="77777777" w:rsidR="00482AB0" w:rsidRPr="00B0485F" w:rsidRDefault="00482AB0" w:rsidP="00EA2441">
            <w:pPr>
              <w:pStyle w:val="011TableHeading8pt"/>
              <w:spacing w:before="20" w:after="20" w:line="240" w:lineRule="auto"/>
            </w:pPr>
            <w:r w:rsidRPr="00B0485F">
              <w:t>Comparator</w:t>
            </w:r>
          </w:p>
        </w:tc>
        <w:tc>
          <w:tcPr>
            <w:tcW w:w="2516" w:type="dxa"/>
          </w:tcPr>
          <w:p w14:paraId="12C0C8D9" w14:textId="77777777" w:rsidR="00482AB0" w:rsidRPr="00B0485F" w:rsidRDefault="00482AB0" w:rsidP="00EA2441">
            <w:pPr>
              <w:pStyle w:val="011TableHeading8pt"/>
              <w:spacing w:before="20" w:after="20" w:line="240" w:lineRule="auto"/>
            </w:pPr>
            <w:r w:rsidRPr="00B0485F">
              <w:t>Outcomes</w:t>
            </w:r>
          </w:p>
        </w:tc>
        <w:tc>
          <w:tcPr>
            <w:tcW w:w="1727" w:type="dxa"/>
          </w:tcPr>
          <w:p w14:paraId="08E5E52F" w14:textId="77777777" w:rsidR="00482AB0" w:rsidRPr="00B0485F" w:rsidRDefault="00482AB0" w:rsidP="00EA2441">
            <w:pPr>
              <w:pStyle w:val="011TableHeading8pt"/>
              <w:spacing w:before="20" w:after="20" w:line="240" w:lineRule="auto"/>
            </w:pPr>
            <w:r w:rsidRPr="00B0485F">
              <w:t>Follow-up (months)</w:t>
            </w:r>
          </w:p>
        </w:tc>
      </w:tr>
      <w:tr w:rsidR="00482AB0" w:rsidRPr="00B0485F" w14:paraId="39BF8658" w14:textId="77777777" w:rsidTr="00116789">
        <w:tc>
          <w:tcPr>
            <w:tcW w:w="1352" w:type="dxa"/>
          </w:tcPr>
          <w:p w14:paraId="0565B27A" w14:textId="14DFBCE6" w:rsidR="00482AB0" w:rsidRPr="00B0485F" w:rsidRDefault="00482AB0" w:rsidP="00EA2441">
            <w:pPr>
              <w:pStyle w:val="051Tabletext228pt"/>
              <w:spacing w:before="20" w:after="20"/>
            </w:pPr>
            <w:r w:rsidRPr="00B0485F">
              <w:t>Al-Azzawi 2014</w:t>
            </w:r>
          </w:p>
        </w:tc>
        <w:tc>
          <w:tcPr>
            <w:tcW w:w="2170" w:type="dxa"/>
          </w:tcPr>
          <w:p w14:paraId="744C0092" w14:textId="77777777" w:rsidR="00482AB0" w:rsidRDefault="00482AB0" w:rsidP="00EA2441">
            <w:pPr>
              <w:pStyle w:val="051Tabletext228pt"/>
              <w:spacing w:before="20" w:after="20"/>
            </w:pPr>
            <w:r w:rsidRPr="00B0485F">
              <w:t>SUI or stress-predominant MUI</w:t>
            </w:r>
          </w:p>
          <w:p w14:paraId="297CA6FF" w14:textId="7B544550" w:rsidR="00482AB0" w:rsidRPr="00B0485F" w:rsidRDefault="000C044E" w:rsidP="00EA2441">
            <w:pPr>
              <w:pStyle w:val="051Tabletext228pt"/>
              <w:spacing w:before="20" w:after="20"/>
            </w:pPr>
            <w:r>
              <w:t>N=80</w:t>
            </w:r>
          </w:p>
        </w:tc>
        <w:tc>
          <w:tcPr>
            <w:tcW w:w="1873" w:type="dxa"/>
          </w:tcPr>
          <w:p w14:paraId="2E1F52B7" w14:textId="77777777" w:rsidR="00482AB0" w:rsidRPr="00B0485F" w:rsidRDefault="00482AB0" w:rsidP="00EA2441">
            <w:pPr>
              <w:pStyle w:val="051Tabletext228pt"/>
              <w:spacing w:before="20" w:after="20"/>
            </w:pPr>
            <w:r w:rsidRPr="00B0485F">
              <w:t>Rectus fascial sling</w:t>
            </w:r>
          </w:p>
          <w:p w14:paraId="02B4F44D" w14:textId="77777777" w:rsidR="00482AB0" w:rsidRPr="00B0485F" w:rsidRDefault="00482AB0" w:rsidP="00EA2441">
            <w:pPr>
              <w:pStyle w:val="051Tabletext228pt"/>
              <w:spacing w:before="20" w:after="20"/>
            </w:pPr>
            <w:r w:rsidRPr="00256D33">
              <w:t>TOT</w:t>
            </w:r>
          </w:p>
        </w:tc>
        <w:tc>
          <w:tcPr>
            <w:tcW w:w="2516" w:type="dxa"/>
          </w:tcPr>
          <w:p w14:paraId="730CDBD3" w14:textId="77777777" w:rsidR="00482AB0" w:rsidRPr="00B0485F" w:rsidRDefault="00482AB0" w:rsidP="00EA2441">
            <w:pPr>
              <w:pStyle w:val="051Tabletext228pt"/>
              <w:spacing w:before="20" w:after="20"/>
            </w:pPr>
            <w:r w:rsidRPr="00B0485F">
              <w:t>AEs</w:t>
            </w:r>
          </w:p>
          <w:p w14:paraId="4F5A3426" w14:textId="77777777" w:rsidR="00482AB0" w:rsidRPr="00B0485F" w:rsidRDefault="00482AB0" w:rsidP="00EA2441">
            <w:pPr>
              <w:pStyle w:val="051Tabletext228pt"/>
              <w:spacing w:before="20" w:after="20"/>
            </w:pPr>
            <w:r w:rsidRPr="00B0485F">
              <w:t>Complications</w:t>
            </w:r>
          </w:p>
          <w:p w14:paraId="528F885F" w14:textId="77777777" w:rsidR="00482AB0" w:rsidRPr="00B0485F" w:rsidRDefault="00482AB0" w:rsidP="00EA2441">
            <w:pPr>
              <w:pStyle w:val="051Tabletext228pt"/>
              <w:spacing w:before="20" w:after="20"/>
            </w:pPr>
            <w:r w:rsidRPr="00B0485F">
              <w:t>Change in continence status</w:t>
            </w:r>
          </w:p>
        </w:tc>
        <w:tc>
          <w:tcPr>
            <w:tcW w:w="1727" w:type="dxa"/>
          </w:tcPr>
          <w:p w14:paraId="676F73EF" w14:textId="77777777" w:rsidR="00482AB0" w:rsidRPr="00B0485F" w:rsidRDefault="00482AB0" w:rsidP="00EA2441">
            <w:pPr>
              <w:pStyle w:val="051Tabletext228pt"/>
              <w:spacing w:before="20" w:after="20"/>
            </w:pPr>
            <w:r w:rsidRPr="00B0485F">
              <w:t>12</w:t>
            </w:r>
          </w:p>
        </w:tc>
      </w:tr>
      <w:tr w:rsidR="00482AB0" w:rsidRPr="00B0485F" w14:paraId="0A5C874E" w14:textId="77777777" w:rsidTr="00116789">
        <w:tc>
          <w:tcPr>
            <w:tcW w:w="1352" w:type="dxa"/>
          </w:tcPr>
          <w:p w14:paraId="0391B4BD" w14:textId="77777777" w:rsidR="00482AB0" w:rsidRPr="00B0485F" w:rsidRDefault="00482AB0" w:rsidP="00EA2441">
            <w:pPr>
              <w:pStyle w:val="051Tabletext228pt"/>
              <w:spacing w:before="20" w:after="20"/>
            </w:pPr>
            <w:r w:rsidRPr="00B0485F">
              <w:t>Amaro 2009</w:t>
            </w:r>
          </w:p>
          <w:p w14:paraId="07CF772D" w14:textId="5E95C606" w:rsidR="00482AB0" w:rsidRPr="00B0485F" w:rsidRDefault="00482AB0" w:rsidP="00EA2441">
            <w:pPr>
              <w:pStyle w:val="051Tabletext228pt"/>
              <w:spacing w:before="20" w:after="20"/>
            </w:pPr>
          </w:p>
        </w:tc>
        <w:tc>
          <w:tcPr>
            <w:tcW w:w="2170" w:type="dxa"/>
          </w:tcPr>
          <w:p w14:paraId="0A80C56C" w14:textId="77777777" w:rsidR="00482AB0" w:rsidRDefault="00482AB0" w:rsidP="00EA2441">
            <w:pPr>
              <w:pStyle w:val="051Tabletext228pt"/>
              <w:spacing w:before="20" w:after="20"/>
            </w:pPr>
            <w:r w:rsidRPr="00B0485F">
              <w:t>SUI and USI</w:t>
            </w:r>
          </w:p>
          <w:p w14:paraId="3D1BBBE2" w14:textId="460DD9AF" w:rsidR="00116789" w:rsidRPr="00B0485F" w:rsidRDefault="00116789" w:rsidP="00EA2441">
            <w:pPr>
              <w:pStyle w:val="051Tabletext228pt"/>
              <w:spacing w:before="20" w:after="20"/>
            </w:pPr>
            <w:r>
              <w:t>N=</w:t>
            </w:r>
            <w:r w:rsidRPr="00B0485F">
              <w:t>41</w:t>
            </w:r>
          </w:p>
        </w:tc>
        <w:tc>
          <w:tcPr>
            <w:tcW w:w="1873" w:type="dxa"/>
          </w:tcPr>
          <w:p w14:paraId="6C03B254" w14:textId="77777777" w:rsidR="00482AB0" w:rsidRPr="00B0485F" w:rsidRDefault="00482AB0" w:rsidP="00EA2441">
            <w:pPr>
              <w:pStyle w:val="051Tabletext228pt"/>
              <w:spacing w:before="20" w:after="20"/>
            </w:pPr>
            <w:r w:rsidRPr="00B0485F">
              <w:t>Rectus fascial sling</w:t>
            </w:r>
          </w:p>
          <w:p w14:paraId="64DD2990" w14:textId="77777777" w:rsidR="00482AB0" w:rsidRPr="00B0485F" w:rsidRDefault="00482AB0" w:rsidP="00EA2441">
            <w:pPr>
              <w:pStyle w:val="051Tabletext228pt"/>
              <w:spacing w:before="20" w:after="20"/>
            </w:pPr>
            <w:r w:rsidRPr="00B0485F">
              <w:t>TVT</w:t>
            </w:r>
          </w:p>
        </w:tc>
        <w:tc>
          <w:tcPr>
            <w:tcW w:w="2516" w:type="dxa"/>
          </w:tcPr>
          <w:p w14:paraId="13906CA1" w14:textId="77777777" w:rsidR="00482AB0" w:rsidRPr="00B0485F" w:rsidRDefault="00482AB0" w:rsidP="00EA2441">
            <w:pPr>
              <w:pStyle w:val="051Tabletext228pt"/>
              <w:spacing w:before="20" w:after="20"/>
            </w:pPr>
            <w:r w:rsidRPr="00B0485F">
              <w:t>AEs</w:t>
            </w:r>
          </w:p>
          <w:p w14:paraId="26A424DF" w14:textId="77777777" w:rsidR="00482AB0" w:rsidRPr="00B0485F" w:rsidRDefault="00482AB0" w:rsidP="00EA2441">
            <w:pPr>
              <w:pStyle w:val="051Tabletext228pt"/>
              <w:spacing w:before="20" w:after="20"/>
            </w:pPr>
            <w:r w:rsidRPr="00B0485F">
              <w:t>Complications</w:t>
            </w:r>
          </w:p>
          <w:p w14:paraId="02274453" w14:textId="77777777" w:rsidR="00482AB0" w:rsidRPr="00B0485F" w:rsidRDefault="00482AB0" w:rsidP="00EA2441">
            <w:pPr>
              <w:pStyle w:val="051Tabletext228pt"/>
              <w:spacing w:before="20" w:after="20"/>
            </w:pPr>
            <w:r w:rsidRPr="00B0485F">
              <w:t>Change in continence status</w:t>
            </w:r>
          </w:p>
          <w:p w14:paraId="3774D84E" w14:textId="77777777" w:rsidR="00482AB0" w:rsidRPr="00B0485F" w:rsidRDefault="00482AB0" w:rsidP="00EA2441">
            <w:pPr>
              <w:pStyle w:val="051Tabletext228pt"/>
              <w:spacing w:before="20" w:after="20"/>
            </w:pPr>
            <w:r w:rsidRPr="00B0485F">
              <w:t>Improvement in continence status</w:t>
            </w:r>
          </w:p>
        </w:tc>
        <w:tc>
          <w:tcPr>
            <w:tcW w:w="1727" w:type="dxa"/>
          </w:tcPr>
          <w:p w14:paraId="189AEC00" w14:textId="77777777" w:rsidR="00482AB0" w:rsidRPr="00B0485F" w:rsidRDefault="00482AB0" w:rsidP="00EA2441">
            <w:pPr>
              <w:pStyle w:val="051Tabletext228pt"/>
              <w:spacing w:before="20" w:after="20"/>
            </w:pPr>
            <w:r w:rsidRPr="00B0485F">
              <w:t>12, 44 (median)</w:t>
            </w:r>
          </w:p>
        </w:tc>
      </w:tr>
      <w:tr w:rsidR="00482AB0" w:rsidRPr="00B0485F" w14:paraId="3E579410" w14:textId="77777777" w:rsidTr="00116789">
        <w:tc>
          <w:tcPr>
            <w:tcW w:w="1352" w:type="dxa"/>
          </w:tcPr>
          <w:p w14:paraId="1ABF83DE" w14:textId="77777777" w:rsidR="00482AB0" w:rsidRPr="00B0485F" w:rsidRDefault="00482AB0" w:rsidP="00EA2441">
            <w:pPr>
              <w:pStyle w:val="051Tabletext228pt"/>
              <w:spacing w:before="20" w:after="20"/>
              <w:rPr>
                <w:vertAlign w:val="superscript"/>
              </w:rPr>
            </w:pPr>
            <w:r w:rsidRPr="00B0485F">
              <w:t>Bai 2005</w:t>
            </w:r>
            <w:r w:rsidRPr="00B0485F">
              <w:rPr>
                <w:vertAlign w:val="superscript"/>
              </w:rPr>
              <w:t>1</w:t>
            </w:r>
          </w:p>
          <w:p w14:paraId="4032AEE5" w14:textId="020ECD97" w:rsidR="00482AB0" w:rsidRPr="00B0485F" w:rsidRDefault="00482AB0" w:rsidP="00EA2441">
            <w:pPr>
              <w:pStyle w:val="051Tabletext228pt"/>
              <w:spacing w:before="20" w:after="20"/>
              <w:rPr>
                <w:vertAlign w:val="superscript"/>
              </w:rPr>
            </w:pPr>
          </w:p>
        </w:tc>
        <w:tc>
          <w:tcPr>
            <w:tcW w:w="2170" w:type="dxa"/>
          </w:tcPr>
          <w:p w14:paraId="32EC0CBA" w14:textId="77777777" w:rsidR="00482AB0" w:rsidRDefault="00482AB0" w:rsidP="00EA2441">
            <w:pPr>
              <w:pStyle w:val="051Tabletext228pt"/>
              <w:spacing w:before="20" w:after="20"/>
            </w:pPr>
            <w:r w:rsidRPr="00B0485F">
              <w:t>Grade 1 or 2 SUI</w:t>
            </w:r>
          </w:p>
          <w:p w14:paraId="736C5976" w14:textId="70010883" w:rsidR="00116789" w:rsidRPr="00B0485F" w:rsidRDefault="00116789" w:rsidP="00EA2441">
            <w:pPr>
              <w:pStyle w:val="051Tabletext228pt"/>
              <w:spacing w:before="20" w:after="20"/>
            </w:pPr>
            <w:r>
              <w:t>N=</w:t>
            </w:r>
            <w:r w:rsidRPr="00B0485F">
              <w:t>59</w:t>
            </w:r>
            <w:r w:rsidRPr="00B0485F">
              <w:rPr>
                <w:vertAlign w:val="superscript"/>
              </w:rPr>
              <w:t>2</w:t>
            </w:r>
          </w:p>
        </w:tc>
        <w:tc>
          <w:tcPr>
            <w:tcW w:w="1873" w:type="dxa"/>
          </w:tcPr>
          <w:p w14:paraId="1EB0EEA4" w14:textId="77777777" w:rsidR="00482AB0" w:rsidRPr="00B0485F" w:rsidRDefault="00482AB0" w:rsidP="00EA2441">
            <w:pPr>
              <w:pStyle w:val="051Tabletext228pt"/>
              <w:spacing w:before="20" w:after="20"/>
            </w:pPr>
            <w:r w:rsidRPr="00B0485F">
              <w:t>Rectus fascial sling</w:t>
            </w:r>
          </w:p>
          <w:p w14:paraId="04BFDD47" w14:textId="77777777" w:rsidR="00482AB0" w:rsidRPr="00B0485F" w:rsidRDefault="00482AB0" w:rsidP="00EA2441">
            <w:pPr>
              <w:pStyle w:val="051Tabletext228pt"/>
              <w:spacing w:before="20" w:after="20"/>
            </w:pPr>
            <w:r w:rsidRPr="00B0485F">
              <w:t>TVT</w:t>
            </w:r>
          </w:p>
        </w:tc>
        <w:tc>
          <w:tcPr>
            <w:tcW w:w="2516" w:type="dxa"/>
          </w:tcPr>
          <w:p w14:paraId="4F989C26" w14:textId="77777777" w:rsidR="00482AB0" w:rsidRPr="00B0485F" w:rsidRDefault="00482AB0" w:rsidP="00EA2441">
            <w:pPr>
              <w:pStyle w:val="051Tabletext228pt"/>
              <w:spacing w:before="20" w:after="20"/>
            </w:pPr>
            <w:r w:rsidRPr="00B0485F">
              <w:t>Change in continence status</w:t>
            </w:r>
          </w:p>
        </w:tc>
        <w:tc>
          <w:tcPr>
            <w:tcW w:w="1727" w:type="dxa"/>
          </w:tcPr>
          <w:p w14:paraId="2CAB2FDA" w14:textId="77777777" w:rsidR="00482AB0" w:rsidRPr="00B0485F" w:rsidRDefault="00482AB0" w:rsidP="00EA2441">
            <w:pPr>
              <w:pStyle w:val="051Tabletext228pt"/>
              <w:spacing w:before="20" w:after="20"/>
            </w:pPr>
            <w:r w:rsidRPr="00B0485F">
              <w:t>12</w:t>
            </w:r>
          </w:p>
        </w:tc>
      </w:tr>
      <w:tr w:rsidR="00482AB0" w:rsidRPr="00B0485F" w14:paraId="394208F6" w14:textId="77777777" w:rsidTr="00116789">
        <w:tc>
          <w:tcPr>
            <w:tcW w:w="1352" w:type="dxa"/>
          </w:tcPr>
          <w:p w14:paraId="40D809CC" w14:textId="77777777" w:rsidR="00482AB0" w:rsidRPr="00B0485F" w:rsidRDefault="00482AB0" w:rsidP="00EA2441">
            <w:pPr>
              <w:pStyle w:val="051Tabletext228pt"/>
              <w:spacing w:before="20" w:after="20"/>
              <w:rPr>
                <w:vertAlign w:val="superscript"/>
              </w:rPr>
            </w:pPr>
            <w:r w:rsidRPr="00B0485F">
              <w:t>Guerrero 2010/ Khan 2015</w:t>
            </w:r>
            <w:r w:rsidRPr="00B0485F">
              <w:rPr>
                <w:vertAlign w:val="superscript"/>
              </w:rPr>
              <w:t>3</w:t>
            </w:r>
          </w:p>
          <w:p w14:paraId="3AFCA4BC" w14:textId="5BBB3186" w:rsidR="00482AB0" w:rsidRPr="00B0485F" w:rsidRDefault="00482AB0" w:rsidP="00EA2441">
            <w:pPr>
              <w:pStyle w:val="051Tabletext228pt"/>
              <w:spacing w:before="20" w:after="20"/>
              <w:rPr>
                <w:vertAlign w:val="superscript"/>
              </w:rPr>
            </w:pPr>
          </w:p>
        </w:tc>
        <w:tc>
          <w:tcPr>
            <w:tcW w:w="2170" w:type="dxa"/>
          </w:tcPr>
          <w:p w14:paraId="76A944D6" w14:textId="77777777" w:rsidR="00482AB0" w:rsidRDefault="00482AB0" w:rsidP="00EA2441">
            <w:pPr>
              <w:pStyle w:val="051Tabletext228pt"/>
              <w:spacing w:before="20" w:after="20"/>
            </w:pPr>
            <w:r w:rsidRPr="00B0485F">
              <w:t>SUI and USI</w:t>
            </w:r>
          </w:p>
          <w:p w14:paraId="0948A108" w14:textId="3767BA05" w:rsidR="00116789" w:rsidRPr="00B0485F" w:rsidRDefault="00116789" w:rsidP="00EA2441">
            <w:pPr>
              <w:pStyle w:val="051Tabletext228pt"/>
              <w:spacing w:before="20" w:after="20"/>
            </w:pPr>
            <w:r>
              <w:t>N=</w:t>
            </w:r>
            <w:r w:rsidRPr="00B0485F">
              <w:t>156</w:t>
            </w:r>
            <w:r w:rsidRPr="00B0485F">
              <w:rPr>
                <w:vertAlign w:val="superscript"/>
              </w:rPr>
              <w:t>2</w:t>
            </w:r>
          </w:p>
        </w:tc>
        <w:tc>
          <w:tcPr>
            <w:tcW w:w="1873" w:type="dxa"/>
          </w:tcPr>
          <w:p w14:paraId="4256767D" w14:textId="77777777" w:rsidR="00482AB0" w:rsidRPr="00B0485F" w:rsidRDefault="00482AB0" w:rsidP="00EA2441">
            <w:pPr>
              <w:pStyle w:val="051Tabletext228pt"/>
              <w:spacing w:before="20" w:after="20"/>
            </w:pPr>
            <w:r w:rsidRPr="00B0485F">
              <w:t>Rectus fascial sling</w:t>
            </w:r>
          </w:p>
          <w:p w14:paraId="0A0C774D" w14:textId="77777777" w:rsidR="00482AB0" w:rsidRPr="00B0485F" w:rsidRDefault="00482AB0" w:rsidP="00EA2441">
            <w:pPr>
              <w:pStyle w:val="051Tabletext228pt"/>
              <w:spacing w:before="20" w:after="20"/>
            </w:pPr>
            <w:r w:rsidRPr="00B0485F">
              <w:t>TVT</w:t>
            </w:r>
          </w:p>
        </w:tc>
        <w:tc>
          <w:tcPr>
            <w:tcW w:w="2516" w:type="dxa"/>
          </w:tcPr>
          <w:p w14:paraId="1B4968F1" w14:textId="66EB1C1A" w:rsidR="00482AB0" w:rsidRPr="00B0485F" w:rsidRDefault="00482AB0" w:rsidP="00EA2441">
            <w:pPr>
              <w:pStyle w:val="051Tabletext228pt"/>
              <w:spacing w:before="20" w:after="20"/>
            </w:pPr>
            <w:r w:rsidRPr="00B0485F">
              <w:t xml:space="preserve">Continence-specific </w:t>
            </w:r>
            <w:proofErr w:type="spellStart"/>
            <w:r w:rsidR="00540815">
              <w:t>HR</w:t>
            </w:r>
            <w:r w:rsidRPr="00B0485F">
              <w:t>QoL</w:t>
            </w:r>
            <w:proofErr w:type="spellEnd"/>
          </w:p>
          <w:p w14:paraId="6A4BA038" w14:textId="77777777" w:rsidR="00482AB0" w:rsidRPr="00B0485F" w:rsidRDefault="00482AB0" w:rsidP="00EA2441">
            <w:pPr>
              <w:pStyle w:val="051Tabletext228pt"/>
              <w:spacing w:before="20" w:after="20"/>
            </w:pPr>
            <w:r w:rsidRPr="00B0485F">
              <w:t>AEs</w:t>
            </w:r>
          </w:p>
          <w:p w14:paraId="724E66CC" w14:textId="77777777" w:rsidR="00482AB0" w:rsidRPr="00B0485F" w:rsidRDefault="00482AB0" w:rsidP="00EA2441">
            <w:pPr>
              <w:pStyle w:val="051Tabletext228pt"/>
              <w:spacing w:before="20" w:after="20"/>
            </w:pPr>
            <w:r w:rsidRPr="00B0485F">
              <w:t>Complications</w:t>
            </w:r>
          </w:p>
          <w:p w14:paraId="44CA93E0" w14:textId="77777777" w:rsidR="00482AB0" w:rsidRPr="00B0485F" w:rsidRDefault="00482AB0" w:rsidP="00EA2441">
            <w:pPr>
              <w:pStyle w:val="051Tabletext228pt"/>
              <w:spacing w:before="20" w:after="20"/>
            </w:pPr>
            <w:r w:rsidRPr="00B0485F">
              <w:t>Change in continence status</w:t>
            </w:r>
          </w:p>
          <w:p w14:paraId="2A97C447" w14:textId="77777777" w:rsidR="00482AB0" w:rsidRPr="00B0485F" w:rsidRDefault="00482AB0" w:rsidP="00EA2441">
            <w:pPr>
              <w:pStyle w:val="051Tabletext228pt"/>
              <w:spacing w:before="20" w:after="20"/>
            </w:pPr>
            <w:r w:rsidRPr="00B0485F">
              <w:t>Improvement in continence status</w:t>
            </w:r>
          </w:p>
          <w:p w14:paraId="1B51B1B6" w14:textId="77777777" w:rsidR="00482AB0" w:rsidRPr="00B0485F" w:rsidRDefault="00482AB0" w:rsidP="00EA2441">
            <w:pPr>
              <w:pStyle w:val="051Tabletext228pt"/>
              <w:spacing w:before="20" w:after="20"/>
            </w:pPr>
            <w:r w:rsidRPr="00B0485F">
              <w:t>Repeat surgery</w:t>
            </w:r>
          </w:p>
        </w:tc>
        <w:tc>
          <w:tcPr>
            <w:tcW w:w="1727" w:type="dxa"/>
          </w:tcPr>
          <w:p w14:paraId="281B4565" w14:textId="634D35B4" w:rsidR="00482AB0" w:rsidRPr="00B0485F" w:rsidRDefault="00482AB0" w:rsidP="00EA2441">
            <w:pPr>
              <w:pStyle w:val="051Tabletext228pt"/>
              <w:spacing w:before="20" w:after="20"/>
            </w:pPr>
            <w:r w:rsidRPr="00B0485F">
              <w:t>12/120 (median)</w:t>
            </w:r>
          </w:p>
        </w:tc>
      </w:tr>
      <w:tr w:rsidR="00482AB0" w:rsidRPr="00B0485F" w14:paraId="2D907DD2" w14:textId="77777777" w:rsidTr="00116789">
        <w:tc>
          <w:tcPr>
            <w:tcW w:w="1352" w:type="dxa"/>
          </w:tcPr>
          <w:p w14:paraId="355E93F8" w14:textId="77777777" w:rsidR="00482AB0" w:rsidRPr="00B0485F" w:rsidRDefault="00482AB0" w:rsidP="00EA2441">
            <w:pPr>
              <w:pStyle w:val="051Tabletext228pt"/>
              <w:spacing w:before="20" w:after="20"/>
            </w:pPr>
            <w:proofErr w:type="spellStart"/>
            <w:r w:rsidRPr="00B0485F">
              <w:t>Sharifiaghdas</w:t>
            </w:r>
            <w:proofErr w:type="spellEnd"/>
            <w:r w:rsidRPr="00B0485F">
              <w:t xml:space="preserve"> 2008/ </w:t>
            </w:r>
            <w:proofErr w:type="spellStart"/>
            <w:r w:rsidRPr="00B0485F">
              <w:t>Sharifiaghdas</w:t>
            </w:r>
            <w:proofErr w:type="spellEnd"/>
            <w:r w:rsidRPr="00B0485F">
              <w:t xml:space="preserve"> 2017</w:t>
            </w:r>
          </w:p>
          <w:p w14:paraId="085F5954" w14:textId="2F89C22C" w:rsidR="00482AB0" w:rsidRPr="00B0485F" w:rsidRDefault="00482AB0" w:rsidP="00EA2441">
            <w:pPr>
              <w:pStyle w:val="051Tabletext228pt"/>
              <w:spacing w:before="20" w:after="20"/>
            </w:pPr>
          </w:p>
        </w:tc>
        <w:tc>
          <w:tcPr>
            <w:tcW w:w="2170" w:type="dxa"/>
          </w:tcPr>
          <w:p w14:paraId="4F72B37C" w14:textId="77777777" w:rsidR="00482AB0" w:rsidRDefault="00482AB0" w:rsidP="00EA2441">
            <w:pPr>
              <w:pStyle w:val="051Tabletext228pt"/>
              <w:spacing w:before="20" w:after="20"/>
            </w:pPr>
            <w:r w:rsidRPr="00B0485F">
              <w:t>History of SUI and USI</w:t>
            </w:r>
          </w:p>
          <w:p w14:paraId="4CF2A2E3" w14:textId="08DD81C0" w:rsidR="00116789" w:rsidRPr="00B0485F" w:rsidRDefault="00116789" w:rsidP="00EA2441">
            <w:pPr>
              <w:pStyle w:val="051Tabletext228pt"/>
              <w:spacing w:before="20" w:after="20"/>
            </w:pPr>
            <w:r>
              <w:t>N=100</w:t>
            </w:r>
          </w:p>
        </w:tc>
        <w:tc>
          <w:tcPr>
            <w:tcW w:w="1873" w:type="dxa"/>
          </w:tcPr>
          <w:p w14:paraId="135FC139" w14:textId="77777777" w:rsidR="00482AB0" w:rsidRPr="00B0485F" w:rsidRDefault="00482AB0" w:rsidP="00EA2441">
            <w:pPr>
              <w:pStyle w:val="051Tabletext228pt"/>
              <w:spacing w:before="20" w:after="20"/>
            </w:pPr>
            <w:r w:rsidRPr="00B0485F">
              <w:t>Rectus fascial sling</w:t>
            </w:r>
          </w:p>
          <w:p w14:paraId="5B846A9E" w14:textId="77777777" w:rsidR="00482AB0" w:rsidRPr="00B0485F" w:rsidRDefault="00482AB0" w:rsidP="00EA2441">
            <w:pPr>
              <w:pStyle w:val="051Tabletext228pt"/>
              <w:spacing w:before="20" w:after="20"/>
            </w:pPr>
            <w:r w:rsidRPr="00B0485F">
              <w:t>TVT</w:t>
            </w:r>
          </w:p>
        </w:tc>
        <w:tc>
          <w:tcPr>
            <w:tcW w:w="2516" w:type="dxa"/>
          </w:tcPr>
          <w:p w14:paraId="01FB111C" w14:textId="77777777" w:rsidR="00482AB0" w:rsidRPr="00B0485F" w:rsidRDefault="00482AB0" w:rsidP="00EA2441">
            <w:pPr>
              <w:pStyle w:val="051Tabletext228pt"/>
              <w:spacing w:before="20" w:after="20"/>
            </w:pPr>
            <w:r w:rsidRPr="00B0485F">
              <w:t>AEs</w:t>
            </w:r>
          </w:p>
          <w:p w14:paraId="17CC0D41" w14:textId="77777777" w:rsidR="00482AB0" w:rsidRPr="00B0485F" w:rsidRDefault="00482AB0" w:rsidP="00EA2441">
            <w:pPr>
              <w:pStyle w:val="051Tabletext228pt"/>
              <w:spacing w:before="20" w:after="20"/>
            </w:pPr>
            <w:r w:rsidRPr="00B0485F">
              <w:t>Complications</w:t>
            </w:r>
          </w:p>
          <w:p w14:paraId="0A25454B" w14:textId="77777777" w:rsidR="00482AB0" w:rsidRPr="00B0485F" w:rsidRDefault="00482AB0" w:rsidP="00EA2441">
            <w:pPr>
              <w:pStyle w:val="051Tabletext228pt"/>
              <w:spacing w:before="20" w:after="20"/>
            </w:pPr>
            <w:r w:rsidRPr="00B0485F">
              <w:t>Change in continence status</w:t>
            </w:r>
          </w:p>
          <w:p w14:paraId="52E00E16" w14:textId="77777777" w:rsidR="00482AB0" w:rsidRPr="00B0485F" w:rsidRDefault="00482AB0" w:rsidP="00EA2441">
            <w:pPr>
              <w:pStyle w:val="051Tabletext228pt"/>
              <w:spacing w:before="20" w:after="20"/>
            </w:pPr>
            <w:r w:rsidRPr="00B0485F">
              <w:t>Improvement in continence status</w:t>
            </w:r>
          </w:p>
          <w:p w14:paraId="78893289" w14:textId="77777777" w:rsidR="00482AB0" w:rsidRPr="00B0485F" w:rsidRDefault="00482AB0" w:rsidP="00EA2441">
            <w:pPr>
              <w:pStyle w:val="051Tabletext228pt"/>
              <w:spacing w:before="20" w:after="20"/>
            </w:pPr>
            <w:r w:rsidRPr="00B0485F">
              <w:t>Repeat surgery</w:t>
            </w:r>
          </w:p>
        </w:tc>
        <w:tc>
          <w:tcPr>
            <w:tcW w:w="1727" w:type="dxa"/>
          </w:tcPr>
          <w:p w14:paraId="4264BC16" w14:textId="77777777" w:rsidR="00482AB0" w:rsidRPr="00B0485F" w:rsidRDefault="00482AB0" w:rsidP="00EA2441">
            <w:pPr>
              <w:pStyle w:val="051Tabletext228pt"/>
              <w:spacing w:before="20" w:after="20"/>
            </w:pPr>
            <w:r w:rsidRPr="00B0485F">
              <w:t>12, 39 (mean)/126 (mean)</w:t>
            </w:r>
          </w:p>
        </w:tc>
      </w:tr>
      <w:tr w:rsidR="00482AB0" w:rsidRPr="00B0485F" w14:paraId="505A590D" w14:textId="77777777" w:rsidTr="00116789">
        <w:tc>
          <w:tcPr>
            <w:tcW w:w="1352" w:type="dxa"/>
          </w:tcPr>
          <w:p w14:paraId="1B37B55C" w14:textId="77777777" w:rsidR="00482AB0" w:rsidRPr="00B0485F" w:rsidRDefault="00482AB0" w:rsidP="00EA2441">
            <w:pPr>
              <w:pStyle w:val="051Tabletext228pt"/>
              <w:spacing w:before="20" w:after="20"/>
              <w:rPr>
                <w:vertAlign w:val="superscript"/>
              </w:rPr>
            </w:pPr>
            <w:proofErr w:type="spellStart"/>
            <w:r w:rsidRPr="00B0485F">
              <w:t>Teleb</w:t>
            </w:r>
            <w:proofErr w:type="spellEnd"/>
            <w:r w:rsidRPr="00B0485F">
              <w:t xml:space="preserve"> 2011</w:t>
            </w:r>
            <w:r w:rsidRPr="00B0485F">
              <w:rPr>
                <w:vertAlign w:val="superscript"/>
              </w:rPr>
              <w:t>4</w:t>
            </w:r>
          </w:p>
          <w:p w14:paraId="43355C9E" w14:textId="7CA11D19" w:rsidR="00482AB0" w:rsidRPr="00B0485F" w:rsidRDefault="00482AB0" w:rsidP="00EA2441">
            <w:pPr>
              <w:pStyle w:val="051Tabletext228pt"/>
              <w:spacing w:before="20" w:after="20"/>
              <w:rPr>
                <w:vertAlign w:val="superscript"/>
              </w:rPr>
            </w:pPr>
          </w:p>
        </w:tc>
        <w:tc>
          <w:tcPr>
            <w:tcW w:w="2170" w:type="dxa"/>
          </w:tcPr>
          <w:p w14:paraId="17FB9F9F" w14:textId="77777777" w:rsidR="00482AB0" w:rsidRDefault="00482AB0" w:rsidP="00EA2441">
            <w:pPr>
              <w:pStyle w:val="051Tabletext228pt"/>
              <w:spacing w:before="20" w:after="20"/>
            </w:pPr>
            <w:r w:rsidRPr="00B0485F">
              <w:t>Primary SUI and USI</w:t>
            </w:r>
          </w:p>
          <w:p w14:paraId="712EFD33" w14:textId="4BE632C8" w:rsidR="00116789" w:rsidRPr="00B0485F" w:rsidRDefault="00116789" w:rsidP="00EA2441">
            <w:pPr>
              <w:pStyle w:val="051Tabletext228pt"/>
              <w:spacing w:before="20" w:after="20"/>
            </w:pPr>
            <w:r>
              <w:t>N=</w:t>
            </w:r>
            <w:r w:rsidRPr="00B0485F">
              <w:t>24</w:t>
            </w:r>
            <w:r w:rsidRPr="00B0485F">
              <w:rPr>
                <w:vertAlign w:val="superscript"/>
              </w:rPr>
              <w:t>2</w:t>
            </w:r>
          </w:p>
        </w:tc>
        <w:tc>
          <w:tcPr>
            <w:tcW w:w="1873" w:type="dxa"/>
          </w:tcPr>
          <w:p w14:paraId="32B48BA2" w14:textId="77777777" w:rsidR="00482AB0" w:rsidRPr="00B0485F" w:rsidRDefault="00482AB0" w:rsidP="00EA2441">
            <w:pPr>
              <w:pStyle w:val="051Tabletext228pt"/>
              <w:spacing w:before="20" w:after="20"/>
            </w:pPr>
            <w:r w:rsidRPr="00B0485F">
              <w:t>Rectus fascial sling</w:t>
            </w:r>
          </w:p>
          <w:p w14:paraId="535D944D" w14:textId="77777777" w:rsidR="00482AB0" w:rsidRPr="00B0485F" w:rsidRDefault="00482AB0" w:rsidP="00EA2441">
            <w:pPr>
              <w:pStyle w:val="051Tabletext228pt"/>
              <w:spacing w:before="20" w:after="20"/>
            </w:pPr>
            <w:r w:rsidRPr="00B0485F">
              <w:t>TVT</w:t>
            </w:r>
          </w:p>
        </w:tc>
        <w:tc>
          <w:tcPr>
            <w:tcW w:w="2516" w:type="dxa"/>
          </w:tcPr>
          <w:p w14:paraId="480F2EA1" w14:textId="77777777" w:rsidR="00482AB0" w:rsidRPr="00B0485F" w:rsidRDefault="00482AB0" w:rsidP="00EA2441">
            <w:pPr>
              <w:pStyle w:val="051Tabletext228pt"/>
              <w:spacing w:before="20" w:after="20"/>
            </w:pPr>
            <w:r w:rsidRPr="00B0485F">
              <w:t>AEs</w:t>
            </w:r>
          </w:p>
          <w:p w14:paraId="097CBC78" w14:textId="77777777" w:rsidR="00482AB0" w:rsidRPr="00B0485F" w:rsidRDefault="00482AB0" w:rsidP="00EA2441">
            <w:pPr>
              <w:pStyle w:val="051Tabletext228pt"/>
              <w:spacing w:before="20" w:after="20"/>
            </w:pPr>
            <w:r w:rsidRPr="00B0485F">
              <w:t>Complications</w:t>
            </w:r>
          </w:p>
          <w:p w14:paraId="1157033D" w14:textId="77777777" w:rsidR="00482AB0" w:rsidRPr="00B0485F" w:rsidRDefault="00482AB0" w:rsidP="00EA2441">
            <w:pPr>
              <w:pStyle w:val="051Tabletext228pt"/>
              <w:spacing w:before="20" w:after="20"/>
            </w:pPr>
            <w:r w:rsidRPr="00B0485F">
              <w:t>Change in continence status</w:t>
            </w:r>
          </w:p>
          <w:p w14:paraId="5224051D" w14:textId="77777777" w:rsidR="00482AB0" w:rsidRPr="00B0485F" w:rsidRDefault="00482AB0" w:rsidP="00EA2441">
            <w:pPr>
              <w:pStyle w:val="051Tabletext228pt"/>
              <w:spacing w:before="20" w:after="20"/>
            </w:pPr>
            <w:r w:rsidRPr="00B0485F">
              <w:t>Improvement in continence status</w:t>
            </w:r>
          </w:p>
        </w:tc>
        <w:tc>
          <w:tcPr>
            <w:tcW w:w="1727" w:type="dxa"/>
          </w:tcPr>
          <w:p w14:paraId="4AE50E17" w14:textId="77777777" w:rsidR="00482AB0" w:rsidRPr="00B0485F" w:rsidRDefault="00482AB0" w:rsidP="00EA2441">
            <w:pPr>
              <w:pStyle w:val="051Tabletext228pt"/>
              <w:spacing w:before="20" w:after="20"/>
            </w:pPr>
            <w:r w:rsidRPr="00B0485F">
              <w:t>18 (mean)</w:t>
            </w:r>
          </w:p>
        </w:tc>
      </w:tr>
      <w:tr w:rsidR="00482AB0" w:rsidRPr="00B0485F" w14:paraId="7A229C98" w14:textId="77777777" w:rsidTr="00116789">
        <w:tc>
          <w:tcPr>
            <w:tcW w:w="1352" w:type="dxa"/>
          </w:tcPr>
          <w:p w14:paraId="3517399D" w14:textId="77777777" w:rsidR="00482AB0" w:rsidRPr="00B0485F" w:rsidRDefault="00482AB0" w:rsidP="00EA2441">
            <w:pPr>
              <w:pStyle w:val="051Tabletext228pt"/>
              <w:spacing w:before="20" w:after="20"/>
            </w:pPr>
            <w:r w:rsidRPr="00B0485F">
              <w:t>Wadie 2005</w:t>
            </w:r>
          </w:p>
          <w:p w14:paraId="570A1978" w14:textId="3BEFE08A" w:rsidR="00482AB0" w:rsidRPr="00B0485F" w:rsidRDefault="00482AB0" w:rsidP="00EA2441">
            <w:pPr>
              <w:pStyle w:val="051Tabletext228pt"/>
              <w:spacing w:before="20" w:after="20"/>
            </w:pPr>
          </w:p>
        </w:tc>
        <w:tc>
          <w:tcPr>
            <w:tcW w:w="2170" w:type="dxa"/>
          </w:tcPr>
          <w:p w14:paraId="2B877C92" w14:textId="77777777" w:rsidR="00482AB0" w:rsidRDefault="00482AB0" w:rsidP="00EA2441">
            <w:pPr>
              <w:pStyle w:val="051Tabletext228pt"/>
              <w:spacing w:before="20" w:after="20"/>
            </w:pPr>
            <w:r w:rsidRPr="00B0485F">
              <w:t>Primary SUI</w:t>
            </w:r>
          </w:p>
          <w:p w14:paraId="397FFDD7" w14:textId="6DB4FB0B" w:rsidR="00116789" w:rsidRPr="00B0485F" w:rsidRDefault="00116789" w:rsidP="00EA2441">
            <w:pPr>
              <w:pStyle w:val="051Tabletext228pt"/>
              <w:spacing w:before="20" w:after="20"/>
            </w:pPr>
            <w:r>
              <w:t>N=53</w:t>
            </w:r>
          </w:p>
        </w:tc>
        <w:tc>
          <w:tcPr>
            <w:tcW w:w="1873" w:type="dxa"/>
          </w:tcPr>
          <w:p w14:paraId="7E39F47F" w14:textId="77777777" w:rsidR="00482AB0" w:rsidRPr="00B0485F" w:rsidRDefault="00482AB0" w:rsidP="00EA2441">
            <w:pPr>
              <w:pStyle w:val="051Tabletext228pt"/>
              <w:spacing w:before="20" w:after="20"/>
            </w:pPr>
            <w:r w:rsidRPr="00B0485F">
              <w:t>Rectus fascial sling</w:t>
            </w:r>
          </w:p>
          <w:p w14:paraId="1065B2B6" w14:textId="77777777" w:rsidR="00482AB0" w:rsidRPr="00B0485F" w:rsidRDefault="00482AB0" w:rsidP="00EA2441">
            <w:pPr>
              <w:pStyle w:val="051Tabletext228pt"/>
              <w:spacing w:before="20" w:after="20"/>
            </w:pPr>
            <w:r w:rsidRPr="00B0485F">
              <w:t>TVT</w:t>
            </w:r>
          </w:p>
        </w:tc>
        <w:tc>
          <w:tcPr>
            <w:tcW w:w="2516" w:type="dxa"/>
          </w:tcPr>
          <w:p w14:paraId="2885AC49" w14:textId="77777777" w:rsidR="00482AB0" w:rsidRPr="00B0485F" w:rsidRDefault="00482AB0" w:rsidP="00EA2441">
            <w:pPr>
              <w:pStyle w:val="051Tabletext228pt"/>
              <w:spacing w:before="20" w:after="20"/>
            </w:pPr>
            <w:r w:rsidRPr="00B0485F">
              <w:t>AEs</w:t>
            </w:r>
          </w:p>
          <w:p w14:paraId="2B2F40E4" w14:textId="77777777" w:rsidR="00482AB0" w:rsidRPr="00B0485F" w:rsidRDefault="00482AB0" w:rsidP="00EA2441">
            <w:pPr>
              <w:pStyle w:val="051Tabletext228pt"/>
              <w:spacing w:before="20" w:after="20"/>
            </w:pPr>
            <w:r w:rsidRPr="00B0485F">
              <w:t>Complications</w:t>
            </w:r>
          </w:p>
          <w:p w14:paraId="4ED93289" w14:textId="77777777" w:rsidR="00482AB0" w:rsidRPr="00B0485F" w:rsidRDefault="00482AB0" w:rsidP="00EA2441">
            <w:pPr>
              <w:pStyle w:val="051Tabletext228pt"/>
              <w:spacing w:before="20" w:after="20"/>
            </w:pPr>
            <w:r w:rsidRPr="00B0485F">
              <w:t>Change in continence status</w:t>
            </w:r>
          </w:p>
        </w:tc>
        <w:tc>
          <w:tcPr>
            <w:tcW w:w="1727" w:type="dxa"/>
          </w:tcPr>
          <w:p w14:paraId="7D748516" w14:textId="77777777" w:rsidR="00482AB0" w:rsidRPr="00B0485F" w:rsidRDefault="00482AB0" w:rsidP="00EA2441">
            <w:pPr>
              <w:pStyle w:val="051Tabletext228pt"/>
              <w:spacing w:before="20" w:after="20"/>
            </w:pPr>
            <w:r w:rsidRPr="00B0485F">
              <w:t>6</w:t>
            </w:r>
          </w:p>
        </w:tc>
      </w:tr>
      <w:tr w:rsidR="00482AB0" w:rsidRPr="00B0485F" w14:paraId="35614A59" w14:textId="77777777" w:rsidTr="00116789">
        <w:tc>
          <w:tcPr>
            <w:tcW w:w="1352" w:type="dxa"/>
          </w:tcPr>
          <w:p w14:paraId="1CDE59F3" w14:textId="77777777" w:rsidR="00482AB0" w:rsidRPr="00B0485F" w:rsidRDefault="00482AB0" w:rsidP="00EA2441">
            <w:pPr>
              <w:pStyle w:val="051Tabletext228pt"/>
              <w:spacing w:before="20" w:after="20"/>
            </w:pPr>
            <w:r w:rsidRPr="00B0485F">
              <w:t>Wadie 2010</w:t>
            </w:r>
          </w:p>
          <w:p w14:paraId="192D73F4" w14:textId="39C04DE5" w:rsidR="00482AB0" w:rsidRPr="00B0485F" w:rsidRDefault="00482AB0" w:rsidP="00EA2441">
            <w:pPr>
              <w:pStyle w:val="051Tabletext228pt"/>
              <w:spacing w:before="20" w:after="20"/>
            </w:pPr>
          </w:p>
        </w:tc>
        <w:tc>
          <w:tcPr>
            <w:tcW w:w="2170" w:type="dxa"/>
          </w:tcPr>
          <w:p w14:paraId="1F17326F" w14:textId="77777777" w:rsidR="00482AB0" w:rsidRDefault="00482AB0" w:rsidP="00EA2441">
            <w:pPr>
              <w:pStyle w:val="051Tabletext228pt"/>
              <w:spacing w:before="20" w:after="20"/>
            </w:pPr>
            <w:r w:rsidRPr="00B0485F">
              <w:t>SUI</w:t>
            </w:r>
          </w:p>
          <w:p w14:paraId="7FC625B6" w14:textId="61FDBE3C" w:rsidR="00116789" w:rsidRPr="00B0485F" w:rsidRDefault="00116789" w:rsidP="00EA2441">
            <w:pPr>
              <w:pStyle w:val="051Tabletext228pt"/>
              <w:spacing w:before="20" w:after="20"/>
            </w:pPr>
            <w:r>
              <w:t>N=63</w:t>
            </w:r>
          </w:p>
        </w:tc>
        <w:tc>
          <w:tcPr>
            <w:tcW w:w="1873" w:type="dxa"/>
          </w:tcPr>
          <w:p w14:paraId="6FA1C1A8" w14:textId="77777777" w:rsidR="00482AB0" w:rsidRPr="00B0485F" w:rsidRDefault="00482AB0" w:rsidP="00EA2441">
            <w:pPr>
              <w:pStyle w:val="051Tabletext228pt"/>
              <w:spacing w:before="20" w:after="20"/>
            </w:pPr>
            <w:r w:rsidRPr="00B0485F">
              <w:t>Rectus fascial sling</w:t>
            </w:r>
          </w:p>
          <w:p w14:paraId="2B8F44B1" w14:textId="77777777" w:rsidR="00482AB0" w:rsidRPr="00B0485F" w:rsidRDefault="00482AB0" w:rsidP="00EA2441">
            <w:pPr>
              <w:pStyle w:val="051Tabletext228pt"/>
              <w:spacing w:before="20" w:after="20"/>
            </w:pPr>
            <w:r w:rsidRPr="00B0485F">
              <w:t>TVT</w:t>
            </w:r>
          </w:p>
        </w:tc>
        <w:tc>
          <w:tcPr>
            <w:tcW w:w="2516" w:type="dxa"/>
          </w:tcPr>
          <w:p w14:paraId="324AFB1D" w14:textId="77777777" w:rsidR="00482AB0" w:rsidRPr="00B0485F" w:rsidRDefault="00482AB0" w:rsidP="00EA2441">
            <w:pPr>
              <w:pStyle w:val="051Tabletext228pt"/>
              <w:spacing w:before="20" w:after="20"/>
            </w:pPr>
            <w:r w:rsidRPr="00B0485F">
              <w:t>AEs</w:t>
            </w:r>
          </w:p>
          <w:p w14:paraId="019065F3" w14:textId="77777777" w:rsidR="00482AB0" w:rsidRPr="00B0485F" w:rsidRDefault="00482AB0" w:rsidP="00EA2441">
            <w:pPr>
              <w:pStyle w:val="051Tabletext228pt"/>
              <w:spacing w:before="20" w:after="20"/>
            </w:pPr>
            <w:r w:rsidRPr="00B0485F">
              <w:t>Complications</w:t>
            </w:r>
          </w:p>
          <w:p w14:paraId="1BA3C9A9" w14:textId="77777777" w:rsidR="00482AB0" w:rsidRPr="00B0485F" w:rsidRDefault="00482AB0" w:rsidP="00EA2441">
            <w:pPr>
              <w:pStyle w:val="051Tabletext228pt"/>
              <w:spacing w:before="20" w:after="20"/>
            </w:pPr>
            <w:r w:rsidRPr="00B0485F">
              <w:t>Change in continence status</w:t>
            </w:r>
          </w:p>
        </w:tc>
        <w:tc>
          <w:tcPr>
            <w:tcW w:w="1727" w:type="dxa"/>
          </w:tcPr>
          <w:p w14:paraId="757C1C94" w14:textId="77777777" w:rsidR="00482AB0" w:rsidRPr="00B0485F" w:rsidRDefault="00482AB0" w:rsidP="00EA2441">
            <w:pPr>
              <w:pStyle w:val="051Tabletext228pt"/>
              <w:spacing w:before="20" w:after="20"/>
            </w:pPr>
            <w:r w:rsidRPr="00B0485F">
              <w:t>54 (median)</w:t>
            </w:r>
          </w:p>
        </w:tc>
      </w:tr>
    </w:tbl>
    <w:p w14:paraId="58267398" w14:textId="3917307E" w:rsidR="0020425D" w:rsidRDefault="0020425D" w:rsidP="00482AB0">
      <w:pPr>
        <w:pStyle w:val="101Tablefootnotes8pt"/>
      </w:pPr>
      <w:r>
        <w:t xml:space="preserve">Source: NICE Guideline Evidence review </w:t>
      </w:r>
      <w:r w:rsidR="00245CE2">
        <w:rPr>
          <w:noProof/>
        </w:rPr>
        <w:t>(NICE 2019b)</w:t>
      </w:r>
    </w:p>
    <w:p w14:paraId="4F429272" w14:textId="339E3A11" w:rsidR="00116789" w:rsidRDefault="00116789" w:rsidP="00482AB0">
      <w:pPr>
        <w:pStyle w:val="101Tablefootnotes8pt"/>
      </w:pPr>
      <w:r w:rsidRPr="00B0485F">
        <w:t xml:space="preserve">Abbreviations: AE, adverse event; </w:t>
      </w:r>
      <w:proofErr w:type="spellStart"/>
      <w:r w:rsidR="0006461F">
        <w:t>HRQoL</w:t>
      </w:r>
      <w:proofErr w:type="spellEnd"/>
      <w:r w:rsidR="0006461F">
        <w:t xml:space="preserve">, health-related quality of life; </w:t>
      </w:r>
      <w:r w:rsidRPr="00B0485F">
        <w:t xml:space="preserve">MUI, mixed urinary incontinence; SUI, stress urinary incontinence; TOT, </w:t>
      </w:r>
      <w:proofErr w:type="spellStart"/>
      <w:r w:rsidRPr="00B0485F">
        <w:t>transobturator</w:t>
      </w:r>
      <w:proofErr w:type="spellEnd"/>
      <w:r w:rsidRPr="00B0485F">
        <w:t xml:space="preserve"> outside-in mesh sling; TVT, retropubic bottom-up tension-free vaginal mesh sling; USI, urodynamic stress incontinence.</w:t>
      </w:r>
    </w:p>
    <w:p w14:paraId="706DFBD7" w14:textId="022FE304" w:rsidR="00482AB0" w:rsidRPr="00B0485F" w:rsidRDefault="00482AB0" w:rsidP="00482AB0">
      <w:pPr>
        <w:pStyle w:val="101Tablefootnotes8pt"/>
      </w:pPr>
      <w:r w:rsidRPr="00B0485F">
        <w:rPr>
          <w:vertAlign w:val="superscript"/>
        </w:rPr>
        <w:t>1</w:t>
      </w:r>
      <w:r w:rsidRPr="00B0485F">
        <w:t xml:space="preserve"> Bai 2005 was a 3-arm study (see </w:t>
      </w:r>
      <w:r w:rsidR="00B568EF">
        <w:fldChar w:fldCharType="begin"/>
      </w:r>
      <w:r w:rsidR="00B568EF">
        <w:instrText xml:space="preserve"> REF _Ref132275701 \h </w:instrText>
      </w:r>
      <w:r w:rsidR="00B568EF">
        <w:fldChar w:fldCharType="separate"/>
      </w:r>
      <w:r w:rsidR="007105D3" w:rsidRPr="00B0485F">
        <w:t xml:space="preserve">Table App. </w:t>
      </w:r>
      <w:r w:rsidR="007105D3">
        <w:rPr>
          <w:noProof/>
        </w:rPr>
        <w:t>3</w:t>
      </w:r>
      <w:r w:rsidR="00B568EF">
        <w:fldChar w:fldCharType="end"/>
      </w:r>
      <w:r w:rsidRPr="00B0485F">
        <w:t xml:space="preserve"> for results of Burch </w:t>
      </w:r>
      <w:proofErr w:type="spellStart"/>
      <w:r w:rsidRPr="00B0485F">
        <w:t>colposuspension</w:t>
      </w:r>
      <w:proofErr w:type="spellEnd"/>
      <w:r w:rsidRPr="00B0485F">
        <w:t xml:space="preserve"> (n=33) versus TVT)</w:t>
      </w:r>
    </w:p>
    <w:p w14:paraId="46635A32" w14:textId="77777777" w:rsidR="00482AB0" w:rsidRPr="00B0485F" w:rsidRDefault="00482AB0" w:rsidP="00482AB0">
      <w:pPr>
        <w:pStyle w:val="101Tablefootnotes8pt"/>
      </w:pPr>
      <w:r w:rsidRPr="00B0485F">
        <w:rPr>
          <w:vertAlign w:val="superscript"/>
        </w:rPr>
        <w:t xml:space="preserve">2 </w:t>
      </w:r>
      <w:r w:rsidRPr="00B0485F">
        <w:t>Sample size is for TVT and rectus fascial sling arms only</w:t>
      </w:r>
    </w:p>
    <w:p w14:paraId="6C880A00" w14:textId="77777777" w:rsidR="00482AB0" w:rsidRPr="00B0485F" w:rsidRDefault="00482AB0" w:rsidP="00482AB0">
      <w:pPr>
        <w:pStyle w:val="101Tablefootnotes8pt"/>
      </w:pPr>
      <w:r w:rsidRPr="00B0485F">
        <w:rPr>
          <w:vertAlign w:val="superscript"/>
        </w:rPr>
        <w:t>3</w:t>
      </w:r>
      <w:r w:rsidRPr="00B0485F">
        <w:t xml:space="preserve"> Guerrero 2010 was a 3-arm study (porcine dermis sling comparator out of scope for current review)</w:t>
      </w:r>
    </w:p>
    <w:p w14:paraId="39F49A09" w14:textId="77777777" w:rsidR="00482AB0" w:rsidRPr="00B0485F" w:rsidRDefault="00482AB0" w:rsidP="00116789">
      <w:pPr>
        <w:pStyle w:val="111Tablefootnoteslast-nostick8pt"/>
      </w:pPr>
      <w:r w:rsidRPr="00B0485F">
        <w:rPr>
          <w:vertAlign w:val="superscript"/>
        </w:rPr>
        <w:t xml:space="preserve">4 </w:t>
      </w:r>
      <w:proofErr w:type="spellStart"/>
      <w:r w:rsidRPr="00B0485F">
        <w:t>Teleb</w:t>
      </w:r>
      <w:proofErr w:type="spellEnd"/>
      <w:r w:rsidRPr="00B0485F">
        <w:t xml:space="preserve"> 2011 was a 3-arm study (vaginal wall sling comparator out of scope for current review)</w:t>
      </w:r>
    </w:p>
    <w:p w14:paraId="2ECFC3DD" w14:textId="7D79475A" w:rsidR="005403C2" w:rsidRDefault="005403C2" w:rsidP="005403C2">
      <w:pPr>
        <w:pStyle w:val="Heading9"/>
      </w:pPr>
      <w:bookmarkStart w:id="209" w:name="_Ref165620287"/>
      <w:bookmarkStart w:id="210" w:name="_Ref130547105"/>
      <w:r>
        <w:t>TO-MUS versus RP-MUS</w:t>
      </w:r>
      <w:bookmarkEnd w:id="209"/>
    </w:p>
    <w:p w14:paraId="530AE258" w14:textId="7539B36E" w:rsidR="00065A05" w:rsidRPr="00B0485F" w:rsidRDefault="00065A05" w:rsidP="00065A05">
      <w:pPr>
        <w:pStyle w:val="Caption"/>
      </w:pPr>
      <w:bookmarkStart w:id="211" w:name="_Ref132276530"/>
      <w:bookmarkStart w:id="212" w:name="_Toc165627908"/>
      <w:r w:rsidRPr="00B0485F">
        <w:t xml:space="preserve">Table App. </w:t>
      </w:r>
      <w:fldSimple w:instr=" SEQ Table_App. \* ARABIC ">
        <w:r w:rsidR="007105D3">
          <w:rPr>
            <w:noProof/>
          </w:rPr>
          <w:t>5</w:t>
        </w:r>
      </w:fldSimple>
      <w:bookmarkEnd w:id="210"/>
      <w:bookmarkEnd w:id="211"/>
      <w:r w:rsidRPr="00B0485F">
        <w:tab/>
        <w:t xml:space="preserve">Summary of included RCTs for </w:t>
      </w:r>
      <w:r w:rsidR="005403C2">
        <w:t>TO-MUS</w:t>
      </w:r>
      <w:r w:rsidRPr="00B0485F">
        <w:t xml:space="preserve"> versus </w:t>
      </w:r>
      <w:r w:rsidR="005403C2">
        <w:t>RP-MUS</w:t>
      </w:r>
      <w:bookmarkEnd w:id="212"/>
    </w:p>
    <w:tbl>
      <w:tblPr>
        <w:tblStyle w:val="TableGrid"/>
        <w:tblW w:w="5000" w:type="pct"/>
        <w:tblLook w:val="04A0" w:firstRow="1" w:lastRow="0" w:firstColumn="1" w:lastColumn="0" w:noHBand="0" w:noVBand="1"/>
        <w:tblCaption w:val="Summary of included RCTs for TO-MUS versus RP-MUS (from NICE)"/>
        <w:tblDescription w:val="This table summarises the study characteristics of the relevant included RCTs from the NICE evidence review for TO-MUS versus RP-MUS. The study ID, participants, intervention, comparator, outcomes and length of follow-up are presented. "/>
      </w:tblPr>
      <w:tblGrid>
        <w:gridCol w:w="1323"/>
        <w:gridCol w:w="2170"/>
        <w:gridCol w:w="1829"/>
        <w:gridCol w:w="2508"/>
        <w:gridCol w:w="1808"/>
      </w:tblGrid>
      <w:tr w:rsidR="004237EA" w:rsidRPr="00B0485F" w14:paraId="0C8E6F4C" w14:textId="77777777" w:rsidTr="00116789">
        <w:trPr>
          <w:cnfStyle w:val="100000000000" w:firstRow="1" w:lastRow="0" w:firstColumn="0" w:lastColumn="0" w:oddVBand="0" w:evenVBand="0" w:oddHBand="0" w:evenHBand="0" w:firstRowFirstColumn="0" w:firstRowLastColumn="0" w:lastRowFirstColumn="0" w:lastRowLastColumn="0"/>
        </w:trPr>
        <w:tc>
          <w:tcPr>
            <w:tcW w:w="1323" w:type="dxa"/>
          </w:tcPr>
          <w:p w14:paraId="12E7B41B" w14:textId="0D168556" w:rsidR="00065A05" w:rsidRPr="00B0485F" w:rsidRDefault="00065A05" w:rsidP="00EA2441">
            <w:pPr>
              <w:pStyle w:val="011TableHeading8pt"/>
              <w:spacing w:before="20" w:after="20" w:line="240" w:lineRule="auto"/>
            </w:pPr>
            <w:r w:rsidRPr="00B0485F">
              <w:t>Study ID</w:t>
            </w:r>
          </w:p>
        </w:tc>
        <w:tc>
          <w:tcPr>
            <w:tcW w:w="2170" w:type="dxa"/>
          </w:tcPr>
          <w:p w14:paraId="5DF52DEC" w14:textId="77777777" w:rsidR="00065A05" w:rsidRPr="00B0485F" w:rsidRDefault="00065A05" w:rsidP="00EA2441">
            <w:pPr>
              <w:pStyle w:val="011TableHeading8pt"/>
              <w:spacing w:before="20" w:after="20" w:line="240" w:lineRule="auto"/>
            </w:pPr>
            <w:r w:rsidRPr="00B0485F">
              <w:t>Participants</w:t>
            </w:r>
          </w:p>
        </w:tc>
        <w:tc>
          <w:tcPr>
            <w:tcW w:w="1829" w:type="dxa"/>
          </w:tcPr>
          <w:p w14:paraId="21EFA6D4" w14:textId="77777777" w:rsidR="00065A05" w:rsidRPr="00B0485F" w:rsidRDefault="00065A05" w:rsidP="00EA2441">
            <w:pPr>
              <w:pStyle w:val="011TableHeading8pt"/>
              <w:spacing w:before="20" w:after="20" w:line="240" w:lineRule="auto"/>
            </w:pPr>
            <w:r w:rsidRPr="00B0485F">
              <w:t>Intervention</w:t>
            </w:r>
          </w:p>
          <w:p w14:paraId="01DFE2AB" w14:textId="77777777" w:rsidR="00065A05" w:rsidRPr="00B0485F" w:rsidRDefault="00065A05" w:rsidP="00EA2441">
            <w:pPr>
              <w:pStyle w:val="011TableHeading8pt"/>
              <w:spacing w:before="20" w:after="20" w:line="240" w:lineRule="auto"/>
            </w:pPr>
            <w:r w:rsidRPr="00B0485F">
              <w:t>Comparator</w:t>
            </w:r>
          </w:p>
        </w:tc>
        <w:tc>
          <w:tcPr>
            <w:tcW w:w="2508" w:type="dxa"/>
          </w:tcPr>
          <w:p w14:paraId="050770D3" w14:textId="77777777" w:rsidR="00065A05" w:rsidRPr="00B0485F" w:rsidRDefault="00065A05" w:rsidP="00EA2441">
            <w:pPr>
              <w:pStyle w:val="011TableHeading8pt"/>
              <w:spacing w:before="20" w:after="20" w:line="240" w:lineRule="auto"/>
            </w:pPr>
            <w:r w:rsidRPr="00B0485F">
              <w:t>Outcomes</w:t>
            </w:r>
          </w:p>
        </w:tc>
        <w:tc>
          <w:tcPr>
            <w:tcW w:w="1808" w:type="dxa"/>
          </w:tcPr>
          <w:p w14:paraId="097FF2B3" w14:textId="77777777" w:rsidR="00065A05" w:rsidRPr="00B0485F" w:rsidRDefault="00065A05" w:rsidP="00EA2441">
            <w:pPr>
              <w:pStyle w:val="011TableHeading8pt"/>
              <w:spacing w:before="20" w:after="20" w:line="240" w:lineRule="auto"/>
            </w:pPr>
            <w:r w:rsidRPr="00B0485F">
              <w:t>Follow-up (months)</w:t>
            </w:r>
          </w:p>
        </w:tc>
      </w:tr>
      <w:tr w:rsidR="00C50BC9" w:rsidRPr="00B0485F" w14:paraId="07B97149" w14:textId="77777777" w:rsidTr="00116789">
        <w:tc>
          <w:tcPr>
            <w:tcW w:w="1323" w:type="dxa"/>
          </w:tcPr>
          <w:p w14:paraId="5DC9B3AC" w14:textId="2A707BB5" w:rsidR="00065A05" w:rsidRPr="00B0485F" w:rsidRDefault="00065A05" w:rsidP="00EA2441">
            <w:pPr>
              <w:pStyle w:val="051Tabletext228pt"/>
              <w:spacing w:before="20" w:after="20"/>
            </w:pPr>
            <w:proofErr w:type="spellStart"/>
            <w:r w:rsidRPr="00B0485F">
              <w:t>Aigmuller</w:t>
            </w:r>
            <w:proofErr w:type="spellEnd"/>
            <w:r w:rsidRPr="00B0485F">
              <w:t xml:space="preserve"> 2014/ </w:t>
            </w:r>
            <w:proofErr w:type="spellStart"/>
            <w:r w:rsidRPr="00B0485F">
              <w:t>Tammaa</w:t>
            </w:r>
            <w:proofErr w:type="spellEnd"/>
            <w:r w:rsidRPr="00B0485F">
              <w:t xml:space="preserve"> 2017</w:t>
            </w:r>
          </w:p>
        </w:tc>
        <w:tc>
          <w:tcPr>
            <w:tcW w:w="2170" w:type="dxa"/>
          </w:tcPr>
          <w:p w14:paraId="7D37DCC7" w14:textId="77777777" w:rsidR="00065A05" w:rsidRDefault="00065A05" w:rsidP="00EA2441">
            <w:pPr>
              <w:pStyle w:val="051Tabletext228pt"/>
              <w:spacing w:before="20" w:after="20"/>
            </w:pPr>
            <w:r w:rsidRPr="00B0485F">
              <w:t>Incontinence surgery-naïve USI</w:t>
            </w:r>
          </w:p>
          <w:p w14:paraId="1DFEA8D3" w14:textId="6F52C470" w:rsidR="00065A05" w:rsidRPr="00B0485F" w:rsidRDefault="00825A7E" w:rsidP="00EA2441">
            <w:pPr>
              <w:pStyle w:val="051Tabletext228pt"/>
              <w:spacing w:before="20" w:after="20"/>
            </w:pPr>
            <w:r>
              <w:t>N=569</w:t>
            </w:r>
          </w:p>
        </w:tc>
        <w:tc>
          <w:tcPr>
            <w:tcW w:w="1829" w:type="dxa"/>
          </w:tcPr>
          <w:p w14:paraId="4D9F6A3D" w14:textId="77777777" w:rsidR="00065A05" w:rsidRPr="00B0485F" w:rsidRDefault="00065A05" w:rsidP="00EA2441">
            <w:pPr>
              <w:pStyle w:val="051Tabletext228pt"/>
              <w:spacing w:before="20" w:after="20"/>
            </w:pPr>
            <w:r w:rsidRPr="00B0485F">
              <w:t>TVT-O</w:t>
            </w:r>
          </w:p>
          <w:p w14:paraId="77BB79DA" w14:textId="77777777" w:rsidR="00065A05" w:rsidRPr="00B0485F" w:rsidRDefault="00065A05" w:rsidP="00EA2441">
            <w:pPr>
              <w:pStyle w:val="051Tabletext228pt"/>
              <w:spacing w:before="20" w:after="20"/>
            </w:pPr>
            <w:r w:rsidRPr="00B0485F">
              <w:t>TVT</w:t>
            </w:r>
          </w:p>
        </w:tc>
        <w:tc>
          <w:tcPr>
            <w:tcW w:w="2508" w:type="dxa"/>
          </w:tcPr>
          <w:p w14:paraId="6E3E9C46" w14:textId="3846981C" w:rsidR="00065A05" w:rsidRPr="00B0485F" w:rsidRDefault="00065A05" w:rsidP="00EA2441">
            <w:pPr>
              <w:pStyle w:val="051Tabletext228pt"/>
              <w:spacing w:before="20" w:after="20"/>
            </w:pPr>
            <w:r w:rsidRPr="00B0485F">
              <w:t xml:space="preserve">Continence-specific </w:t>
            </w:r>
            <w:proofErr w:type="spellStart"/>
            <w:r w:rsidR="00E04DEA">
              <w:t>HR</w:t>
            </w:r>
            <w:r w:rsidRPr="00B0485F">
              <w:t>QoL</w:t>
            </w:r>
            <w:proofErr w:type="spellEnd"/>
          </w:p>
          <w:p w14:paraId="72FE21D6" w14:textId="624A6446" w:rsidR="00065A05" w:rsidRPr="00B0485F" w:rsidRDefault="003E2819" w:rsidP="00EA2441">
            <w:pPr>
              <w:pStyle w:val="051Tabletext228pt"/>
              <w:spacing w:before="20" w:after="20"/>
            </w:pPr>
            <w:r>
              <w:t>AE</w:t>
            </w:r>
            <w:r w:rsidR="00065A05" w:rsidRPr="00B0485F">
              <w:t xml:space="preserve">s </w:t>
            </w:r>
          </w:p>
          <w:p w14:paraId="1A650B0D" w14:textId="77777777" w:rsidR="00065A05" w:rsidRPr="00B0485F" w:rsidRDefault="00065A05" w:rsidP="00EA2441">
            <w:pPr>
              <w:pStyle w:val="051Tabletext228pt"/>
              <w:spacing w:before="20" w:after="20"/>
            </w:pPr>
            <w:r w:rsidRPr="00B0485F">
              <w:t xml:space="preserve">Complications </w:t>
            </w:r>
          </w:p>
          <w:p w14:paraId="3165B263" w14:textId="77777777" w:rsidR="00065A05" w:rsidRPr="00B0485F" w:rsidRDefault="00065A05" w:rsidP="00EA2441">
            <w:pPr>
              <w:pStyle w:val="051Tabletext228pt"/>
              <w:spacing w:before="20" w:after="20"/>
            </w:pPr>
            <w:r w:rsidRPr="00B0485F">
              <w:t xml:space="preserve">Change in continence status </w:t>
            </w:r>
          </w:p>
          <w:p w14:paraId="25795071" w14:textId="77777777" w:rsidR="00065A05" w:rsidRPr="00B0485F" w:rsidRDefault="00065A05" w:rsidP="00EA2441">
            <w:pPr>
              <w:pStyle w:val="051Tabletext228pt"/>
              <w:spacing w:before="20" w:after="20"/>
            </w:pPr>
            <w:r w:rsidRPr="00B0485F">
              <w:t>Repeat surgery</w:t>
            </w:r>
          </w:p>
        </w:tc>
        <w:tc>
          <w:tcPr>
            <w:tcW w:w="1808" w:type="dxa"/>
          </w:tcPr>
          <w:p w14:paraId="3A0FB5AD" w14:textId="24D386E4" w:rsidR="00065A05" w:rsidRPr="00B0485F" w:rsidRDefault="00065A05" w:rsidP="00EA2441">
            <w:pPr>
              <w:pStyle w:val="051Tabletext228pt"/>
              <w:spacing w:before="20" w:after="20"/>
            </w:pPr>
            <w:r w:rsidRPr="00B0485F">
              <w:t>3/60</w:t>
            </w:r>
          </w:p>
        </w:tc>
      </w:tr>
      <w:tr w:rsidR="00C50BC9" w:rsidRPr="00B0485F" w14:paraId="7C367176" w14:textId="77777777" w:rsidTr="00116789">
        <w:tc>
          <w:tcPr>
            <w:tcW w:w="1323" w:type="dxa"/>
          </w:tcPr>
          <w:p w14:paraId="3FBF58C1" w14:textId="14882EDA" w:rsidR="00065A05" w:rsidRPr="00B0485F" w:rsidRDefault="00065A05" w:rsidP="00EA2441">
            <w:pPr>
              <w:pStyle w:val="051Tabletext228pt"/>
              <w:spacing w:before="20" w:after="20"/>
            </w:pPr>
            <w:proofErr w:type="spellStart"/>
            <w:r w:rsidRPr="00B0485F">
              <w:t>Alkady</w:t>
            </w:r>
            <w:proofErr w:type="spellEnd"/>
            <w:r w:rsidRPr="00B0485F">
              <w:t xml:space="preserve"> 2009</w:t>
            </w:r>
          </w:p>
        </w:tc>
        <w:tc>
          <w:tcPr>
            <w:tcW w:w="2170" w:type="dxa"/>
          </w:tcPr>
          <w:p w14:paraId="08E5C92D" w14:textId="77777777" w:rsidR="00065A05" w:rsidRDefault="00065A05" w:rsidP="00EA2441">
            <w:pPr>
              <w:pStyle w:val="051Tabletext228pt"/>
              <w:spacing w:before="20" w:after="20"/>
            </w:pPr>
            <w:r w:rsidRPr="00B0485F">
              <w:t xml:space="preserve">Pure USI or mixed UI without </w:t>
            </w:r>
            <w:proofErr w:type="spellStart"/>
            <w:r w:rsidRPr="00B0485F">
              <w:t>Urodynamically</w:t>
            </w:r>
            <w:proofErr w:type="spellEnd"/>
            <w:r w:rsidRPr="00B0485F">
              <w:t xml:space="preserve"> confirmed contraction</w:t>
            </w:r>
          </w:p>
          <w:p w14:paraId="2ABCB590" w14:textId="6BF54C68" w:rsidR="00065A05" w:rsidRPr="00B0485F" w:rsidRDefault="00E04DEA" w:rsidP="00EA2441">
            <w:pPr>
              <w:pStyle w:val="051Tabletext228pt"/>
              <w:spacing w:before="20" w:after="20"/>
            </w:pPr>
            <w:r>
              <w:t>N=30</w:t>
            </w:r>
          </w:p>
        </w:tc>
        <w:tc>
          <w:tcPr>
            <w:tcW w:w="1829" w:type="dxa"/>
          </w:tcPr>
          <w:p w14:paraId="248E19CD" w14:textId="77777777" w:rsidR="00065A05" w:rsidRPr="00B0485F" w:rsidRDefault="00065A05" w:rsidP="00EA2441">
            <w:pPr>
              <w:pStyle w:val="051Tabletext228pt"/>
              <w:spacing w:before="20" w:after="20"/>
            </w:pPr>
            <w:r w:rsidRPr="00B0485F">
              <w:t>TVT-O</w:t>
            </w:r>
          </w:p>
          <w:p w14:paraId="7A8081B2" w14:textId="77777777" w:rsidR="00065A05" w:rsidRPr="00B0485F" w:rsidRDefault="00065A05" w:rsidP="00EA2441">
            <w:pPr>
              <w:pStyle w:val="051Tabletext228pt"/>
              <w:spacing w:before="20" w:after="20"/>
            </w:pPr>
            <w:r w:rsidRPr="00B0485F">
              <w:t>TVT</w:t>
            </w:r>
          </w:p>
        </w:tc>
        <w:tc>
          <w:tcPr>
            <w:tcW w:w="2508" w:type="dxa"/>
          </w:tcPr>
          <w:p w14:paraId="2EFC7AA8" w14:textId="36ACA5DE" w:rsidR="00065A05" w:rsidRPr="00B0485F" w:rsidRDefault="00512581" w:rsidP="00EA2441">
            <w:pPr>
              <w:pStyle w:val="051Tabletext228pt"/>
              <w:spacing w:before="20" w:after="20"/>
            </w:pPr>
            <w:r>
              <w:t>AEs</w:t>
            </w:r>
          </w:p>
          <w:p w14:paraId="26FA5593" w14:textId="77777777" w:rsidR="00065A05" w:rsidRPr="00B0485F" w:rsidRDefault="00065A05" w:rsidP="00EA2441">
            <w:pPr>
              <w:pStyle w:val="051Tabletext228pt"/>
              <w:spacing w:before="20" w:after="20"/>
            </w:pPr>
            <w:r w:rsidRPr="00B0485F">
              <w:t xml:space="preserve">Complications </w:t>
            </w:r>
          </w:p>
          <w:p w14:paraId="6CB1BA5F" w14:textId="77777777" w:rsidR="00065A05" w:rsidRPr="00B0485F" w:rsidRDefault="00065A05" w:rsidP="00EA2441">
            <w:pPr>
              <w:pStyle w:val="051Tabletext228pt"/>
              <w:spacing w:before="20" w:after="20"/>
            </w:pPr>
            <w:r w:rsidRPr="00B0485F">
              <w:t xml:space="preserve">Change in continence status </w:t>
            </w:r>
          </w:p>
          <w:p w14:paraId="7947C3C5" w14:textId="77777777" w:rsidR="00065A05" w:rsidRPr="00B0485F" w:rsidRDefault="00065A05" w:rsidP="00EA2441">
            <w:pPr>
              <w:pStyle w:val="051Tabletext228pt"/>
              <w:spacing w:before="20" w:after="20"/>
            </w:pPr>
            <w:r w:rsidRPr="00B0485F">
              <w:t>Repeat surgery</w:t>
            </w:r>
          </w:p>
        </w:tc>
        <w:tc>
          <w:tcPr>
            <w:tcW w:w="1808" w:type="dxa"/>
          </w:tcPr>
          <w:p w14:paraId="512E671C" w14:textId="77777777" w:rsidR="00065A05" w:rsidRPr="00B0485F" w:rsidRDefault="00065A05" w:rsidP="00EA2441">
            <w:pPr>
              <w:pStyle w:val="051Tabletext228pt"/>
              <w:spacing w:before="20" w:after="20"/>
            </w:pPr>
            <w:r w:rsidRPr="00B0485F">
              <w:t>12</w:t>
            </w:r>
          </w:p>
        </w:tc>
      </w:tr>
      <w:tr w:rsidR="00C50BC9" w:rsidRPr="00B0485F" w14:paraId="2C36B143" w14:textId="77777777" w:rsidTr="00116789">
        <w:tc>
          <w:tcPr>
            <w:tcW w:w="1323" w:type="dxa"/>
          </w:tcPr>
          <w:p w14:paraId="4FABC955" w14:textId="77777777" w:rsidR="00065A05" w:rsidRPr="00B0485F" w:rsidRDefault="00065A05" w:rsidP="00EA2441">
            <w:pPr>
              <w:pStyle w:val="051Tabletext228pt"/>
              <w:spacing w:before="20" w:after="20"/>
            </w:pPr>
            <w:r w:rsidRPr="00B0485F">
              <w:t>Andonian 2007</w:t>
            </w:r>
          </w:p>
          <w:p w14:paraId="0C579953" w14:textId="00916F29" w:rsidR="00065A05" w:rsidRPr="00B0485F" w:rsidRDefault="00065A05" w:rsidP="00EA2441">
            <w:pPr>
              <w:pStyle w:val="051Tabletext228pt"/>
              <w:spacing w:before="20" w:after="20"/>
            </w:pPr>
          </w:p>
        </w:tc>
        <w:tc>
          <w:tcPr>
            <w:tcW w:w="2170" w:type="dxa"/>
          </w:tcPr>
          <w:p w14:paraId="323E333C" w14:textId="77777777" w:rsidR="00065A05" w:rsidRDefault="00065A05" w:rsidP="00EA2441">
            <w:pPr>
              <w:pStyle w:val="051Tabletext228pt"/>
              <w:spacing w:before="20" w:after="20"/>
            </w:pPr>
            <w:r w:rsidRPr="00B0485F">
              <w:t>SUI or stress-predominant MUI</w:t>
            </w:r>
          </w:p>
          <w:p w14:paraId="17A1B7A8" w14:textId="517E97C6" w:rsidR="004817DE" w:rsidRPr="00B0485F" w:rsidRDefault="004817DE" w:rsidP="00EA2441">
            <w:pPr>
              <w:pStyle w:val="051Tabletext228pt"/>
              <w:spacing w:before="20" w:after="20"/>
            </w:pPr>
            <w:r>
              <w:t>N=190</w:t>
            </w:r>
          </w:p>
        </w:tc>
        <w:tc>
          <w:tcPr>
            <w:tcW w:w="1829" w:type="dxa"/>
          </w:tcPr>
          <w:p w14:paraId="320F6BD8" w14:textId="77777777" w:rsidR="00065A05" w:rsidRPr="00B0485F" w:rsidRDefault="00065A05" w:rsidP="00EA2441">
            <w:pPr>
              <w:pStyle w:val="051Tabletext228pt"/>
              <w:spacing w:before="20" w:after="20"/>
            </w:pPr>
            <w:r w:rsidRPr="00B0485F">
              <w:t>TOT</w:t>
            </w:r>
          </w:p>
          <w:p w14:paraId="14A8FFB5" w14:textId="77777777" w:rsidR="00065A05" w:rsidRPr="00B0485F" w:rsidRDefault="00065A05" w:rsidP="00EA2441">
            <w:pPr>
              <w:pStyle w:val="051Tabletext228pt"/>
              <w:spacing w:before="20" w:after="20"/>
            </w:pPr>
            <w:r w:rsidRPr="00B0485F">
              <w:t xml:space="preserve">TVT or </w:t>
            </w:r>
            <w:r w:rsidRPr="0098745D">
              <w:t>DUPS</w:t>
            </w:r>
          </w:p>
        </w:tc>
        <w:tc>
          <w:tcPr>
            <w:tcW w:w="2508" w:type="dxa"/>
          </w:tcPr>
          <w:p w14:paraId="32668C1C" w14:textId="10443647" w:rsidR="00065A05" w:rsidRPr="00B0485F" w:rsidRDefault="00065A05" w:rsidP="00EA2441">
            <w:pPr>
              <w:pStyle w:val="051Tabletext228pt"/>
              <w:spacing w:before="20" w:after="20"/>
            </w:pPr>
            <w:r w:rsidRPr="00B0485F">
              <w:t xml:space="preserve">Continence-specific </w:t>
            </w:r>
            <w:proofErr w:type="spellStart"/>
            <w:r w:rsidR="00540815">
              <w:t>HR</w:t>
            </w:r>
            <w:r w:rsidRPr="00B0485F">
              <w:t>QoL</w:t>
            </w:r>
            <w:proofErr w:type="spellEnd"/>
          </w:p>
          <w:p w14:paraId="2319E158" w14:textId="40CCE8FF" w:rsidR="00065A05" w:rsidRPr="00B0485F" w:rsidRDefault="00065A05" w:rsidP="00EA2441">
            <w:pPr>
              <w:pStyle w:val="051Tabletext228pt"/>
              <w:spacing w:before="20" w:after="20"/>
            </w:pPr>
            <w:r w:rsidRPr="00B0485F">
              <w:t>A</w:t>
            </w:r>
            <w:r w:rsidR="00512581">
              <w:t>E</w:t>
            </w:r>
            <w:r w:rsidRPr="00B0485F">
              <w:t xml:space="preserve">s </w:t>
            </w:r>
          </w:p>
          <w:p w14:paraId="32E6B846" w14:textId="77777777" w:rsidR="00065A05" w:rsidRPr="00B0485F" w:rsidRDefault="00065A05" w:rsidP="00EA2441">
            <w:pPr>
              <w:pStyle w:val="051Tabletext228pt"/>
              <w:spacing w:before="20" w:after="20"/>
            </w:pPr>
            <w:r w:rsidRPr="00B0485F">
              <w:t xml:space="preserve">Complications </w:t>
            </w:r>
          </w:p>
          <w:p w14:paraId="58381DF6" w14:textId="77777777" w:rsidR="00065A05" w:rsidRPr="00B0485F" w:rsidRDefault="00065A05" w:rsidP="00EA2441">
            <w:pPr>
              <w:pStyle w:val="051Tabletext228pt"/>
              <w:spacing w:before="20" w:after="20"/>
            </w:pPr>
            <w:r w:rsidRPr="00B0485F">
              <w:t xml:space="preserve">Change in continence status </w:t>
            </w:r>
          </w:p>
          <w:p w14:paraId="7BE2399C" w14:textId="77777777" w:rsidR="00065A05" w:rsidRPr="00B0485F" w:rsidRDefault="00065A05" w:rsidP="00EA2441">
            <w:pPr>
              <w:pStyle w:val="051Tabletext228pt"/>
              <w:spacing w:before="20" w:after="20"/>
            </w:pPr>
            <w:r w:rsidRPr="00B0485F">
              <w:t>Repeat surgery</w:t>
            </w:r>
          </w:p>
        </w:tc>
        <w:tc>
          <w:tcPr>
            <w:tcW w:w="1808" w:type="dxa"/>
          </w:tcPr>
          <w:p w14:paraId="30C90E4F" w14:textId="77777777" w:rsidR="00065A05" w:rsidRPr="00B0485F" w:rsidRDefault="00065A05" w:rsidP="00EA2441">
            <w:pPr>
              <w:pStyle w:val="051Tabletext228pt"/>
              <w:spacing w:before="20" w:after="20"/>
            </w:pPr>
            <w:r w:rsidRPr="00B0485F">
              <w:t>12</w:t>
            </w:r>
          </w:p>
        </w:tc>
      </w:tr>
      <w:tr w:rsidR="00C50BC9" w:rsidRPr="00B0485F" w14:paraId="579013F8" w14:textId="77777777" w:rsidTr="00116789">
        <w:tc>
          <w:tcPr>
            <w:tcW w:w="1323" w:type="dxa"/>
          </w:tcPr>
          <w:p w14:paraId="493B1288" w14:textId="77777777" w:rsidR="00065A05" w:rsidRPr="00B0485F" w:rsidRDefault="00065A05" w:rsidP="00EA2441">
            <w:pPr>
              <w:pStyle w:val="051Tabletext228pt"/>
              <w:spacing w:before="20" w:after="20"/>
            </w:pPr>
            <w:proofErr w:type="spellStart"/>
            <w:r w:rsidRPr="00B0485F">
              <w:lastRenderedPageBreak/>
              <w:t>Aniuliene</w:t>
            </w:r>
            <w:proofErr w:type="spellEnd"/>
            <w:r w:rsidRPr="00B0485F">
              <w:t xml:space="preserve"> 2009</w:t>
            </w:r>
          </w:p>
          <w:p w14:paraId="7A42D846" w14:textId="167F232D" w:rsidR="00065A05" w:rsidRPr="00B0485F" w:rsidRDefault="00065A05" w:rsidP="00EA2441">
            <w:pPr>
              <w:pStyle w:val="051Tabletext228pt"/>
              <w:spacing w:before="20" w:after="20"/>
            </w:pPr>
          </w:p>
        </w:tc>
        <w:tc>
          <w:tcPr>
            <w:tcW w:w="2170" w:type="dxa"/>
          </w:tcPr>
          <w:p w14:paraId="5D35638F" w14:textId="77777777" w:rsidR="00065A05" w:rsidRDefault="00065A05" w:rsidP="00EA2441">
            <w:pPr>
              <w:pStyle w:val="051Tabletext228pt"/>
              <w:spacing w:before="20" w:after="20"/>
            </w:pPr>
            <w:r w:rsidRPr="00B0485F">
              <w:t>SUI and no OAB</w:t>
            </w:r>
          </w:p>
          <w:p w14:paraId="716FF2B5" w14:textId="741C6842" w:rsidR="004817DE" w:rsidRPr="00B0485F" w:rsidRDefault="004817DE" w:rsidP="00EA2441">
            <w:pPr>
              <w:pStyle w:val="051Tabletext228pt"/>
              <w:spacing w:before="20" w:after="20"/>
            </w:pPr>
            <w:r>
              <w:t>N=264</w:t>
            </w:r>
          </w:p>
        </w:tc>
        <w:tc>
          <w:tcPr>
            <w:tcW w:w="1829" w:type="dxa"/>
          </w:tcPr>
          <w:p w14:paraId="6EBEFE91" w14:textId="77777777" w:rsidR="00065A05" w:rsidRPr="00B0485F" w:rsidRDefault="00065A05" w:rsidP="00EA2441">
            <w:pPr>
              <w:pStyle w:val="051Tabletext228pt"/>
              <w:spacing w:before="20" w:after="20"/>
            </w:pPr>
            <w:r w:rsidRPr="00B0485F">
              <w:t>TVT-O</w:t>
            </w:r>
          </w:p>
          <w:p w14:paraId="3038E169" w14:textId="77777777" w:rsidR="00065A05" w:rsidRPr="00B0485F" w:rsidRDefault="00065A05" w:rsidP="00EA2441">
            <w:pPr>
              <w:pStyle w:val="051Tabletext228pt"/>
              <w:spacing w:before="20" w:after="20"/>
            </w:pPr>
            <w:r w:rsidRPr="00B0485F">
              <w:t>TVT</w:t>
            </w:r>
          </w:p>
        </w:tc>
        <w:tc>
          <w:tcPr>
            <w:tcW w:w="2508" w:type="dxa"/>
          </w:tcPr>
          <w:p w14:paraId="112C3FCE" w14:textId="408880D7" w:rsidR="00065A05" w:rsidRPr="00B0485F" w:rsidRDefault="00512581" w:rsidP="00EA2441">
            <w:pPr>
              <w:pStyle w:val="051Tabletext228pt"/>
              <w:spacing w:before="20" w:after="20"/>
            </w:pPr>
            <w:r>
              <w:t>AEs</w:t>
            </w:r>
          </w:p>
          <w:p w14:paraId="69988053" w14:textId="77777777" w:rsidR="00065A05" w:rsidRPr="00B0485F" w:rsidRDefault="00065A05" w:rsidP="00EA2441">
            <w:pPr>
              <w:pStyle w:val="051Tabletext228pt"/>
              <w:spacing w:before="20" w:after="20"/>
            </w:pPr>
            <w:r w:rsidRPr="00B0485F">
              <w:t xml:space="preserve">Complications </w:t>
            </w:r>
          </w:p>
          <w:p w14:paraId="1A7FDCBA" w14:textId="77777777" w:rsidR="00065A05" w:rsidRPr="00B0485F" w:rsidRDefault="00065A05" w:rsidP="00EA2441">
            <w:pPr>
              <w:pStyle w:val="051Tabletext228pt"/>
              <w:spacing w:before="20" w:after="20"/>
            </w:pPr>
            <w:r w:rsidRPr="00B0485F">
              <w:t xml:space="preserve">Change in continence status </w:t>
            </w:r>
          </w:p>
        </w:tc>
        <w:tc>
          <w:tcPr>
            <w:tcW w:w="1808" w:type="dxa"/>
          </w:tcPr>
          <w:p w14:paraId="3643869D" w14:textId="77777777" w:rsidR="00065A05" w:rsidRPr="00B0485F" w:rsidRDefault="00065A05" w:rsidP="00EA2441">
            <w:pPr>
              <w:pStyle w:val="051Tabletext228pt"/>
              <w:spacing w:before="20" w:after="20"/>
            </w:pPr>
            <w:r w:rsidRPr="00B0485F">
              <w:t>12</w:t>
            </w:r>
          </w:p>
        </w:tc>
      </w:tr>
      <w:tr w:rsidR="00C50BC9" w:rsidRPr="00B0485F" w14:paraId="66C7F954" w14:textId="77777777" w:rsidTr="00116789">
        <w:tc>
          <w:tcPr>
            <w:tcW w:w="1323" w:type="dxa"/>
          </w:tcPr>
          <w:p w14:paraId="4D5AF041" w14:textId="77777777" w:rsidR="00065A05" w:rsidRPr="00B0485F" w:rsidRDefault="00065A05" w:rsidP="00EA2441">
            <w:pPr>
              <w:pStyle w:val="051Tabletext228pt"/>
              <w:spacing w:before="20" w:after="20"/>
            </w:pPr>
            <w:proofErr w:type="spellStart"/>
            <w:r w:rsidRPr="00B0485F">
              <w:t>Aniuliene</w:t>
            </w:r>
            <w:proofErr w:type="spellEnd"/>
            <w:r w:rsidRPr="00B0485F">
              <w:t xml:space="preserve"> 2015</w:t>
            </w:r>
          </w:p>
          <w:p w14:paraId="34BFBB51" w14:textId="6BD379D3" w:rsidR="00065A05" w:rsidRPr="00B0485F" w:rsidRDefault="00065A05" w:rsidP="00EA2441">
            <w:pPr>
              <w:pStyle w:val="051Tabletext228pt"/>
              <w:spacing w:before="20" w:after="20"/>
            </w:pPr>
          </w:p>
        </w:tc>
        <w:tc>
          <w:tcPr>
            <w:tcW w:w="2170" w:type="dxa"/>
          </w:tcPr>
          <w:p w14:paraId="7884FE8F" w14:textId="77777777" w:rsidR="00065A05" w:rsidRDefault="00065A05" w:rsidP="00EA2441">
            <w:pPr>
              <w:pStyle w:val="051Tabletext228pt"/>
              <w:spacing w:before="20" w:after="20"/>
            </w:pPr>
            <w:r w:rsidRPr="00B0485F">
              <w:t>History of SUI, USI and no predominant-OAB</w:t>
            </w:r>
          </w:p>
          <w:p w14:paraId="3A81D3C4" w14:textId="099F98D2" w:rsidR="004817DE" w:rsidRPr="00B0485F" w:rsidRDefault="004817DE" w:rsidP="00EA2441">
            <w:pPr>
              <w:pStyle w:val="051Tabletext228pt"/>
              <w:spacing w:before="20" w:after="20"/>
            </w:pPr>
            <w:r>
              <w:t>N=154</w:t>
            </w:r>
          </w:p>
        </w:tc>
        <w:tc>
          <w:tcPr>
            <w:tcW w:w="1829" w:type="dxa"/>
          </w:tcPr>
          <w:p w14:paraId="21A5C8AB" w14:textId="77777777" w:rsidR="00065A05" w:rsidRPr="0098745D" w:rsidRDefault="00065A05" w:rsidP="00EA2441">
            <w:pPr>
              <w:pStyle w:val="051Tabletext228pt"/>
              <w:spacing w:before="20" w:after="20"/>
            </w:pPr>
            <w:r w:rsidRPr="0098745D">
              <w:t>SLING-IUFT</w:t>
            </w:r>
          </w:p>
          <w:p w14:paraId="70100004" w14:textId="77777777" w:rsidR="00065A05" w:rsidRPr="00B0485F" w:rsidRDefault="00065A05" w:rsidP="00EA2441">
            <w:pPr>
              <w:pStyle w:val="051Tabletext228pt"/>
              <w:spacing w:before="20" w:after="20"/>
            </w:pPr>
            <w:r w:rsidRPr="007426E5">
              <w:t>TVT-EXACT</w:t>
            </w:r>
          </w:p>
        </w:tc>
        <w:tc>
          <w:tcPr>
            <w:tcW w:w="2508" w:type="dxa"/>
          </w:tcPr>
          <w:p w14:paraId="30DD86A0" w14:textId="674FE6EE" w:rsidR="00065A05" w:rsidRPr="00B0485F" w:rsidRDefault="00512581" w:rsidP="00EA2441">
            <w:pPr>
              <w:pStyle w:val="051Tabletext228pt"/>
              <w:spacing w:before="20" w:after="20"/>
            </w:pPr>
            <w:r>
              <w:t>AEs</w:t>
            </w:r>
          </w:p>
          <w:p w14:paraId="3D8274A1" w14:textId="77777777" w:rsidR="00065A05" w:rsidRPr="00B0485F" w:rsidRDefault="00065A05" w:rsidP="00EA2441">
            <w:pPr>
              <w:pStyle w:val="051Tabletext228pt"/>
              <w:spacing w:before="20" w:after="20"/>
            </w:pPr>
            <w:r w:rsidRPr="00B0485F">
              <w:t xml:space="preserve">Complications </w:t>
            </w:r>
          </w:p>
          <w:p w14:paraId="50C1096C" w14:textId="77777777" w:rsidR="00065A05" w:rsidRPr="00B0485F" w:rsidRDefault="00065A05" w:rsidP="00EA2441">
            <w:pPr>
              <w:pStyle w:val="051Tabletext228pt"/>
              <w:spacing w:before="20" w:after="20"/>
            </w:pPr>
            <w:r w:rsidRPr="00B0485F">
              <w:t>Change in continence status</w:t>
            </w:r>
          </w:p>
        </w:tc>
        <w:tc>
          <w:tcPr>
            <w:tcW w:w="1808" w:type="dxa"/>
          </w:tcPr>
          <w:p w14:paraId="18935246" w14:textId="77777777" w:rsidR="00065A05" w:rsidRPr="00B0485F" w:rsidRDefault="00065A05" w:rsidP="00EA2441">
            <w:pPr>
              <w:pStyle w:val="051Tabletext228pt"/>
              <w:spacing w:before="20" w:after="20"/>
            </w:pPr>
            <w:r w:rsidRPr="00B0485F">
              <w:t>12</w:t>
            </w:r>
          </w:p>
        </w:tc>
      </w:tr>
      <w:tr w:rsidR="00C50BC9" w:rsidRPr="00B0485F" w14:paraId="6F9F6387" w14:textId="77777777" w:rsidTr="00116789">
        <w:tc>
          <w:tcPr>
            <w:tcW w:w="1323" w:type="dxa"/>
          </w:tcPr>
          <w:p w14:paraId="20B50AAC" w14:textId="77777777" w:rsidR="00065A05" w:rsidRPr="00B0485F" w:rsidRDefault="00065A05" w:rsidP="00EA2441">
            <w:pPr>
              <w:pStyle w:val="051Tabletext228pt"/>
              <w:spacing w:before="20" w:after="20"/>
            </w:pPr>
            <w:proofErr w:type="spellStart"/>
            <w:r w:rsidRPr="00B0485F">
              <w:t>Araco</w:t>
            </w:r>
            <w:proofErr w:type="spellEnd"/>
            <w:r w:rsidRPr="00B0485F">
              <w:t xml:space="preserve"> 2008</w:t>
            </w:r>
          </w:p>
          <w:p w14:paraId="5C672553" w14:textId="79F1867E" w:rsidR="00065A05" w:rsidRPr="00B0485F" w:rsidRDefault="00065A05" w:rsidP="00EA2441">
            <w:pPr>
              <w:pStyle w:val="051Tabletext228pt"/>
              <w:spacing w:before="20" w:after="20"/>
            </w:pPr>
          </w:p>
        </w:tc>
        <w:tc>
          <w:tcPr>
            <w:tcW w:w="2170" w:type="dxa"/>
          </w:tcPr>
          <w:p w14:paraId="2A7DE700" w14:textId="77777777" w:rsidR="00065A05" w:rsidRDefault="00065A05" w:rsidP="00EA2441">
            <w:pPr>
              <w:pStyle w:val="051Tabletext228pt"/>
              <w:spacing w:before="20" w:after="20"/>
            </w:pPr>
            <w:r w:rsidRPr="00B0485F">
              <w:t>Symptomatic Grade 1 or 2 SUI and no OAB</w:t>
            </w:r>
          </w:p>
          <w:p w14:paraId="7C0FCDDF" w14:textId="3FBE2C7E" w:rsidR="004817DE" w:rsidRPr="00B0485F" w:rsidRDefault="004817DE" w:rsidP="00EA2441">
            <w:pPr>
              <w:pStyle w:val="051Tabletext228pt"/>
              <w:spacing w:before="20" w:after="20"/>
            </w:pPr>
            <w:r>
              <w:t>N=240</w:t>
            </w:r>
          </w:p>
        </w:tc>
        <w:tc>
          <w:tcPr>
            <w:tcW w:w="1829" w:type="dxa"/>
          </w:tcPr>
          <w:p w14:paraId="0559D35C" w14:textId="77777777" w:rsidR="00065A05" w:rsidRPr="00B0485F" w:rsidRDefault="00065A05" w:rsidP="00EA2441">
            <w:pPr>
              <w:pStyle w:val="051Tabletext228pt"/>
              <w:spacing w:before="20" w:after="20"/>
            </w:pPr>
            <w:r w:rsidRPr="00B0485F">
              <w:t>TVT-O</w:t>
            </w:r>
          </w:p>
          <w:p w14:paraId="620E20E6" w14:textId="77777777" w:rsidR="00065A05" w:rsidRPr="00B0485F" w:rsidRDefault="00065A05" w:rsidP="00EA2441">
            <w:pPr>
              <w:pStyle w:val="051Tabletext228pt"/>
              <w:spacing w:before="20" w:after="20"/>
            </w:pPr>
            <w:r w:rsidRPr="00B0485F">
              <w:t>TVT</w:t>
            </w:r>
          </w:p>
        </w:tc>
        <w:tc>
          <w:tcPr>
            <w:tcW w:w="2508" w:type="dxa"/>
          </w:tcPr>
          <w:p w14:paraId="53110566" w14:textId="28AEBE97" w:rsidR="00065A05" w:rsidRPr="00B0485F" w:rsidRDefault="00512581" w:rsidP="00EA2441">
            <w:pPr>
              <w:pStyle w:val="051Tabletext228pt"/>
              <w:spacing w:before="20" w:after="20"/>
            </w:pPr>
            <w:r>
              <w:t>AEs</w:t>
            </w:r>
          </w:p>
          <w:p w14:paraId="4F08FED5" w14:textId="77777777" w:rsidR="00065A05" w:rsidRPr="00B0485F" w:rsidRDefault="00065A05" w:rsidP="00EA2441">
            <w:pPr>
              <w:pStyle w:val="051Tabletext228pt"/>
              <w:spacing w:before="20" w:after="20"/>
            </w:pPr>
            <w:r w:rsidRPr="00B0485F">
              <w:t xml:space="preserve">Complications </w:t>
            </w:r>
          </w:p>
          <w:p w14:paraId="272516FC" w14:textId="77777777" w:rsidR="00065A05" w:rsidRPr="00B0485F" w:rsidRDefault="00065A05" w:rsidP="00EA2441">
            <w:pPr>
              <w:pStyle w:val="051Tabletext228pt"/>
              <w:spacing w:before="20" w:after="20"/>
            </w:pPr>
            <w:r w:rsidRPr="00B0485F">
              <w:t xml:space="preserve">Change in continence status </w:t>
            </w:r>
          </w:p>
          <w:p w14:paraId="54EF80B6" w14:textId="77777777" w:rsidR="00065A05" w:rsidRPr="00B0485F" w:rsidRDefault="00065A05" w:rsidP="00EA2441">
            <w:pPr>
              <w:pStyle w:val="051Tabletext228pt"/>
              <w:spacing w:before="20" w:after="20"/>
            </w:pPr>
            <w:r w:rsidRPr="00B0485F">
              <w:t>Repeat surgery</w:t>
            </w:r>
          </w:p>
        </w:tc>
        <w:tc>
          <w:tcPr>
            <w:tcW w:w="1808" w:type="dxa"/>
          </w:tcPr>
          <w:p w14:paraId="0329A4AE" w14:textId="77777777" w:rsidR="00065A05" w:rsidRPr="00B0485F" w:rsidRDefault="00065A05" w:rsidP="00EA2441">
            <w:pPr>
              <w:pStyle w:val="051Tabletext228pt"/>
              <w:spacing w:before="20" w:after="20"/>
            </w:pPr>
            <w:r w:rsidRPr="00B0485F">
              <w:t>12</w:t>
            </w:r>
          </w:p>
        </w:tc>
      </w:tr>
      <w:tr w:rsidR="00C50BC9" w:rsidRPr="00B0485F" w14:paraId="5286BC09" w14:textId="77777777" w:rsidTr="00116789">
        <w:tc>
          <w:tcPr>
            <w:tcW w:w="1323" w:type="dxa"/>
          </w:tcPr>
          <w:p w14:paraId="50BA145A" w14:textId="77777777" w:rsidR="00065A05" w:rsidRPr="00B0485F" w:rsidRDefault="00065A05" w:rsidP="00EA2441">
            <w:pPr>
              <w:pStyle w:val="051Tabletext228pt"/>
              <w:spacing w:before="20" w:after="20"/>
            </w:pPr>
            <w:r w:rsidRPr="00B0485F">
              <w:t>Barber 2008</w:t>
            </w:r>
          </w:p>
          <w:p w14:paraId="0DAB973E" w14:textId="4F4ECE2B" w:rsidR="00065A05" w:rsidRPr="00B0485F" w:rsidRDefault="00065A05" w:rsidP="00EA2441">
            <w:pPr>
              <w:pStyle w:val="051Tabletext228pt"/>
              <w:spacing w:before="20" w:after="20"/>
            </w:pPr>
          </w:p>
        </w:tc>
        <w:tc>
          <w:tcPr>
            <w:tcW w:w="2170" w:type="dxa"/>
          </w:tcPr>
          <w:p w14:paraId="37A0D3E2" w14:textId="77777777" w:rsidR="00065A05" w:rsidRDefault="00065A05" w:rsidP="00EA2441">
            <w:pPr>
              <w:pStyle w:val="051Tabletext228pt"/>
              <w:spacing w:before="20" w:after="20"/>
            </w:pPr>
            <w:r w:rsidRPr="00B0485F">
              <w:t>USI and no DO</w:t>
            </w:r>
          </w:p>
          <w:p w14:paraId="0AD5D123" w14:textId="46C05D87" w:rsidR="004817DE" w:rsidRPr="00B0485F" w:rsidRDefault="004817DE" w:rsidP="00EA2441">
            <w:pPr>
              <w:pStyle w:val="051Tabletext228pt"/>
              <w:spacing w:before="20" w:after="20"/>
            </w:pPr>
            <w:r>
              <w:t>N=170</w:t>
            </w:r>
          </w:p>
        </w:tc>
        <w:tc>
          <w:tcPr>
            <w:tcW w:w="1829" w:type="dxa"/>
          </w:tcPr>
          <w:p w14:paraId="47C4D440" w14:textId="77777777" w:rsidR="00065A05" w:rsidRPr="00B0485F" w:rsidRDefault="00065A05" w:rsidP="00EA2441">
            <w:pPr>
              <w:pStyle w:val="051Tabletext228pt"/>
              <w:spacing w:before="20" w:after="20"/>
            </w:pPr>
            <w:r w:rsidRPr="00B0485F">
              <w:t>TOT</w:t>
            </w:r>
          </w:p>
          <w:p w14:paraId="650F7F5A" w14:textId="77777777" w:rsidR="00065A05" w:rsidRPr="00B0485F" w:rsidRDefault="00065A05" w:rsidP="00EA2441">
            <w:pPr>
              <w:pStyle w:val="051Tabletext228pt"/>
              <w:spacing w:before="20" w:after="20"/>
            </w:pPr>
            <w:r w:rsidRPr="00B0485F">
              <w:t>TVT</w:t>
            </w:r>
          </w:p>
        </w:tc>
        <w:tc>
          <w:tcPr>
            <w:tcW w:w="2508" w:type="dxa"/>
          </w:tcPr>
          <w:p w14:paraId="1E959350" w14:textId="3EABB6C8" w:rsidR="00065A05" w:rsidRPr="00B0485F" w:rsidRDefault="00512581" w:rsidP="00EA2441">
            <w:pPr>
              <w:pStyle w:val="051Tabletext228pt"/>
              <w:spacing w:before="20" w:after="20"/>
            </w:pPr>
            <w:r>
              <w:t>AEs</w:t>
            </w:r>
          </w:p>
          <w:p w14:paraId="6B4121F3" w14:textId="77777777" w:rsidR="00065A05" w:rsidRPr="00B0485F" w:rsidRDefault="00065A05" w:rsidP="00EA2441">
            <w:pPr>
              <w:pStyle w:val="051Tabletext228pt"/>
              <w:spacing w:before="20" w:after="20"/>
            </w:pPr>
            <w:r w:rsidRPr="00B0485F">
              <w:t xml:space="preserve">Complications </w:t>
            </w:r>
          </w:p>
          <w:p w14:paraId="3CC068D4" w14:textId="77777777" w:rsidR="00065A05" w:rsidRPr="00B0485F" w:rsidRDefault="00065A05" w:rsidP="00EA2441">
            <w:pPr>
              <w:pStyle w:val="051Tabletext228pt"/>
              <w:spacing w:before="20" w:after="20"/>
            </w:pPr>
            <w:r w:rsidRPr="00B0485F">
              <w:t xml:space="preserve">Change in continence status </w:t>
            </w:r>
          </w:p>
          <w:p w14:paraId="3C82691A" w14:textId="77777777" w:rsidR="00065A05" w:rsidRPr="00B0485F" w:rsidRDefault="00065A05" w:rsidP="00EA2441">
            <w:pPr>
              <w:pStyle w:val="051Tabletext228pt"/>
              <w:spacing w:before="20" w:after="20"/>
            </w:pPr>
            <w:r w:rsidRPr="00B0485F">
              <w:t>Improvement in continence status</w:t>
            </w:r>
          </w:p>
          <w:p w14:paraId="7206ED59" w14:textId="77777777" w:rsidR="00065A05" w:rsidRPr="00B0485F" w:rsidRDefault="00065A05" w:rsidP="00EA2441">
            <w:pPr>
              <w:pStyle w:val="051Tabletext228pt"/>
              <w:spacing w:before="20" w:after="20"/>
            </w:pPr>
            <w:r w:rsidRPr="00B0485F">
              <w:t>Repeat surgery</w:t>
            </w:r>
          </w:p>
        </w:tc>
        <w:tc>
          <w:tcPr>
            <w:tcW w:w="1808" w:type="dxa"/>
          </w:tcPr>
          <w:p w14:paraId="0ECC668C" w14:textId="77777777" w:rsidR="00065A05" w:rsidRPr="00B0485F" w:rsidRDefault="00065A05" w:rsidP="00EA2441">
            <w:pPr>
              <w:pStyle w:val="051Tabletext228pt"/>
              <w:spacing w:before="20" w:after="20"/>
            </w:pPr>
            <w:r w:rsidRPr="00B0485F">
              <w:t>18.2 (mean)</w:t>
            </w:r>
          </w:p>
        </w:tc>
      </w:tr>
      <w:tr w:rsidR="00C50BC9" w:rsidRPr="00B0485F" w14:paraId="4DD53767" w14:textId="77777777" w:rsidTr="00116789">
        <w:tc>
          <w:tcPr>
            <w:tcW w:w="1323" w:type="dxa"/>
          </w:tcPr>
          <w:p w14:paraId="15E8816F" w14:textId="77777777" w:rsidR="00065A05" w:rsidRPr="00B0485F" w:rsidRDefault="00065A05" w:rsidP="00EA2441">
            <w:pPr>
              <w:pStyle w:val="051Tabletext228pt"/>
              <w:spacing w:before="20" w:after="20"/>
            </w:pPr>
            <w:r w:rsidRPr="00B0485F">
              <w:t>Barry 2008</w:t>
            </w:r>
          </w:p>
          <w:p w14:paraId="13BA42D6" w14:textId="2246A4DC" w:rsidR="00065A05" w:rsidRPr="00B0485F" w:rsidRDefault="00065A05" w:rsidP="00EA2441">
            <w:pPr>
              <w:pStyle w:val="051Tabletext228pt"/>
              <w:spacing w:before="20" w:after="20"/>
            </w:pPr>
          </w:p>
        </w:tc>
        <w:tc>
          <w:tcPr>
            <w:tcW w:w="2170" w:type="dxa"/>
          </w:tcPr>
          <w:p w14:paraId="717531D7" w14:textId="77777777" w:rsidR="00065A05" w:rsidRDefault="00065A05" w:rsidP="00EA2441">
            <w:pPr>
              <w:pStyle w:val="051Tabletext228pt"/>
              <w:spacing w:before="20" w:after="20"/>
            </w:pPr>
            <w:r w:rsidRPr="00B0485F">
              <w:t>Symptomatic SUI who failed conservative treatment or surgery for occult SUI during POP repair</w:t>
            </w:r>
          </w:p>
          <w:p w14:paraId="6BA2D877" w14:textId="11A25499" w:rsidR="004817DE" w:rsidRPr="00B0485F" w:rsidRDefault="004817DE" w:rsidP="00EA2441">
            <w:pPr>
              <w:pStyle w:val="051Tabletext228pt"/>
              <w:spacing w:before="20" w:after="20"/>
            </w:pPr>
            <w:r>
              <w:t>N=187</w:t>
            </w:r>
          </w:p>
        </w:tc>
        <w:tc>
          <w:tcPr>
            <w:tcW w:w="1829" w:type="dxa"/>
          </w:tcPr>
          <w:p w14:paraId="61574D6E" w14:textId="77777777" w:rsidR="00065A05" w:rsidRPr="00B0485F" w:rsidRDefault="00065A05" w:rsidP="00EA2441">
            <w:pPr>
              <w:pStyle w:val="051Tabletext228pt"/>
              <w:spacing w:before="20" w:after="20"/>
            </w:pPr>
            <w:r w:rsidRPr="00B0485F">
              <w:t>TOT</w:t>
            </w:r>
          </w:p>
          <w:p w14:paraId="6D426D12" w14:textId="77777777" w:rsidR="00065A05" w:rsidRPr="00B0485F" w:rsidRDefault="00065A05" w:rsidP="00EA2441">
            <w:pPr>
              <w:pStyle w:val="051Tabletext228pt"/>
              <w:spacing w:before="20" w:after="20"/>
            </w:pPr>
            <w:r w:rsidRPr="00B0485F">
              <w:t>TVT</w:t>
            </w:r>
          </w:p>
        </w:tc>
        <w:tc>
          <w:tcPr>
            <w:tcW w:w="2508" w:type="dxa"/>
          </w:tcPr>
          <w:p w14:paraId="285F2BE6" w14:textId="7986B8C0" w:rsidR="00065A05" w:rsidRPr="00B0485F" w:rsidRDefault="00512581" w:rsidP="00EA2441">
            <w:pPr>
              <w:pStyle w:val="051Tabletext228pt"/>
              <w:spacing w:before="20" w:after="20"/>
            </w:pPr>
            <w:r>
              <w:t>AEs</w:t>
            </w:r>
          </w:p>
          <w:p w14:paraId="6623E0CE" w14:textId="77777777" w:rsidR="00065A05" w:rsidRPr="00B0485F" w:rsidRDefault="00065A05" w:rsidP="00EA2441">
            <w:pPr>
              <w:pStyle w:val="051Tabletext228pt"/>
              <w:spacing w:before="20" w:after="20"/>
            </w:pPr>
            <w:r w:rsidRPr="00B0485F">
              <w:t xml:space="preserve">Complications </w:t>
            </w:r>
          </w:p>
          <w:p w14:paraId="09743F44" w14:textId="77777777" w:rsidR="00065A05" w:rsidRPr="00B0485F" w:rsidRDefault="00065A05" w:rsidP="00EA2441">
            <w:pPr>
              <w:pStyle w:val="051Tabletext228pt"/>
              <w:spacing w:before="20" w:after="20"/>
            </w:pPr>
            <w:r w:rsidRPr="00B0485F">
              <w:t xml:space="preserve">Change in continence status </w:t>
            </w:r>
          </w:p>
          <w:p w14:paraId="4BABD3EB" w14:textId="77777777" w:rsidR="00065A05" w:rsidRPr="00B0485F" w:rsidRDefault="00065A05" w:rsidP="00EA2441">
            <w:pPr>
              <w:pStyle w:val="051Tabletext228pt"/>
              <w:spacing w:before="20" w:after="20"/>
            </w:pPr>
            <w:r w:rsidRPr="00B0485F">
              <w:t>Repeat surgery</w:t>
            </w:r>
          </w:p>
        </w:tc>
        <w:tc>
          <w:tcPr>
            <w:tcW w:w="1808" w:type="dxa"/>
          </w:tcPr>
          <w:p w14:paraId="19EDAB66" w14:textId="77777777" w:rsidR="00065A05" w:rsidRPr="00B0485F" w:rsidRDefault="00065A05" w:rsidP="00EA2441">
            <w:pPr>
              <w:pStyle w:val="051Tabletext228pt"/>
              <w:spacing w:before="20" w:after="20"/>
            </w:pPr>
            <w:r w:rsidRPr="00B0485F">
              <w:t>3</w:t>
            </w:r>
          </w:p>
        </w:tc>
      </w:tr>
      <w:tr w:rsidR="00C50BC9" w:rsidRPr="00B0485F" w14:paraId="7DC316E0" w14:textId="77777777" w:rsidTr="00116789">
        <w:tc>
          <w:tcPr>
            <w:tcW w:w="1323" w:type="dxa"/>
          </w:tcPr>
          <w:p w14:paraId="07BB51F9" w14:textId="77777777" w:rsidR="00065A05" w:rsidRPr="00B0485F" w:rsidRDefault="00065A05" w:rsidP="00EA2441">
            <w:pPr>
              <w:pStyle w:val="051Tabletext228pt"/>
              <w:spacing w:before="20" w:after="20"/>
            </w:pPr>
            <w:r w:rsidRPr="00B0485F">
              <w:t>David-Montefiore 2006/ Darai 2007/ Ballester 2012</w:t>
            </w:r>
          </w:p>
          <w:p w14:paraId="384471FC" w14:textId="3D21D456" w:rsidR="00065A05" w:rsidRPr="00B0485F" w:rsidRDefault="00065A05" w:rsidP="00EA2441">
            <w:pPr>
              <w:pStyle w:val="051Tabletext228pt"/>
              <w:spacing w:before="20" w:after="20"/>
            </w:pPr>
          </w:p>
        </w:tc>
        <w:tc>
          <w:tcPr>
            <w:tcW w:w="2170" w:type="dxa"/>
          </w:tcPr>
          <w:p w14:paraId="2FDC2F81" w14:textId="77777777" w:rsidR="00065A05" w:rsidRDefault="00065A05" w:rsidP="00EA2441">
            <w:pPr>
              <w:pStyle w:val="051Tabletext228pt"/>
              <w:spacing w:before="20" w:after="20"/>
            </w:pPr>
            <w:r w:rsidRPr="00B0485F">
              <w:t>SUI and USI</w:t>
            </w:r>
          </w:p>
          <w:p w14:paraId="34D590B0" w14:textId="19556D75" w:rsidR="004817DE" w:rsidRPr="00B0485F" w:rsidRDefault="004817DE" w:rsidP="00EA2441">
            <w:pPr>
              <w:pStyle w:val="051Tabletext228pt"/>
              <w:spacing w:before="20" w:after="20"/>
            </w:pPr>
            <w:r>
              <w:t>N=</w:t>
            </w:r>
            <w:r w:rsidR="001B5207">
              <w:t>88</w:t>
            </w:r>
          </w:p>
        </w:tc>
        <w:tc>
          <w:tcPr>
            <w:tcW w:w="1829" w:type="dxa"/>
          </w:tcPr>
          <w:p w14:paraId="001C7600" w14:textId="77777777" w:rsidR="00065A05" w:rsidRPr="00B0485F" w:rsidRDefault="00065A05" w:rsidP="00EA2441">
            <w:pPr>
              <w:pStyle w:val="051Tabletext228pt"/>
              <w:spacing w:before="20" w:after="20"/>
            </w:pPr>
            <w:r w:rsidRPr="00B0485F">
              <w:t>TOT</w:t>
            </w:r>
          </w:p>
          <w:p w14:paraId="5EE78B1B" w14:textId="77777777" w:rsidR="00065A05" w:rsidRPr="00B0485F" w:rsidRDefault="00065A05" w:rsidP="00EA2441">
            <w:pPr>
              <w:pStyle w:val="051Tabletext228pt"/>
              <w:spacing w:before="20" w:after="20"/>
            </w:pPr>
            <w:r w:rsidRPr="00B0485F">
              <w:t>TVT</w:t>
            </w:r>
          </w:p>
        </w:tc>
        <w:tc>
          <w:tcPr>
            <w:tcW w:w="2508" w:type="dxa"/>
          </w:tcPr>
          <w:p w14:paraId="73D071FC" w14:textId="737B6E74" w:rsidR="00065A05" w:rsidRPr="00B0485F" w:rsidRDefault="00512581" w:rsidP="00EA2441">
            <w:pPr>
              <w:pStyle w:val="051Tabletext228pt"/>
              <w:spacing w:before="20" w:after="20"/>
            </w:pPr>
            <w:r>
              <w:t>AEs</w:t>
            </w:r>
          </w:p>
          <w:p w14:paraId="1EB1BD58" w14:textId="77777777" w:rsidR="00065A05" w:rsidRPr="00B0485F" w:rsidRDefault="00065A05" w:rsidP="00EA2441">
            <w:pPr>
              <w:pStyle w:val="051Tabletext228pt"/>
              <w:spacing w:before="20" w:after="20"/>
            </w:pPr>
            <w:r w:rsidRPr="00B0485F">
              <w:t xml:space="preserve">Complications </w:t>
            </w:r>
          </w:p>
          <w:p w14:paraId="249211F2" w14:textId="76D6DFE5" w:rsidR="00065A05" w:rsidRPr="00B0485F" w:rsidRDefault="00065A05" w:rsidP="00EA2441">
            <w:pPr>
              <w:pStyle w:val="051Tabletext228pt"/>
              <w:spacing w:before="20" w:after="20"/>
            </w:pPr>
            <w:r w:rsidRPr="00B0485F">
              <w:t xml:space="preserve">Change in continence status </w:t>
            </w:r>
          </w:p>
        </w:tc>
        <w:tc>
          <w:tcPr>
            <w:tcW w:w="1808" w:type="dxa"/>
          </w:tcPr>
          <w:p w14:paraId="12C72AD6" w14:textId="77777777" w:rsidR="00065A05" w:rsidRPr="00B0485F" w:rsidRDefault="00065A05" w:rsidP="00EA2441">
            <w:pPr>
              <w:pStyle w:val="051Tabletext228pt"/>
              <w:spacing w:before="20" w:after="20"/>
            </w:pPr>
            <w:r w:rsidRPr="00B0485F">
              <w:t>10 (mean)/52.9 (mean)</w:t>
            </w:r>
          </w:p>
        </w:tc>
      </w:tr>
      <w:tr w:rsidR="00C50BC9" w:rsidRPr="00B0485F" w14:paraId="16EE4D78" w14:textId="77777777" w:rsidTr="00116789">
        <w:tc>
          <w:tcPr>
            <w:tcW w:w="1323" w:type="dxa"/>
          </w:tcPr>
          <w:p w14:paraId="405185FD" w14:textId="77777777" w:rsidR="00065A05" w:rsidRPr="00B0485F" w:rsidRDefault="00065A05" w:rsidP="00EA2441">
            <w:pPr>
              <w:pStyle w:val="051Tabletext228pt"/>
              <w:spacing w:before="20" w:after="20"/>
            </w:pPr>
            <w:proofErr w:type="spellStart"/>
            <w:r w:rsidRPr="00B0485F">
              <w:t>Deffieux</w:t>
            </w:r>
            <w:proofErr w:type="spellEnd"/>
            <w:r w:rsidRPr="00B0485F">
              <w:t xml:space="preserve"> 2010</w:t>
            </w:r>
          </w:p>
          <w:p w14:paraId="128E0312" w14:textId="1E5CF3D3" w:rsidR="00065A05" w:rsidRPr="00B0485F" w:rsidRDefault="00065A05" w:rsidP="00EA2441">
            <w:pPr>
              <w:pStyle w:val="051Tabletext228pt"/>
              <w:spacing w:before="20" w:after="20"/>
            </w:pPr>
          </w:p>
        </w:tc>
        <w:tc>
          <w:tcPr>
            <w:tcW w:w="2170" w:type="dxa"/>
          </w:tcPr>
          <w:p w14:paraId="687A2C18" w14:textId="77777777" w:rsidR="00065A05" w:rsidRDefault="00065A05" w:rsidP="00EA2441">
            <w:pPr>
              <w:pStyle w:val="051Tabletext228pt"/>
              <w:spacing w:before="20" w:after="20"/>
            </w:pPr>
            <w:r w:rsidRPr="00B0485F">
              <w:t>USI or MUI, and positive cough stress test</w:t>
            </w:r>
          </w:p>
          <w:p w14:paraId="6D1879F1" w14:textId="302BB6C0" w:rsidR="001B5207" w:rsidRPr="00B0485F" w:rsidRDefault="001B5207" w:rsidP="00EA2441">
            <w:pPr>
              <w:pStyle w:val="051Tabletext228pt"/>
              <w:spacing w:before="20" w:after="20"/>
            </w:pPr>
            <w:r>
              <w:t>N=149</w:t>
            </w:r>
          </w:p>
        </w:tc>
        <w:tc>
          <w:tcPr>
            <w:tcW w:w="1829" w:type="dxa"/>
          </w:tcPr>
          <w:p w14:paraId="5F0AF96D" w14:textId="77777777" w:rsidR="00065A05" w:rsidRPr="00B0485F" w:rsidRDefault="00065A05" w:rsidP="00EA2441">
            <w:pPr>
              <w:pStyle w:val="051Tabletext228pt"/>
              <w:spacing w:before="20" w:after="20"/>
            </w:pPr>
            <w:r w:rsidRPr="00B0485F">
              <w:t>TVT-O</w:t>
            </w:r>
          </w:p>
          <w:p w14:paraId="430FB393" w14:textId="77777777" w:rsidR="00065A05" w:rsidRPr="00B0485F" w:rsidRDefault="00065A05" w:rsidP="00EA2441">
            <w:pPr>
              <w:pStyle w:val="051Tabletext228pt"/>
              <w:spacing w:before="20" w:after="20"/>
            </w:pPr>
            <w:r w:rsidRPr="00B0485F">
              <w:t>TVT</w:t>
            </w:r>
          </w:p>
        </w:tc>
        <w:tc>
          <w:tcPr>
            <w:tcW w:w="2508" w:type="dxa"/>
          </w:tcPr>
          <w:p w14:paraId="4C68D43C" w14:textId="6091A444" w:rsidR="00065A05" w:rsidRPr="00B0485F" w:rsidRDefault="00512581" w:rsidP="00EA2441">
            <w:pPr>
              <w:pStyle w:val="051Tabletext228pt"/>
              <w:spacing w:before="20" w:after="20"/>
            </w:pPr>
            <w:r>
              <w:t>AEs</w:t>
            </w:r>
          </w:p>
          <w:p w14:paraId="6CA2E6B9" w14:textId="77777777" w:rsidR="00065A05" w:rsidRPr="00B0485F" w:rsidRDefault="00065A05" w:rsidP="00EA2441">
            <w:pPr>
              <w:pStyle w:val="051Tabletext228pt"/>
              <w:spacing w:before="20" w:after="20"/>
            </w:pPr>
            <w:r w:rsidRPr="00B0485F">
              <w:t xml:space="preserve">Complications </w:t>
            </w:r>
          </w:p>
          <w:p w14:paraId="407A3ABF" w14:textId="77777777" w:rsidR="00065A05" w:rsidRPr="00B0485F" w:rsidRDefault="00065A05" w:rsidP="00EA2441">
            <w:pPr>
              <w:pStyle w:val="051Tabletext228pt"/>
              <w:spacing w:before="20" w:after="20"/>
            </w:pPr>
            <w:r w:rsidRPr="00B0485F">
              <w:t xml:space="preserve">Change in continence status </w:t>
            </w:r>
          </w:p>
          <w:p w14:paraId="2C2C8ED3" w14:textId="77777777" w:rsidR="00065A05" w:rsidRPr="00B0485F" w:rsidRDefault="00065A05" w:rsidP="00EA2441">
            <w:pPr>
              <w:pStyle w:val="051Tabletext228pt"/>
              <w:spacing w:before="20" w:after="20"/>
            </w:pPr>
            <w:r w:rsidRPr="00B0485F">
              <w:t>Improvement in continence status</w:t>
            </w:r>
          </w:p>
          <w:p w14:paraId="446FFB89" w14:textId="77777777" w:rsidR="00065A05" w:rsidRPr="00B0485F" w:rsidRDefault="00065A05" w:rsidP="00EA2441">
            <w:pPr>
              <w:pStyle w:val="051Tabletext228pt"/>
              <w:spacing w:before="20" w:after="20"/>
            </w:pPr>
            <w:r w:rsidRPr="00B0485F">
              <w:t>Repeat surgery</w:t>
            </w:r>
          </w:p>
        </w:tc>
        <w:tc>
          <w:tcPr>
            <w:tcW w:w="1808" w:type="dxa"/>
          </w:tcPr>
          <w:p w14:paraId="17118A2B" w14:textId="77777777" w:rsidR="00065A05" w:rsidRPr="00B0485F" w:rsidRDefault="00065A05" w:rsidP="00EA2441">
            <w:pPr>
              <w:pStyle w:val="051Tabletext228pt"/>
              <w:spacing w:before="20" w:after="20"/>
            </w:pPr>
            <w:r w:rsidRPr="00B0485F">
              <w:t>12, 2</w:t>
            </w:r>
          </w:p>
        </w:tc>
      </w:tr>
      <w:tr w:rsidR="00C50BC9" w:rsidRPr="00B0485F" w14:paraId="55B3A4EE" w14:textId="77777777" w:rsidTr="00116789">
        <w:tc>
          <w:tcPr>
            <w:tcW w:w="1323" w:type="dxa"/>
          </w:tcPr>
          <w:p w14:paraId="4F1EB0C3" w14:textId="77777777" w:rsidR="00065A05" w:rsidRPr="00B0485F" w:rsidRDefault="00065A05" w:rsidP="00EA2441">
            <w:pPr>
              <w:pStyle w:val="051Tabletext228pt"/>
              <w:spacing w:before="20" w:after="20"/>
            </w:pPr>
            <w:r w:rsidRPr="00B0485F">
              <w:t>El-</w:t>
            </w:r>
            <w:proofErr w:type="spellStart"/>
            <w:r w:rsidRPr="00B0485F">
              <w:t>Hefnawy</w:t>
            </w:r>
            <w:proofErr w:type="spellEnd"/>
            <w:r w:rsidRPr="00B0485F">
              <w:t xml:space="preserve"> 2010</w:t>
            </w:r>
          </w:p>
          <w:p w14:paraId="676FFD35" w14:textId="58447D2F" w:rsidR="00065A05" w:rsidRPr="00B0485F" w:rsidRDefault="00065A05" w:rsidP="00EA2441">
            <w:pPr>
              <w:pStyle w:val="051Tabletext228pt"/>
              <w:spacing w:before="20" w:after="20"/>
            </w:pPr>
          </w:p>
        </w:tc>
        <w:tc>
          <w:tcPr>
            <w:tcW w:w="2170" w:type="dxa"/>
          </w:tcPr>
          <w:p w14:paraId="55EF4829" w14:textId="77777777" w:rsidR="00065A05" w:rsidRDefault="00065A05" w:rsidP="00EA2441">
            <w:pPr>
              <w:pStyle w:val="051Tabletext228pt"/>
              <w:spacing w:before="20" w:after="20"/>
            </w:pPr>
            <w:r w:rsidRPr="00B0485F">
              <w:t>USI</w:t>
            </w:r>
          </w:p>
          <w:p w14:paraId="4E51C853" w14:textId="11BE46AD" w:rsidR="001B5207" w:rsidRPr="00B0485F" w:rsidRDefault="001B5207" w:rsidP="00EA2441">
            <w:pPr>
              <w:pStyle w:val="051Tabletext228pt"/>
              <w:spacing w:before="20" w:after="20"/>
            </w:pPr>
            <w:r>
              <w:t>N=40</w:t>
            </w:r>
          </w:p>
        </w:tc>
        <w:tc>
          <w:tcPr>
            <w:tcW w:w="1829" w:type="dxa"/>
          </w:tcPr>
          <w:p w14:paraId="327EEB79" w14:textId="77777777" w:rsidR="00065A05" w:rsidRPr="00B0485F" w:rsidRDefault="00065A05" w:rsidP="00EA2441">
            <w:pPr>
              <w:pStyle w:val="051Tabletext228pt"/>
              <w:spacing w:before="20" w:after="20"/>
            </w:pPr>
            <w:r w:rsidRPr="00B0485F">
              <w:t>TOT</w:t>
            </w:r>
          </w:p>
          <w:p w14:paraId="4A1C5A32" w14:textId="77777777" w:rsidR="00065A05" w:rsidRPr="00B0485F" w:rsidRDefault="00065A05" w:rsidP="00EA2441">
            <w:pPr>
              <w:pStyle w:val="051Tabletext228pt"/>
              <w:spacing w:before="20" w:after="20"/>
            </w:pPr>
            <w:r w:rsidRPr="00B0485F">
              <w:t>TVT</w:t>
            </w:r>
          </w:p>
        </w:tc>
        <w:tc>
          <w:tcPr>
            <w:tcW w:w="2508" w:type="dxa"/>
          </w:tcPr>
          <w:p w14:paraId="3CBD16D1" w14:textId="703C7A28" w:rsidR="00065A05" w:rsidRPr="00B0485F" w:rsidRDefault="00512581" w:rsidP="00EA2441">
            <w:pPr>
              <w:pStyle w:val="051Tabletext228pt"/>
              <w:spacing w:before="20" w:after="20"/>
            </w:pPr>
            <w:r>
              <w:t>AEs</w:t>
            </w:r>
          </w:p>
          <w:p w14:paraId="3D2123EC" w14:textId="77777777" w:rsidR="00065A05" w:rsidRPr="00B0485F" w:rsidRDefault="00065A05" w:rsidP="00EA2441">
            <w:pPr>
              <w:pStyle w:val="051Tabletext228pt"/>
              <w:spacing w:before="20" w:after="20"/>
            </w:pPr>
            <w:r w:rsidRPr="00B0485F">
              <w:t xml:space="preserve">Complications </w:t>
            </w:r>
          </w:p>
          <w:p w14:paraId="3B6BDFF7" w14:textId="77777777" w:rsidR="00065A05" w:rsidRPr="00B0485F" w:rsidRDefault="00065A05" w:rsidP="00EA2441">
            <w:pPr>
              <w:pStyle w:val="051Tabletext228pt"/>
              <w:spacing w:before="20" w:after="20"/>
            </w:pPr>
            <w:r w:rsidRPr="00B0485F">
              <w:t xml:space="preserve">Change in continence status </w:t>
            </w:r>
          </w:p>
          <w:p w14:paraId="347BC84B" w14:textId="77777777" w:rsidR="00065A05" w:rsidRPr="00B0485F" w:rsidRDefault="00065A05" w:rsidP="00EA2441">
            <w:pPr>
              <w:pStyle w:val="051Tabletext228pt"/>
              <w:spacing w:before="20" w:after="20"/>
            </w:pPr>
            <w:r w:rsidRPr="00B0485F">
              <w:t>Repeat surgery</w:t>
            </w:r>
          </w:p>
        </w:tc>
        <w:tc>
          <w:tcPr>
            <w:tcW w:w="1808" w:type="dxa"/>
          </w:tcPr>
          <w:p w14:paraId="0BBFBC9E" w14:textId="77777777" w:rsidR="00065A05" w:rsidRPr="00B0485F" w:rsidRDefault="00065A05" w:rsidP="00EA2441">
            <w:pPr>
              <w:pStyle w:val="051Tabletext228pt"/>
              <w:spacing w:before="20" w:after="20"/>
            </w:pPr>
            <w:r w:rsidRPr="00B0485F">
              <w:t>19.7 (mean)</w:t>
            </w:r>
          </w:p>
        </w:tc>
      </w:tr>
      <w:tr w:rsidR="00C50BC9" w:rsidRPr="00B0485F" w14:paraId="774ACCB6" w14:textId="77777777" w:rsidTr="00116789">
        <w:tc>
          <w:tcPr>
            <w:tcW w:w="1323" w:type="dxa"/>
          </w:tcPr>
          <w:p w14:paraId="67CB2CC1" w14:textId="77777777" w:rsidR="00065A05" w:rsidRPr="00B0485F" w:rsidRDefault="00065A05" w:rsidP="00EA2441">
            <w:pPr>
              <w:pStyle w:val="051Tabletext228pt"/>
              <w:spacing w:before="20" w:after="20"/>
            </w:pPr>
            <w:r w:rsidRPr="00B0485F">
              <w:t>Feng 2018</w:t>
            </w:r>
          </w:p>
          <w:p w14:paraId="7880D056" w14:textId="2F3ACDB5" w:rsidR="00065A05" w:rsidRPr="00B0485F" w:rsidRDefault="00065A05" w:rsidP="00EA2441">
            <w:pPr>
              <w:pStyle w:val="051Tabletext228pt"/>
              <w:spacing w:before="20" w:after="20"/>
            </w:pPr>
          </w:p>
        </w:tc>
        <w:tc>
          <w:tcPr>
            <w:tcW w:w="2170" w:type="dxa"/>
          </w:tcPr>
          <w:p w14:paraId="0581E4FF" w14:textId="77777777" w:rsidR="00065A05" w:rsidRDefault="00065A05" w:rsidP="00EA2441">
            <w:pPr>
              <w:pStyle w:val="051Tabletext228pt"/>
              <w:spacing w:before="20" w:after="20"/>
            </w:pPr>
            <w:r w:rsidRPr="00B0485F">
              <w:t>SUI and USI</w:t>
            </w:r>
          </w:p>
          <w:p w14:paraId="00C5667C" w14:textId="22AFB8FA" w:rsidR="001B5207" w:rsidRPr="00B0485F" w:rsidRDefault="001B5207" w:rsidP="00EA2441">
            <w:pPr>
              <w:pStyle w:val="051Tabletext228pt"/>
              <w:spacing w:before="20" w:after="20"/>
            </w:pPr>
            <w:r>
              <w:t>N=148</w:t>
            </w:r>
          </w:p>
        </w:tc>
        <w:tc>
          <w:tcPr>
            <w:tcW w:w="1829" w:type="dxa"/>
          </w:tcPr>
          <w:p w14:paraId="2FF9649C" w14:textId="77777777" w:rsidR="00065A05" w:rsidRPr="007426E5" w:rsidRDefault="00065A05" w:rsidP="00EA2441">
            <w:pPr>
              <w:pStyle w:val="051Tabletext228pt"/>
              <w:spacing w:before="20" w:after="20"/>
            </w:pPr>
            <w:r w:rsidRPr="007426E5">
              <w:t>TVT-ABBREVO</w:t>
            </w:r>
          </w:p>
          <w:p w14:paraId="0D958C0B" w14:textId="77777777" w:rsidR="00065A05" w:rsidRPr="00B0485F" w:rsidRDefault="00065A05" w:rsidP="00EA2441">
            <w:pPr>
              <w:pStyle w:val="051Tabletext228pt"/>
              <w:spacing w:before="20" w:after="20"/>
            </w:pPr>
            <w:r w:rsidRPr="007426E5">
              <w:t>TVT-EXACT</w:t>
            </w:r>
          </w:p>
        </w:tc>
        <w:tc>
          <w:tcPr>
            <w:tcW w:w="2508" w:type="dxa"/>
          </w:tcPr>
          <w:p w14:paraId="3D2A3908" w14:textId="2C5857EB" w:rsidR="00065A05" w:rsidRPr="00B0485F" w:rsidRDefault="00065A05" w:rsidP="00EA2441">
            <w:pPr>
              <w:pStyle w:val="051Tabletext228pt"/>
              <w:spacing w:before="20" w:after="20"/>
            </w:pPr>
            <w:r w:rsidRPr="00B0485F">
              <w:t xml:space="preserve">Continence-specific </w:t>
            </w:r>
            <w:proofErr w:type="spellStart"/>
            <w:r w:rsidR="00902F60">
              <w:t>HR</w:t>
            </w:r>
            <w:r w:rsidRPr="00B0485F">
              <w:t>QoL</w:t>
            </w:r>
            <w:proofErr w:type="spellEnd"/>
          </w:p>
          <w:p w14:paraId="17DABE7D" w14:textId="38CCD373" w:rsidR="00065A05" w:rsidRPr="00B0485F" w:rsidRDefault="00512581" w:rsidP="00EA2441">
            <w:pPr>
              <w:pStyle w:val="051Tabletext228pt"/>
              <w:spacing w:before="20" w:after="20"/>
            </w:pPr>
            <w:r>
              <w:t>AEs</w:t>
            </w:r>
          </w:p>
          <w:p w14:paraId="3DCA83A6" w14:textId="77777777" w:rsidR="00065A05" w:rsidRPr="00B0485F" w:rsidRDefault="00065A05" w:rsidP="00EA2441">
            <w:pPr>
              <w:pStyle w:val="051Tabletext228pt"/>
              <w:spacing w:before="20" w:after="20"/>
            </w:pPr>
            <w:r w:rsidRPr="00B0485F">
              <w:t xml:space="preserve">Complications </w:t>
            </w:r>
          </w:p>
          <w:p w14:paraId="1D2940A9" w14:textId="77777777" w:rsidR="00065A05" w:rsidRPr="00B0485F" w:rsidRDefault="00065A05" w:rsidP="00EA2441">
            <w:pPr>
              <w:pStyle w:val="051Tabletext228pt"/>
              <w:spacing w:before="20" w:after="20"/>
            </w:pPr>
            <w:r w:rsidRPr="00B0485F">
              <w:t xml:space="preserve">Change in continence status </w:t>
            </w:r>
          </w:p>
          <w:p w14:paraId="52A26690" w14:textId="77777777" w:rsidR="00065A05" w:rsidRPr="00B0485F" w:rsidRDefault="00065A05" w:rsidP="00EA2441">
            <w:pPr>
              <w:pStyle w:val="051Tabletext228pt"/>
              <w:spacing w:before="20" w:after="20"/>
            </w:pPr>
            <w:r w:rsidRPr="00B0485F">
              <w:t>Repeat surgery</w:t>
            </w:r>
          </w:p>
        </w:tc>
        <w:tc>
          <w:tcPr>
            <w:tcW w:w="1808" w:type="dxa"/>
          </w:tcPr>
          <w:p w14:paraId="3B4593FB" w14:textId="77777777" w:rsidR="00065A05" w:rsidRPr="00B0485F" w:rsidRDefault="00065A05" w:rsidP="00EA2441">
            <w:pPr>
              <w:pStyle w:val="051Tabletext228pt"/>
              <w:spacing w:before="20" w:after="20"/>
            </w:pPr>
            <w:r w:rsidRPr="00B0485F">
              <w:t>6, 12, 24</w:t>
            </w:r>
          </w:p>
        </w:tc>
      </w:tr>
      <w:tr w:rsidR="00C50BC9" w:rsidRPr="00B0485F" w14:paraId="1159114A" w14:textId="77777777" w:rsidTr="00116789">
        <w:tc>
          <w:tcPr>
            <w:tcW w:w="1323" w:type="dxa"/>
          </w:tcPr>
          <w:p w14:paraId="0B9C5BBB" w14:textId="77777777" w:rsidR="00065A05" w:rsidRPr="00B0485F" w:rsidRDefault="00065A05" w:rsidP="00EA2441">
            <w:pPr>
              <w:pStyle w:val="051Tabletext228pt"/>
              <w:spacing w:before="20" w:after="20"/>
            </w:pPr>
            <w:r w:rsidRPr="00B0485F">
              <w:t>Freeman 2011</w:t>
            </w:r>
          </w:p>
          <w:p w14:paraId="0877C0EC" w14:textId="3739077C" w:rsidR="00065A05" w:rsidRPr="00B0485F" w:rsidRDefault="00065A05" w:rsidP="00EA2441">
            <w:pPr>
              <w:pStyle w:val="051Tabletext228pt"/>
              <w:spacing w:before="20" w:after="20"/>
            </w:pPr>
          </w:p>
        </w:tc>
        <w:tc>
          <w:tcPr>
            <w:tcW w:w="2170" w:type="dxa"/>
          </w:tcPr>
          <w:p w14:paraId="54C1F554" w14:textId="77777777" w:rsidR="00065A05" w:rsidRDefault="00065A05" w:rsidP="00EA2441">
            <w:pPr>
              <w:pStyle w:val="051Tabletext228pt"/>
              <w:spacing w:before="20" w:after="20"/>
            </w:pPr>
            <w:r w:rsidRPr="00B0485F">
              <w:t>USI or stress-predominant MUI who failed PFMT</w:t>
            </w:r>
          </w:p>
          <w:p w14:paraId="7530C2BF" w14:textId="1CF6FCDA" w:rsidR="001B5207" w:rsidRPr="00B0485F" w:rsidRDefault="001B5207" w:rsidP="00EA2441">
            <w:pPr>
              <w:pStyle w:val="051Tabletext228pt"/>
              <w:spacing w:before="20" w:after="20"/>
            </w:pPr>
            <w:r>
              <w:t>N=192</w:t>
            </w:r>
          </w:p>
        </w:tc>
        <w:tc>
          <w:tcPr>
            <w:tcW w:w="1829" w:type="dxa"/>
          </w:tcPr>
          <w:p w14:paraId="6AAC0F3F" w14:textId="77777777" w:rsidR="00065A05" w:rsidRPr="00B0485F" w:rsidRDefault="00065A05" w:rsidP="00EA2441">
            <w:pPr>
              <w:pStyle w:val="051Tabletext228pt"/>
              <w:spacing w:before="20" w:after="20"/>
            </w:pPr>
            <w:r w:rsidRPr="00B0485F">
              <w:t>TOT</w:t>
            </w:r>
          </w:p>
          <w:p w14:paraId="65D1D972" w14:textId="77777777" w:rsidR="00065A05" w:rsidRPr="00B0485F" w:rsidRDefault="00065A05" w:rsidP="00EA2441">
            <w:pPr>
              <w:pStyle w:val="051Tabletext228pt"/>
              <w:spacing w:before="20" w:after="20"/>
            </w:pPr>
            <w:r w:rsidRPr="00B0485F">
              <w:t>TVT</w:t>
            </w:r>
          </w:p>
        </w:tc>
        <w:tc>
          <w:tcPr>
            <w:tcW w:w="2508" w:type="dxa"/>
          </w:tcPr>
          <w:p w14:paraId="3E8FEA64" w14:textId="5CC48462" w:rsidR="00065A05" w:rsidRPr="00B0485F" w:rsidRDefault="00065A05" w:rsidP="00EA2441">
            <w:pPr>
              <w:pStyle w:val="051Tabletext228pt"/>
              <w:spacing w:before="20" w:after="20"/>
            </w:pPr>
            <w:r w:rsidRPr="00B0485F">
              <w:t xml:space="preserve">Continence-specific </w:t>
            </w:r>
            <w:proofErr w:type="spellStart"/>
            <w:r w:rsidR="00902F60">
              <w:t>HR</w:t>
            </w:r>
            <w:r w:rsidRPr="00B0485F">
              <w:t>QoL</w:t>
            </w:r>
            <w:proofErr w:type="spellEnd"/>
          </w:p>
          <w:p w14:paraId="321FE176" w14:textId="61C4ED49" w:rsidR="00065A05" w:rsidRPr="00B0485F" w:rsidRDefault="00512581" w:rsidP="00EA2441">
            <w:pPr>
              <w:pStyle w:val="051Tabletext228pt"/>
              <w:spacing w:before="20" w:after="20"/>
            </w:pPr>
            <w:r>
              <w:t>AEs</w:t>
            </w:r>
          </w:p>
          <w:p w14:paraId="0C192B43" w14:textId="77777777" w:rsidR="00065A05" w:rsidRPr="00B0485F" w:rsidRDefault="00065A05" w:rsidP="00EA2441">
            <w:pPr>
              <w:pStyle w:val="051Tabletext228pt"/>
              <w:spacing w:before="20" w:after="20"/>
            </w:pPr>
            <w:r w:rsidRPr="00B0485F">
              <w:t xml:space="preserve">Complications </w:t>
            </w:r>
          </w:p>
          <w:p w14:paraId="3C9D5014" w14:textId="77777777" w:rsidR="00065A05" w:rsidRPr="00B0485F" w:rsidRDefault="00065A05" w:rsidP="00EA2441">
            <w:pPr>
              <w:pStyle w:val="051Tabletext228pt"/>
              <w:spacing w:before="20" w:after="20"/>
            </w:pPr>
            <w:r w:rsidRPr="00B0485F">
              <w:t xml:space="preserve">Change in continence status </w:t>
            </w:r>
          </w:p>
          <w:p w14:paraId="7A15E594" w14:textId="77777777" w:rsidR="00065A05" w:rsidRPr="00B0485F" w:rsidRDefault="00065A05" w:rsidP="00EA2441">
            <w:pPr>
              <w:pStyle w:val="051Tabletext228pt"/>
              <w:spacing w:before="20" w:after="20"/>
            </w:pPr>
            <w:r w:rsidRPr="00B0485F">
              <w:t>Repeat surgery</w:t>
            </w:r>
          </w:p>
        </w:tc>
        <w:tc>
          <w:tcPr>
            <w:tcW w:w="1808" w:type="dxa"/>
          </w:tcPr>
          <w:p w14:paraId="3515688F" w14:textId="77777777" w:rsidR="00065A05" w:rsidRPr="00B0485F" w:rsidRDefault="00065A05" w:rsidP="00EA2441">
            <w:pPr>
              <w:pStyle w:val="051Tabletext228pt"/>
              <w:spacing w:before="20" w:after="20"/>
            </w:pPr>
            <w:r w:rsidRPr="00B0485F">
              <w:t>12</w:t>
            </w:r>
          </w:p>
        </w:tc>
      </w:tr>
      <w:tr w:rsidR="00C50BC9" w:rsidRPr="00B0485F" w14:paraId="02881379" w14:textId="77777777" w:rsidTr="00116789">
        <w:tc>
          <w:tcPr>
            <w:tcW w:w="1323" w:type="dxa"/>
          </w:tcPr>
          <w:p w14:paraId="20F90778" w14:textId="77777777" w:rsidR="00065A05" w:rsidRPr="00B0485F" w:rsidRDefault="00065A05" w:rsidP="00EA2441">
            <w:pPr>
              <w:pStyle w:val="051Tabletext228pt"/>
              <w:spacing w:before="20" w:after="20"/>
            </w:pPr>
            <w:proofErr w:type="spellStart"/>
            <w:r w:rsidRPr="00B0485F">
              <w:t>Jakimuk</w:t>
            </w:r>
            <w:proofErr w:type="spellEnd"/>
            <w:r w:rsidRPr="00B0485F">
              <w:t xml:space="preserve"> 2012</w:t>
            </w:r>
          </w:p>
          <w:p w14:paraId="0CA05A4B" w14:textId="5FBDD51A" w:rsidR="00065A05" w:rsidRPr="00B0485F" w:rsidRDefault="00065A05" w:rsidP="00EA2441">
            <w:pPr>
              <w:pStyle w:val="051Tabletext228pt"/>
              <w:spacing w:before="20" w:after="20"/>
            </w:pPr>
          </w:p>
        </w:tc>
        <w:tc>
          <w:tcPr>
            <w:tcW w:w="2170" w:type="dxa"/>
          </w:tcPr>
          <w:p w14:paraId="4F01C996" w14:textId="77777777" w:rsidR="00065A05" w:rsidRDefault="00065A05" w:rsidP="00EA2441">
            <w:pPr>
              <w:pStyle w:val="051Tabletext228pt"/>
              <w:spacing w:before="20" w:after="20"/>
            </w:pPr>
            <w:r w:rsidRPr="00B0485F">
              <w:t>Incontinence surgery-naïve USI</w:t>
            </w:r>
          </w:p>
          <w:p w14:paraId="7EB49E99" w14:textId="523B2309" w:rsidR="001B5207" w:rsidRPr="00B0485F" w:rsidRDefault="001B5207" w:rsidP="00EA2441">
            <w:pPr>
              <w:pStyle w:val="051Tabletext228pt"/>
              <w:spacing w:before="20" w:after="20"/>
            </w:pPr>
            <w:r>
              <w:t>N=35</w:t>
            </w:r>
          </w:p>
        </w:tc>
        <w:tc>
          <w:tcPr>
            <w:tcW w:w="1829" w:type="dxa"/>
          </w:tcPr>
          <w:p w14:paraId="72354BFD" w14:textId="77777777" w:rsidR="00065A05" w:rsidRPr="00B0485F" w:rsidRDefault="00065A05" w:rsidP="00EA2441">
            <w:pPr>
              <w:pStyle w:val="051Tabletext228pt"/>
              <w:spacing w:before="20" w:after="20"/>
            </w:pPr>
            <w:r w:rsidRPr="00B0485F">
              <w:t>TVT-O</w:t>
            </w:r>
          </w:p>
          <w:p w14:paraId="01B12538" w14:textId="77777777" w:rsidR="00065A05" w:rsidRPr="00B0485F" w:rsidRDefault="00065A05" w:rsidP="00EA2441">
            <w:pPr>
              <w:pStyle w:val="051Tabletext228pt"/>
              <w:spacing w:before="20" w:after="20"/>
            </w:pPr>
            <w:r w:rsidRPr="00B0485F">
              <w:t>TVT</w:t>
            </w:r>
          </w:p>
        </w:tc>
        <w:tc>
          <w:tcPr>
            <w:tcW w:w="2508" w:type="dxa"/>
          </w:tcPr>
          <w:p w14:paraId="03ED9603" w14:textId="0D825E50" w:rsidR="00065A05" w:rsidRPr="00B0485F" w:rsidRDefault="00065A05" w:rsidP="00EA2441">
            <w:pPr>
              <w:pStyle w:val="051Tabletext228pt"/>
              <w:spacing w:before="20" w:after="20"/>
            </w:pPr>
            <w:r w:rsidRPr="00B0485F">
              <w:t>Continence-specific</w:t>
            </w:r>
            <w:r w:rsidR="00450193">
              <w:t xml:space="preserve"> </w:t>
            </w:r>
            <w:proofErr w:type="spellStart"/>
            <w:r w:rsidR="00902F60">
              <w:t>HR</w:t>
            </w:r>
            <w:r w:rsidRPr="00B0485F">
              <w:t>QoL</w:t>
            </w:r>
            <w:proofErr w:type="spellEnd"/>
          </w:p>
          <w:p w14:paraId="4CA09B34" w14:textId="5B0B7684" w:rsidR="00065A05" w:rsidRPr="00B0485F" w:rsidRDefault="00512581" w:rsidP="00EA2441">
            <w:pPr>
              <w:pStyle w:val="051Tabletext228pt"/>
              <w:spacing w:before="20" w:after="20"/>
            </w:pPr>
            <w:r>
              <w:t>AEs</w:t>
            </w:r>
          </w:p>
          <w:p w14:paraId="486EE782" w14:textId="77777777" w:rsidR="00065A05" w:rsidRPr="00B0485F" w:rsidRDefault="00065A05" w:rsidP="00EA2441">
            <w:pPr>
              <w:pStyle w:val="051Tabletext228pt"/>
              <w:spacing w:before="20" w:after="20"/>
            </w:pPr>
            <w:r w:rsidRPr="00B0485F">
              <w:t xml:space="preserve">Complications </w:t>
            </w:r>
          </w:p>
          <w:p w14:paraId="61B437AC" w14:textId="77777777" w:rsidR="00065A05" w:rsidRPr="00B0485F" w:rsidRDefault="00065A05" w:rsidP="00EA2441">
            <w:pPr>
              <w:pStyle w:val="051Tabletext228pt"/>
              <w:spacing w:before="20" w:after="20"/>
            </w:pPr>
            <w:r w:rsidRPr="00B0485F">
              <w:t xml:space="preserve">Change in continence status </w:t>
            </w:r>
          </w:p>
        </w:tc>
        <w:tc>
          <w:tcPr>
            <w:tcW w:w="1808" w:type="dxa"/>
          </w:tcPr>
          <w:p w14:paraId="59C8AC55" w14:textId="77777777" w:rsidR="00065A05" w:rsidRPr="00B0485F" w:rsidRDefault="00065A05" w:rsidP="00EA2441">
            <w:pPr>
              <w:pStyle w:val="051Tabletext228pt"/>
              <w:spacing w:before="20" w:after="20"/>
            </w:pPr>
            <w:r w:rsidRPr="00B0485F">
              <w:t>6</w:t>
            </w:r>
          </w:p>
        </w:tc>
      </w:tr>
      <w:tr w:rsidR="00C50BC9" w:rsidRPr="00B0485F" w14:paraId="414579C2" w14:textId="77777777" w:rsidTr="00116789">
        <w:tc>
          <w:tcPr>
            <w:tcW w:w="1323" w:type="dxa"/>
          </w:tcPr>
          <w:p w14:paraId="395FAD39" w14:textId="77777777" w:rsidR="00065A05" w:rsidRPr="00B0485F" w:rsidRDefault="00065A05" w:rsidP="00EA2441">
            <w:pPr>
              <w:pStyle w:val="051Tabletext228pt"/>
              <w:spacing w:before="20" w:after="20"/>
            </w:pPr>
            <w:proofErr w:type="spellStart"/>
            <w:r w:rsidRPr="00B0485F">
              <w:t>Karateke</w:t>
            </w:r>
            <w:proofErr w:type="spellEnd"/>
            <w:r w:rsidRPr="00B0485F">
              <w:t xml:space="preserve"> 2009</w:t>
            </w:r>
          </w:p>
          <w:p w14:paraId="26853A41" w14:textId="5B51A25D" w:rsidR="00065A05" w:rsidRPr="00B0485F" w:rsidRDefault="00065A05" w:rsidP="00EA2441">
            <w:pPr>
              <w:pStyle w:val="051Tabletext228pt"/>
              <w:spacing w:before="20" w:after="20"/>
            </w:pPr>
          </w:p>
        </w:tc>
        <w:tc>
          <w:tcPr>
            <w:tcW w:w="2170" w:type="dxa"/>
          </w:tcPr>
          <w:p w14:paraId="2DA5B639" w14:textId="77777777" w:rsidR="00065A05" w:rsidRDefault="00065A05" w:rsidP="00EA2441">
            <w:pPr>
              <w:pStyle w:val="051Tabletext228pt"/>
              <w:spacing w:before="20" w:after="20"/>
            </w:pPr>
            <w:r w:rsidRPr="00B0485F">
              <w:t>Incontinence surgery-naïve USI and no DO or OAB</w:t>
            </w:r>
          </w:p>
          <w:p w14:paraId="60189239" w14:textId="5FAAB40A" w:rsidR="001B5207" w:rsidRPr="00B0485F" w:rsidRDefault="001B5207" w:rsidP="00EA2441">
            <w:pPr>
              <w:pStyle w:val="051Tabletext228pt"/>
              <w:spacing w:before="20" w:after="20"/>
            </w:pPr>
            <w:r>
              <w:t>N=167</w:t>
            </w:r>
          </w:p>
        </w:tc>
        <w:tc>
          <w:tcPr>
            <w:tcW w:w="1829" w:type="dxa"/>
          </w:tcPr>
          <w:p w14:paraId="29AE80E8" w14:textId="77777777" w:rsidR="00065A05" w:rsidRPr="00B0485F" w:rsidRDefault="00065A05" w:rsidP="00EA2441">
            <w:pPr>
              <w:pStyle w:val="051Tabletext228pt"/>
              <w:spacing w:before="20" w:after="20"/>
            </w:pPr>
            <w:r w:rsidRPr="00B0485F">
              <w:t>TVT-O</w:t>
            </w:r>
          </w:p>
          <w:p w14:paraId="269402D9" w14:textId="77777777" w:rsidR="00065A05" w:rsidRPr="00B0485F" w:rsidRDefault="00065A05" w:rsidP="00EA2441">
            <w:pPr>
              <w:pStyle w:val="051Tabletext228pt"/>
              <w:spacing w:before="20" w:after="20"/>
            </w:pPr>
            <w:r w:rsidRPr="00B0485F">
              <w:t>TVT</w:t>
            </w:r>
          </w:p>
        </w:tc>
        <w:tc>
          <w:tcPr>
            <w:tcW w:w="2508" w:type="dxa"/>
          </w:tcPr>
          <w:p w14:paraId="173E0C03" w14:textId="5D60A12E" w:rsidR="00065A05" w:rsidRPr="00B0485F" w:rsidRDefault="00512581" w:rsidP="00EA2441">
            <w:pPr>
              <w:pStyle w:val="051Tabletext228pt"/>
              <w:spacing w:before="20" w:after="20"/>
            </w:pPr>
            <w:r>
              <w:t>AEs</w:t>
            </w:r>
          </w:p>
          <w:p w14:paraId="425F8603" w14:textId="77777777" w:rsidR="00065A05" w:rsidRPr="00B0485F" w:rsidRDefault="00065A05" w:rsidP="00EA2441">
            <w:pPr>
              <w:pStyle w:val="051Tabletext228pt"/>
              <w:spacing w:before="20" w:after="20"/>
            </w:pPr>
            <w:r w:rsidRPr="00B0485F">
              <w:t xml:space="preserve">Complications </w:t>
            </w:r>
          </w:p>
          <w:p w14:paraId="65A50066" w14:textId="77777777" w:rsidR="00065A05" w:rsidRPr="00B0485F" w:rsidRDefault="00065A05" w:rsidP="00EA2441">
            <w:pPr>
              <w:pStyle w:val="051Tabletext228pt"/>
              <w:spacing w:before="20" w:after="20"/>
            </w:pPr>
            <w:r w:rsidRPr="00B0485F">
              <w:t>Change in continence status</w:t>
            </w:r>
          </w:p>
        </w:tc>
        <w:tc>
          <w:tcPr>
            <w:tcW w:w="1808" w:type="dxa"/>
          </w:tcPr>
          <w:p w14:paraId="060D24B2" w14:textId="77777777" w:rsidR="00065A05" w:rsidRPr="00B0485F" w:rsidRDefault="00065A05" w:rsidP="00EA2441">
            <w:pPr>
              <w:pStyle w:val="051Tabletext228pt"/>
              <w:spacing w:before="20" w:after="20"/>
            </w:pPr>
            <w:r w:rsidRPr="00B0485F">
              <w:t>12, 14 (mean)</w:t>
            </w:r>
          </w:p>
        </w:tc>
      </w:tr>
      <w:tr w:rsidR="00C50BC9" w:rsidRPr="00B0485F" w14:paraId="7B7D95FA" w14:textId="77777777" w:rsidTr="00116789">
        <w:tc>
          <w:tcPr>
            <w:tcW w:w="1323" w:type="dxa"/>
          </w:tcPr>
          <w:p w14:paraId="215CF10D" w14:textId="77777777" w:rsidR="00065A05" w:rsidRPr="00B0485F" w:rsidRDefault="00065A05" w:rsidP="00EA2441">
            <w:pPr>
              <w:pStyle w:val="051Tabletext228pt"/>
              <w:spacing w:before="20" w:after="20"/>
            </w:pPr>
            <w:r w:rsidRPr="00B0485F">
              <w:t>Krofta 2010</w:t>
            </w:r>
          </w:p>
          <w:p w14:paraId="059856F1" w14:textId="3CF835FC" w:rsidR="00065A05" w:rsidRPr="00B0485F" w:rsidRDefault="00065A05" w:rsidP="00EA2441">
            <w:pPr>
              <w:pStyle w:val="051Tabletext228pt"/>
              <w:spacing w:before="20" w:after="20"/>
            </w:pPr>
          </w:p>
        </w:tc>
        <w:tc>
          <w:tcPr>
            <w:tcW w:w="2170" w:type="dxa"/>
          </w:tcPr>
          <w:p w14:paraId="468CEA0D" w14:textId="77777777" w:rsidR="00065A05" w:rsidRDefault="00065A05" w:rsidP="00EA2441">
            <w:pPr>
              <w:pStyle w:val="051Tabletext228pt"/>
              <w:spacing w:before="20" w:after="20"/>
            </w:pPr>
            <w:r w:rsidRPr="00B0485F">
              <w:t>Incontinence and prolapse surgery naïve USI who failed conservative treatment</w:t>
            </w:r>
          </w:p>
          <w:p w14:paraId="404C1F83" w14:textId="67E32ACD" w:rsidR="001B5207" w:rsidRPr="00B0485F" w:rsidRDefault="001B5207" w:rsidP="00EA2441">
            <w:pPr>
              <w:pStyle w:val="051Tabletext228pt"/>
              <w:spacing w:before="20" w:after="20"/>
            </w:pPr>
            <w:r>
              <w:t>N=300</w:t>
            </w:r>
          </w:p>
        </w:tc>
        <w:tc>
          <w:tcPr>
            <w:tcW w:w="1829" w:type="dxa"/>
          </w:tcPr>
          <w:p w14:paraId="4361B4C3" w14:textId="77777777" w:rsidR="00065A05" w:rsidRPr="00B0485F" w:rsidRDefault="00065A05" w:rsidP="00EA2441">
            <w:pPr>
              <w:pStyle w:val="051Tabletext228pt"/>
              <w:spacing w:before="20" w:after="20"/>
            </w:pPr>
            <w:r w:rsidRPr="00B0485F">
              <w:t>TVT-O</w:t>
            </w:r>
          </w:p>
          <w:p w14:paraId="16608452" w14:textId="77777777" w:rsidR="00065A05" w:rsidRPr="00B0485F" w:rsidRDefault="00065A05" w:rsidP="00EA2441">
            <w:pPr>
              <w:pStyle w:val="051Tabletext228pt"/>
              <w:spacing w:before="20" w:after="20"/>
            </w:pPr>
            <w:r w:rsidRPr="00B0485F">
              <w:t>TVT</w:t>
            </w:r>
          </w:p>
        </w:tc>
        <w:tc>
          <w:tcPr>
            <w:tcW w:w="2508" w:type="dxa"/>
          </w:tcPr>
          <w:p w14:paraId="0FC0EB59" w14:textId="0DC70449" w:rsidR="00065A05" w:rsidRPr="00B0485F" w:rsidRDefault="00065A05" w:rsidP="00EA2441">
            <w:pPr>
              <w:pStyle w:val="051Tabletext228pt"/>
              <w:spacing w:before="20" w:after="20"/>
            </w:pPr>
            <w:r w:rsidRPr="00B0485F">
              <w:t xml:space="preserve">Continence-specific </w:t>
            </w:r>
            <w:proofErr w:type="spellStart"/>
            <w:r w:rsidR="00902F60">
              <w:t>HR</w:t>
            </w:r>
            <w:r w:rsidRPr="00B0485F">
              <w:t>QoL</w:t>
            </w:r>
            <w:proofErr w:type="spellEnd"/>
          </w:p>
          <w:p w14:paraId="77117997" w14:textId="4B5B9DA6" w:rsidR="00065A05" w:rsidRPr="00B0485F" w:rsidRDefault="00512581" w:rsidP="00EA2441">
            <w:pPr>
              <w:pStyle w:val="051Tabletext228pt"/>
              <w:spacing w:before="20" w:after="20"/>
            </w:pPr>
            <w:r>
              <w:t>AEs</w:t>
            </w:r>
          </w:p>
          <w:p w14:paraId="747281E6" w14:textId="77777777" w:rsidR="00065A05" w:rsidRPr="00B0485F" w:rsidRDefault="00065A05" w:rsidP="00EA2441">
            <w:pPr>
              <w:pStyle w:val="051Tabletext228pt"/>
              <w:spacing w:before="20" w:after="20"/>
            </w:pPr>
            <w:r w:rsidRPr="00B0485F">
              <w:t xml:space="preserve">Complications </w:t>
            </w:r>
          </w:p>
          <w:p w14:paraId="67EE520F" w14:textId="77777777" w:rsidR="00065A05" w:rsidRPr="00B0485F" w:rsidRDefault="00065A05" w:rsidP="00EA2441">
            <w:pPr>
              <w:pStyle w:val="051Tabletext228pt"/>
              <w:spacing w:before="20" w:after="20"/>
            </w:pPr>
            <w:r w:rsidRPr="00B0485F">
              <w:t xml:space="preserve">Change in continence status </w:t>
            </w:r>
          </w:p>
          <w:p w14:paraId="3CCEECE1" w14:textId="77777777" w:rsidR="00065A05" w:rsidRPr="00B0485F" w:rsidRDefault="00065A05" w:rsidP="00EA2441">
            <w:pPr>
              <w:pStyle w:val="051Tabletext228pt"/>
              <w:spacing w:before="20" w:after="20"/>
            </w:pPr>
            <w:r w:rsidRPr="00B0485F">
              <w:t>Repeat surgery</w:t>
            </w:r>
          </w:p>
        </w:tc>
        <w:tc>
          <w:tcPr>
            <w:tcW w:w="1808" w:type="dxa"/>
          </w:tcPr>
          <w:p w14:paraId="69624F00" w14:textId="77777777" w:rsidR="00065A05" w:rsidRPr="00B0485F" w:rsidRDefault="00065A05" w:rsidP="00EA2441">
            <w:pPr>
              <w:pStyle w:val="051Tabletext228pt"/>
              <w:spacing w:before="20" w:after="20"/>
            </w:pPr>
            <w:r w:rsidRPr="00B0485F">
              <w:t>12</w:t>
            </w:r>
          </w:p>
        </w:tc>
      </w:tr>
      <w:tr w:rsidR="00C50BC9" w:rsidRPr="00B0485F" w14:paraId="2A5BF422" w14:textId="77777777" w:rsidTr="00116789">
        <w:tc>
          <w:tcPr>
            <w:tcW w:w="1323" w:type="dxa"/>
          </w:tcPr>
          <w:p w14:paraId="515A5358" w14:textId="0C6730C0" w:rsidR="00065A05" w:rsidRPr="00B0485F" w:rsidRDefault="00065A05" w:rsidP="00EA2441">
            <w:pPr>
              <w:pStyle w:val="051Tabletext228pt"/>
              <w:spacing w:before="20" w:after="20"/>
            </w:pPr>
            <w:proofErr w:type="spellStart"/>
            <w:r w:rsidRPr="00B0485F">
              <w:t>Laurikainen</w:t>
            </w:r>
            <w:proofErr w:type="spellEnd"/>
            <w:r w:rsidRPr="00B0485F">
              <w:t xml:space="preserve"> 2007/ Rinne 2008/ </w:t>
            </w:r>
            <w:proofErr w:type="spellStart"/>
            <w:r w:rsidRPr="00B0485F">
              <w:t>Laurikainen</w:t>
            </w:r>
            <w:proofErr w:type="spellEnd"/>
            <w:r w:rsidRPr="00B0485F">
              <w:t xml:space="preserve"> 2014</w:t>
            </w:r>
          </w:p>
        </w:tc>
        <w:tc>
          <w:tcPr>
            <w:tcW w:w="2170" w:type="dxa"/>
          </w:tcPr>
          <w:p w14:paraId="278A7C41" w14:textId="77777777" w:rsidR="00065A05" w:rsidRDefault="00065A05" w:rsidP="00EA2441">
            <w:pPr>
              <w:pStyle w:val="051Tabletext228pt"/>
              <w:spacing w:before="20" w:after="20"/>
            </w:pPr>
            <w:r w:rsidRPr="00B0485F">
              <w:t>History of SUI, positive cough stress test, detrusor instability score ≤7</w:t>
            </w:r>
          </w:p>
          <w:p w14:paraId="113C2C8A" w14:textId="60A25E75" w:rsidR="001B5207" w:rsidRPr="00B0485F" w:rsidRDefault="001B5207" w:rsidP="00EA2441">
            <w:pPr>
              <w:pStyle w:val="051Tabletext228pt"/>
              <w:spacing w:before="20" w:after="20"/>
            </w:pPr>
            <w:r>
              <w:t>N=273</w:t>
            </w:r>
          </w:p>
        </w:tc>
        <w:tc>
          <w:tcPr>
            <w:tcW w:w="1829" w:type="dxa"/>
          </w:tcPr>
          <w:p w14:paraId="4C856E3E" w14:textId="77777777" w:rsidR="00065A05" w:rsidRPr="00B0485F" w:rsidRDefault="00065A05" w:rsidP="00EA2441">
            <w:pPr>
              <w:pStyle w:val="051Tabletext228pt"/>
              <w:spacing w:before="20" w:after="20"/>
            </w:pPr>
            <w:r w:rsidRPr="00B0485F">
              <w:t>TVT-O</w:t>
            </w:r>
          </w:p>
          <w:p w14:paraId="35E31EA2" w14:textId="77777777" w:rsidR="00065A05" w:rsidRPr="00B0485F" w:rsidRDefault="00065A05" w:rsidP="00EA2441">
            <w:pPr>
              <w:pStyle w:val="051Tabletext228pt"/>
              <w:spacing w:before="20" w:after="20"/>
            </w:pPr>
            <w:r w:rsidRPr="00B0485F">
              <w:t>TVT</w:t>
            </w:r>
          </w:p>
        </w:tc>
        <w:tc>
          <w:tcPr>
            <w:tcW w:w="2508" w:type="dxa"/>
          </w:tcPr>
          <w:p w14:paraId="651B0C15" w14:textId="5CB91085" w:rsidR="00065A05" w:rsidRPr="00B0485F" w:rsidRDefault="00512581" w:rsidP="00EA2441">
            <w:pPr>
              <w:pStyle w:val="051Tabletext228pt"/>
              <w:spacing w:before="20" w:after="20"/>
            </w:pPr>
            <w:r>
              <w:t>AEs</w:t>
            </w:r>
          </w:p>
          <w:p w14:paraId="59AB7CA9" w14:textId="77777777" w:rsidR="00065A05" w:rsidRPr="00B0485F" w:rsidRDefault="00065A05" w:rsidP="00EA2441">
            <w:pPr>
              <w:pStyle w:val="051Tabletext228pt"/>
              <w:spacing w:before="20" w:after="20"/>
            </w:pPr>
            <w:r w:rsidRPr="00B0485F">
              <w:t xml:space="preserve">Complications </w:t>
            </w:r>
          </w:p>
          <w:p w14:paraId="22DA42FA" w14:textId="77777777" w:rsidR="00065A05" w:rsidRPr="00B0485F" w:rsidRDefault="00065A05" w:rsidP="00EA2441">
            <w:pPr>
              <w:pStyle w:val="051Tabletext228pt"/>
              <w:spacing w:before="20" w:after="20"/>
            </w:pPr>
            <w:r w:rsidRPr="00B0485F">
              <w:t xml:space="preserve">Change in continence status </w:t>
            </w:r>
          </w:p>
          <w:p w14:paraId="2A4833A8" w14:textId="77777777" w:rsidR="00065A05" w:rsidRPr="00B0485F" w:rsidRDefault="00065A05" w:rsidP="00EA2441">
            <w:pPr>
              <w:pStyle w:val="051Tabletext228pt"/>
              <w:spacing w:before="20" w:after="20"/>
            </w:pPr>
            <w:r w:rsidRPr="00B0485F">
              <w:t>Repeat surgery</w:t>
            </w:r>
          </w:p>
        </w:tc>
        <w:tc>
          <w:tcPr>
            <w:tcW w:w="1808" w:type="dxa"/>
          </w:tcPr>
          <w:p w14:paraId="2EF28EC5" w14:textId="77777777" w:rsidR="00065A05" w:rsidRPr="00B0485F" w:rsidRDefault="00065A05" w:rsidP="00EA2441">
            <w:pPr>
              <w:pStyle w:val="051Tabletext228pt"/>
              <w:spacing w:before="20" w:after="20"/>
            </w:pPr>
            <w:r w:rsidRPr="00B0485F">
              <w:t>2/12/60</w:t>
            </w:r>
          </w:p>
        </w:tc>
      </w:tr>
      <w:tr w:rsidR="00C50BC9" w:rsidRPr="00B0485F" w14:paraId="7335D54E" w14:textId="77777777" w:rsidTr="00116789">
        <w:tc>
          <w:tcPr>
            <w:tcW w:w="1323" w:type="dxa"/>
          </w:tcPr>
          <w:p w14:paraId="24B18AA7" w14:textId="77777777" w:rsidR="00065A05" w:rsidRPr="00B0485F" w:rsidRDefault="00065A05" w:rsidP="00EA2441">
            <w:pPr>
              <w:pStyle w:val="051Tabletext228pt"/>
              <w:spacing w:before="20" w:after="20"/>
            </w:pPr>
            <w:r w:rsidRPr="00B0485F">
              <w:lastRenderedPageBreak/>
              <w:t>Liapis 2006</w:t>
            </w:r>
          </w:p>
          <w:p w14:paraId="4A20FB63" w14:textId="1D213FE9" w:rsidR="00065A05" w:rsidRPr="00B0485F" w:rsidRDefault="00065A05" w:rsidP="00EA2441">
            <w:pPr>
              <w:pStyle w:val="051Tabletext228pt"/>
              <w:spacing w:before="20" w:after="20"/>
            </w:pPr>
          </w:p>
        </w:tc>
        <w:tc>
          <w:tcPr>
            <w:tcW w:w="2170" w:type="dxa"/>
          </w:tcPr>
          <w:p w14:paraId="5F5A07AB" w14:textId="77777777" w:rsidR="00065A05" w:rsidRDefault="00065A05" w:rsidP="00EA2441">
            <w:pPr>
              <w:pStyle w:val="051Tabletext228pt"/>
              <w:spacing w:before="20" w:after="20"/>
            </w:pPr>
            <w:r w:rsidRPr="00B0485F">
              <w:t>Incontinence surgery-naïve SUI and no OAB</w:t>
            </w:r>
          </w:p>
          <w:p w14:paraId="6E58F32F" w14:textId="3DF0E8E7" w:rsidR="001B5207" w:rsidRPr="00B0485F" w:rsidRDefault="001B5207" w:rsidP="00EA2441">
            <w:pPr>
              <w:pStyle w:val="051Tabletext228pt"/>
              <w:spacing w:before="20" w:after="20"/>
            </w:pPr>
            <w:r>
              <w:t>N=91</w:t>
            </w:r>
          </w:p>
        </w:tc>
        <w:tc>
          <w:tcPr>
            <w:tcW w:w="1829" w:type="dxa"/>
          </w:tcPr>
          <w:p w14:paraId="65763354" w14:textId="77777777" w:rsidR="00065A05" w:rsidRPr="00B0485F" w:rsidRDefault="00065A05" w:rsidP="00EA2441">
            <w:pPr>
              <w:pStyle w:val="051Tabletext228pt"/>
              <w:spacing w:before="20" w:after="20"/>
            </w:pPr>
            <w:r w:rsidRPr="00B0485F">
              <w:t>TVT-O</w:t>
            </w:r>
          </w:p>
          <w:p w14:paraId="029C1508" w14:textId="77777777" w:rsidR="00065A05" w:rsidRPr="00B0485F" w:rsidRDefault="00065A05" w:rsidP="00EA2441">
            <w:pPr>
              <w:pStyle w:val="051Tabletext228pt"/>
              <w:spacing w:before="20" w:after="20"/>
            </w:pPr>
            <w:r w:rsidRPr="00B0485F">
              <w:t>TVT</w:t>
            </w:r>
          </w:p>
        </w:tc>
        <w:tc>
          <w:tcPr>
            <w:tcW w:w="2508" w:type="dxa"/>
          </w:tcPr>
          <w:p w14:paraId="6BE5F994" w14:textId="77777777" w:rsidR="00512581" w:rsidRPr="00B0485F" w:rsidRDefault="00512581" w:rsidP="00512581">
            <w:pPr>
              <w:pStyle w:val="051Tabletext228pt"/>
              <w:spacing w:before="20" w:after="20"/>
            </w:pPr>
            <w:r>
              <w:t>AEs</w:t>
            </w:r>
          </w:p>
          <w:p w14:paraId="70B8BF06" w14:textId="77777777" w:rsidR="00065A05" w:rsidRPr="00B0485F" w:rsidRDefault="00065A05" w:rsidP="00EA2441">
            <w:pPr>
              <w:pStyle w:val="051Tabletext228pt"/>
              <w:spacing w:before="20" w:after="20"/>
            </w:pPr>
            <w:r w:rsidRPr="00B0485F">
              <w:t xml:space="preserve">Complications </w:t>
            </w:r>
          </w:p>
          <w:p w14:paraId="7A854FAC" w14:textId="77777777" w:rsidR="00065A05" w:rsidRPr="00B0485F" w:rsidRDefault="00065A05" w:rsidP="00EA2441">
            <w:pPr>
              <w:pStyle w:val="051Tabletext228pt"/>
              <w:spacing w:before="20" w:after="20"/>
            </w:pPr>
            <w:r w:rsidRPr="00B0485F">
              <w:t xml:space="preserve">Change in continence status </w:t>
            </w:r>
          </w:p>
          <w:p w14:paraId="674E7B7C" w14:textId="77777777" w:rsidR="00065A05" w:rsidRPr="00B0485F" w:rsidRDefault="00065A05" w:rsidP="00EA2441">
            <w:pPr>
              <w:pStyle w:val="051Tabletext228pt"/>
              <w:spacing w:before="20" w:after="20"/>
            </w:pPr>
            <w:r w:rsidRPr="00B0485F">
              <w:t>Repeat surgery</w:t>
            </w:r>
          </w:p>
        </w:tc>
        <w:tc>
          <w:tcPr>
            <w:tcW w:w="1808" w:type="dxa"/>
          </w:tcPr>
          <w:p w14:paraId="48E42395" w14:textId="77777777" w:rsidR="00065A05" w:rsidRPr="00B0485F" w:rsidRDefault="00065A05" w:rsidP="00EA2441">
            <w:pPr>
              <w:pStyle w:val="051Tabletext228pt"/>
              <w:spacing w:before="20" w:after="20"/>
            </w:pPr>
            <w:r w:rsidRPr="00B0485F">
              <w:t>12</w:t>
            </w:r>
          </w:p>
        </w:tc>
      </w:tr>
      <w:tr w:rsidR="00C50BC9" w:rsidRPr="00B0485F" w14:paraId="37B8E229" w14:textId="77777777" w:rsidTr="00116789">
        <w:tc>
          <w:tcPr>
            <w:tcW w:w="1323" w:type="dxa"/>
          </w:tcPr>
          <w:p w14:paraId="73450ACB" w14:textId="77777777" w:rsidR="00065A05" w:rsidRPr="00B0485F" w:rsidRDefault="00065A05" w:rsidP="00EA2441">
            <w:pPr>
              <w:pStyle w:val="051Tabletext228pt"/>
              <w:spacing w:before="20" w:after="20"/>
            </w:pPr>
            <w:r w:rsidRPr="00B0485F">
              <w:t>Meschia 2007</w:t>
            </w:r>
          </w:p>
          <w:p w14:paraId="3ABBF885" w14:textId="72555A75" w:rsidR="00065A05" w:rsidRPr="00B0485F" w:rsidRDefault="00065A05" w:rsidP="00EA2441">
            <w:pPr>
              <w:pStyle w:val="051Tabletext228pt"/>
              <w:spacing w:before="20" w:after="20"/>
            </w:pPr>
          </w:p>
        </w:tc>
        <w:tc>
          <w:tcPr>
            <w:tcW w:w="2170" w:type="dxa"/>
          </w:tcPr>
          <w:p w14:paraId="784715BE" w14:textId="77777777" w:rsidR="00065A05" w:rsidRDefault="00065A05" w:rsidP="00EA2441">
            <w:pPr>
              <w:pStyle w:val="051Tabletext228pt"/>
              <w:spacing w:before="20" w:after="20"/>
            </w:pPr>
            <w:r w:rsidRPr="00B0485F">
              <w:t xml:space="preserve">Incontinence surgery-naïve SUI, urethral </w:t>
            </w:r>
            <w:proofErr w:type="gramStart"/>
            <w:r w:rsidRPr="00B0485F">
              <w:t>hypermobility</w:t>
            </w:r>
            <w:proofErr w:type="gramEnd"/>
            <w:r w:rsidRPr="00B0485F">
              <w:t xml:space="preserve"> and no DO</w:t>
            </w:r>
          </w:p>
          <w:p w14:paraId="5839DA03" w14:textId="4C62A250" w:rsidR="001B5207" w:rsidRPr="00B0485F" w:rsidRDefault="001B5207" w:rsidP="00EA2441">
            <w:pPr>
              <w:pStyle w:val="051Tabletext228pt"/>
              <w:spacing w:before="20" w:after="20"/>
            </w:pPr>
            <w:r>
              <w:t>N=231</w:t>
            </w:r>
          </w:p>
        </w:tc>
        <w:tc>
          <w:tcPr>
            <w:tcW w:w="1829" w:type="dxa"/>
          </w:tcPr>
          <w:p w14:paraId="3E6D7ACF" w14:textId="77777777" w:rsidR="00065A05" w:rsidRPr="00B0485F" w:rsidRDefault="00065A05" w:rsidP="00EA2441">
            <w:pPr>
              <w:pStyle w:val="051Tabletext228pt"/>
              <w:spacing w:before="20" w:after="20"/>
            </w:pPr>
            <w:r w:rsidRPr="00B0485F">
              <w:t>TVT-O</w:t>
            </w:r>
          </w:p>
          <w:p w14:paraId="090D2940" w14:textId="77777777" w:rsidR="00065A05" w:rsidRPr="00B0485F" w:rsidRDefault="00065A05" w:rsidP="00EA2441">
            <w:pPr>
              <w:pStyle w:val="051Tabletext228pt"/>
              <w:spacing w:before="20" w:after="20"/>
            </w:pPr>
            <w:r w:rsidRPr="00B0485F">
              <w:t>TVT</w:t>
            </w:r>
          </w:p>
        </w:tc>
        <w:tc>
          <w:tcPr>
            <w:tcW w:w="2508" w:type="dxa"/>
          </w:tcPr>
          <w:p w14:paraId="58F42BC1" w14:textId="6A574490" w:rsidR="00065A05" w:rsidRPr="00B0485F" w:rsidRDefault="00065A05" w:rsidP="00EA2441">
            <w:pPr>
              <w:pStyle w:val="051Tabletext228pt"/>
              <w:spacing w:before="20" w:after="20"/>
            </w:pPr>
            <w:r w:rsidRPr="00B0485F">
              <w:t xml:space="preserve">Continence-specific </w:t>
            </w:r>
            <w:proofErr w:type="spellStart"/>
            <w:r w:rsidR="00902F60">
              <w:t>HR</w:t>
            </w:r>
            <w:r w:rsidRPr="00B0485F">
              <w:t>QoL</w:t>
            </w:r>
            <w:proofErr w:type="spellEnd"/>
          </w:p>
          <w:p w14:paraId="75CD3672" w14:textId="77777777" w:rsidR="00512581" w:rsidRPr="00B0485F" w:rsidRDefault="00512581" w:rsidP="00512581">
            <w:pPr>
              <w:pStyle w:val="051Tabletext228pt"/>
              <w:spacing w:before="20" w:after="20"/>
            </w:pPr>
            <w:r>
              <w:t>AEs</w:t>
            </w:r>
          </w:p>
          <w:p w14:paraId="5DFC6BB5" w14:textId="77777777" w:rsidR="00065A05" w:rsidRPr="00B0485F" w:rsidRDefault="00065A05" w:rsidP="00EA2441">
            <w:pPr>
              <w:pStyle w:val="051Tabletext228pt"/>
              <w:spacing w:before="20" w:after="20"/>
            </w:pPr>
            <w:r w:rsidRPr="00B0485F">
              <w:t xml:space="preserve">Complications </w:t>
            </w:r>
          </w:p>
          <w:p w14:paraId="37BCDF7D" w14:textId="77777777" w:rsidR="00065A05" w:rsidRPr="00B0485F" w:rsidRDefault="00065A05" w:rsidP="00EA2441">
            <w:pPr>
              <w:pStyle w:val="051Tabletext228pt"/>
              <w:spacing w:before="20" w:after="20"/>
            </w:pPr>
            <w:r w:rsidRPr="00B0485F">
              <w:t xml:space="preserve">Change in continence status </w:t>
            </w:r>
          </w:p>
        </w:tc>
        <w:tc>
          <w:tcPr>
            <w:tcW w:w="1808" w:type="dxa"/>
          </w:tcPr>
          <w:p w14:paraId="63D684FE" w14:textId="77777777" w:rsidR="00065A05" w:rsidRPr="00B0485F" w:rsidRDefault="00065A05" w:rsidP="00EA2441">
            <w:pPr>
              <w:pStyle w:val="051Tabletext228pt"/>
              <w:spacing w:before="20" w:after="20"/>
            </w:pPr>
            <w:r w:rsidRPr="00B0485F">
              <w:t>6 (median)</w:t>
            </w:r>
          </w:p>
        </w:tc>
      </w:tr>
      <w:tr w:rsidR="00C50BC9" w:rsidRPr="00B0485F" w14:paraId="7E75589F" w14:textId="77777777" w:rsidTr="00116789">
        <w:tc>
          <w:tcPr>
            <w:tcW w:w="1323" w:type="dxa"/>
          </w:tcPr>
          <w:p w14:paraId="4AC90939" w14:textId="77777777" w:rsidR="00065A05" w:rsidRPr="00B0485F" w:rsidRDefault="00065A05" w:rsidP="00EA2441">
            <w:pPr>
              <w:pStyle w:val="051Tabletext228pt"/>
              <w:spacing w:before="20" w:after="20"/>
            </w:pPr>
            <w:proofErr w:type="spellStart"/>
            <w:r w:rsidRPr="00B0485F">
              <w:t>Nyyssonen</w:t>
            </w:r>
            <w:proofErr w:type="spellEnd"/>
            <w:r w:rsidRPr="00B0485F">
              <w:t xml:space="preserve"> 2014</w:t>
            </w:r>
          </w:p>
          <w:p w14:paraId="1D73B0BE" w14:textId="3A640A45" w:rsidR="00065A05" w:rsidRPr="00B0485F" w:rsidRDefault="00065A05" w:rsidP="00EA2441">
            <w:pPr>
              <w:pStyle w:val="051Tabletext228pt"/>
              <w:spacing w:before="20" w:after="20"/>
            </w:pPr>
          </w:p>
        </w:tc>
        <w:tc>
          <w:tcPr>
            <w:tcW w:w="2170" w:type="dxa"/>
          </w:tcPr>
          <w:p w14:paraId="6C1BA11E" w14:textId="77777777" w:rsidR="00065A05" w:rsidRDefault="00065A05" w:rsidP="00EA2441">
            <w:pPr>
              <w:pStyle w:val="051Tabletext228pt"/>
              <w:spacing w:before="20" w:after="20"/>
            </w:pPr>
            <w:r w:rsidRPr="00B0485F">
              <w:t>SUI or stress-predominant MUI who failed conservative treatment</w:t>
            </w:r>
          </w:p>
          <w:p w14:paraId="7A50251D" w14:textId="42E986D6" w:rsidR="001B5207" w:rsidRPr="00B0485F" w:rsidRDefault="001B5207" w:rsidP="00EA2441">
            <w:pPr>
              <w:pStyle w:val="051Tabletext228pt"/>
              <w:spacing w:before="20" w:after="20"/>
            </w:pPr>
            <w:r>
              <w:t>N=100</w:t>
            </w:r>
          </w:p>
        </w:tc>
        <w:tc>
          <w:tcPr>
            <w:tcW w:w="1829" w:type="dxa"/>
          </w:tcPr>
          <w:p w14:paraId="6FACBD4C" w14:textId="77777777" w:rsidR="00065A05" w:rsidRPr="00B0485F" w:rsidRDefault="00065A05" w:rsidP="00EA2441">
            <w:pPr>
              <w:pStyle w:val="051Tabletext228pt"/>
              <w:spacing w:before="20" w:after="20"/>
            </w:pPr>
            <w:r w:rsidRPr="00B0485F">
              <w:t>TOT</w:t>
            </w:r>
          </w:p>
          <w:p w14:paraId="50E6FEE0" w14:textId="77777777" w:rsidR="00065A05" w:rsidRPr="00B0485F" w:rsidRDefault="00065A05" w:rsidP="00EA2441">
            <w:pPr>
              <w:pStyle w:val="051Tabletext228pt"/>
              <w:spacing w:before="20" w:after="20"/>
            </w:pPr>
            <w:r w:rsidRPr="00B0485F">
              <w:t>TVT</w:t>
            </w:r>
          </w:p>
        </w:tc>
        <w:tc>
          <w:tcPr>
            <w:tcW w:w="2508" w:type="dxa"/>
          </w:tcPr>
          <w:p w14:paraId="6D4F7A1C" w14:textId="77777777" w:rsidR="00512581" w:rsidRPr="00B0485F" w:rsidRDefault="00512581" w:rsidP="00512581">
            <w:pPr>
              <w:pStyle w:val="051Tabletext228pt"/>
              <w:spacing w:before="20" w:after="20"/>
            </w:pPr>
            <w:r>
              <w:t>AEs</w:t>
            </w:r>
          </w:p>
          <w:p w14:paraId="6FBD1C64" w14:textId="77777777" w:rsidR="00065A05" w:rsidRPr="00B0485F" w:rsidRDefault="00065A05" w:rsidP="00EA2441">
            <w:pPr>
              <w:pStyle w:val="051Tabletext228pt"/>
              <w:spacing w:before="20" w:after="20"/>
            </w:pPr>
            <w:r w:rsidRPr="00B0485F">
              <w:t xml:space="preserve">Complications </w:t>
            </w:r>
          </w:p>
          <w:p w14:paraId="44F71FD7" w14:textId="77777777" w:rsidR="00065A05" w:rsidRPr="00B0485F" w:rsidRDefault="00065A05" w:rsidP="00EA2441">
            <w:pPr>
              <w:pStyle w:val="051Tabletext228pt"/>
              <w:spacing w:before="20" w:after="20"/>
            </w:pPr>
            <w:r w:rsidRPr="00B0485F">
              <w:t xml:space="preserve">Change in continence status </w:t>
            </w:r>
          </w:p>
          <w:p w14:paraId="578D4A27" w14:textId="77777777" w:rsidR="00065A05" w:rsidRPr="00B0485F" w:rsidRDefault="00065A05" w:rsidP="00EA2441">
            <w:pPr>
              <w:pStyle w:val="051Tabletext228pt"/>
              <w:spacing w:before="20" w:after="20"/>
            </w:pPr>
            <w:r w:rsidRPr="00B0485F">
              <w:t>Improvement in continence status</w:t>
            </w:r>
          </w:p>
        </w:tc>
        <w:tc>
          <w:tcPr>
            <w:tcW w:w="1808" w:type="dxa"/>
          </w:tcPr>
          <w:p w14:paraId="6262AC35" w14:textId="77777777" w:rsidR="00065A05" w:rsidRPr="00B0485F" w:rsidRDefault="00065A05" w:rsidP="00EA2441">
            <w:pPr>
              <w:pStyle w:val="051Tabletext228pt"/>
              <w:spacing w:before="20" w:after="20"/>
            </w:pPr>
            <w:r w:rsidRPr="00B0485F">
              <w:t>14 (median), 46 (median)</w:t>
            </w:r>
          </w:p>
        </w:tc>
      </w:tr>
      <w:tr w:rsidR="00C50BC9" w:rsidRPr="00B0485F" w14:paraId="7C63EFA3" w14:textId="77777777" w:rsidTr="00116789">
        <w:tc>
          <w:tcPr>
            <w:tcW w:w="1323" w:type="dxa"/>
          </w:tcPr>
          <w:p w14:paraId="76D5D720" w14:textId="77777777" w:rsidR="00065A05" w:rsidRPr="00B0485F" w:rsidRDefault="00065A05" w:rsidP="00EA2441">
            <w:pPr>
              <w:pStyle w:val="051Tabletext228pt"/>
              <w:spacing w:before="20" w:after="20"/>
            </w:pPr>
            <w:r w:rsidRPr="00B0485F">
              <w:t>Palos 2018</w:t>
            </w:r>
          </w:p>
          <w:p w14:paraId="04AAE123" w14:textId="1B9BE599" w:rsidR="00065A05" w:rsidRPr="00B0485F" w:rsidRDefault="00065A05" w:rsidP="00EA2441">
            <w:pPr>
              <w:pStyle w:val="051Tabletext228pt"/>
              <w:spacing w:before="20" w:after="20"/>
            </w:pPr>
          </w:p>
        </w:tc>
        <w:tc>
          <w:tcPr>
            <w:tcW w:w="2170" w:type="dxa"/>
          </w:tcPr>
          <w:p w14:paraId="0AB0223A" w14:textId="77777777" w:rsidR="00065A05" w:rsidRDefault="00065A05" w:rsidP="00EA2441">
            <w:pPr>
              <w:pStyle w:val="051Tabletext228pt"/>
              <w:spacing w:before="20" w:after="20"/>
            </w:pPr>
            <w:r w:rsidRPr="00B0485F">
              <w:t>Incontinence surgery-naïve USI</w:t>
            </w:r>
          </w:p>
          <w:p w14:paraId="2A8BAE98" w14:textId="5B7853BA" w:rsidR="001B5207" w:rsidRPr="00B0485F" w:rsidRDefault="001B5207" w:rsidP="00EA2441">
            <w:pPr>
              <w:pStyle w:val="051Tabletext228pt"/>
              <w:spacing w:before="20" w:after="20"/>
            </w:pPr>
            <w:r>
              <w:t>N=92</w:t>
            </w:r>
          </w:p>
        </w:tc>
        <w:tc>
          <w:tcPr>
            <w:tcW w:w="1829" w:type="dxa"/>
          </w:tcPr>
          <w:p w14:paraId="4BB5BD82" w14:textId="77777777" w:rsidR="00065A05" w:rsidRPr="00B0485F" w:rsidRDefault="00065A05" w:rsidP="00EA2441">
            <w:pPr>
              <w:pStyle w:val="051Tabletext228pt"/>
              <w:spacing w:before="20" w:after="20"/>
            </w:pPr>
            <w:r w:rsidRPr="00B0485F">
              <w:t>TOT</w:t>
            </w:r>
          </w:p>
          <w:p w14:paraId="1633F839" w14:textId="77777777" w:rsidR="00065A05" w:rsidRPr="00B0485F" w:rsidRDefault="00065A05" w:rsidP="00EA2441">
            <w:pPr>
              <w:pStyle w:val="051Tabletext228pt"/>
              <w:spacing w:before="20" w:after="20"/>
            </w:pPr>
            <w:proofErr w:type="spellStart"/>
            <w:r w:rsidRPr="0098745D">
              <w:t>Unitape</w:t>
            </w:r>
            <w:proofErr w:type="spellEnd"/>
            <w:r w:rsidRPr="0098745D">
              <w:t xml:space="preserve"> VS</w:t>
            </w:r>
          </w:p>
        </w:tc>
        <w:tc>
          <w:tcPr>
            <w:tcW w:w="2508" w:type="dxa"/>
          </w:tcPr>
          <w:p w14:paraId="6524C3AB" w14:textId="77777777" w:rsidR="00512581" w:rsidRPr="00B0485F" w:rsidRDefault="00512581" w:rsidP="00512581">
            <w:pPr>
              <w:pStyle w:val="051Tabletext228pt"/>
              <w:spacing w:before="20" w:after="20"/>
            </w:pPr>
            <w:r>
              <w:t>AEs</w:t>
            </w:r>
          </w:p>
          <w:p w14:paraId="717451BF" w14:textId="77777777" w:rsidR="00065A05" w:rsidRPr="00B0485F" w:rsidRDefault="00065A05" w:rsidP="00EA2441">
            <w:pPr>
              <w:pStyle w:val="051Tabletext228pt"/>
              <w:spacing w:before="20" w:after="20"/>
            </w:pPr>
            <w:r w:rsidRPr="00B0485F">
              <w:t xml:space="preserve">Complications </w:t>
            </w:r>
          </w:p>
          <w:p w14:paraId="16710A1F" w14:textId="77777777" w:rsidR="00065A05" w:rsidRPr="00B0485F" w:rsidRDefault="00065A05" w:rsidP="00EA2441">
            <w:pPr>
              <w:pStyle w:val="051Tabletext228pt"/>
              <w:spacing w:before="20" w:after="20"/>
            </w:pPr>
            <w:r w:rsidRPr="00B0485F">
              <w:t xml:space="preserve">Change in continence status </w:t>
            </w:r>
          </w:p>
          <w:p w14:paraId="099DF2F3" w14:textId="77777777" w:rsidR="00065A05" w:rsidRPr="00B0485F" w:rsidRDefault="00065A05" w:rsidP="00EA2441">
            <w:pPr>
              <w:pStyle w:val="051Tabletext228pt"/>
              <w:spacing w:before="20" w:after="20"/>
            </w:pPr>
            <w:r w:rsidRPr="00B0485F">
              <w:t>Repeat surgery</w:t>
            </w:r>
          </w:p>
        </w:tc>
        <w:tc>
          <w:tcPr>
            <w:tcW w:w="1808" w:type="dxa"/>
          </w:tcPr>
          <w:p w14:paraId="0B7E03C9" w14:textId="77777777" w:rsidR="00065A05" w:rsidRPr="00B0485F" w:rsidRDefault="00065A05" w:rsidP="00EA2441">
            <w:pPr>
              <w:pStyle w:val="051Tabletext228pt"/>
              <w:spacing w:before="20" w:after="20"/>
            </w:pPr>
            <w:r w:rsidRPr="00B0485F">
              <w:t>12</w:t>
            </w:r>
          </w:p>
        </w:tc>
      </w:tr>
      <w:tr w:rsidR="00C50BC9" w:rsidRPr="00B0485F" w14:paraId="5F873C20" w14:textId="77777777" w:rsidTr="00116789">
        <w:tc>
          <w:tcPr>
            <w:tcW w:w="1323" w:type="dxa"/>
          </w:tcPr>
          <w:p w14:paraId="20ED3435" w14:textId="77777777" w:rsidR="00065A05" w:rsidRPr="00B0485F" w:rsidRDefault="00065A05" w:rsidP="00EA2441">
            <w:pPr>
              <w:pStyle w:val="051Tabletext228pt"/>
              <w:spacing w:before="20" w:after="20"/>
            </w:pPr>
            <w:proofErr w:type="spellStart"/>
            <w:r w:rsidRPr="00B0485F">
              <w:t>Porena</w:t>
            </w:r>
            <w:proofErr w:type="spellEnd"/>
            <w:r w:rsidRPr="00B0485F">
              <w:t xml:space="preserve"> 2007/ </w:t>
            </w:r>
            <w:proofErr w:type="spellStart"/>
            <w:r w:rsidRPr="00B0485F">
              <w:t>Costantini</w:t>
            </w:r>
            <w:proofErr w:type="spellEnd"/>
            <w:r w:rsidRPr="00B0485F">
              <w:t xml:space="preserve"> 2016</w:t>
            </w:r>
          </w:p>
          <w:p w14:paraId="46F88F9F" w14:textId="4BC609D8" w:rsidR="00065A05" w:rsidRPr="00B0485F" w:rsidRDefault="00065A05" w:rsidP="00EA2441">
            <w:pPr>
              <w:pStyle w:val="051Tabletext228pt"/>
              <w:spacing w:before="20" w:after="20"/>
            </w:pPr>
          </w:p>
        </w:tc>
        <w:tc>
          <w:tcPr>
            <w:tcW w:w="2170" w:type="dxa"/>
          </w:tcPr>
          <w:p w14:paraId="64B414B6" w14:textId="77777777" w:rsidR="00065A05" w:rsidRDefault="00065A05" w:rsidP="00EA2441">
            <w:pPr>
              <w:pStyle w:val="051Tabletext228pt"/>
              <w:spacing w:before="20" w:after="20"/>
            </w:pPr>
            <w:r w:rsidRPr="00B0485F">
              <w:t>Incontinence surgery-naïve SUI or stress-predominant MUI</w:t>
            </w:r>
          </w:p>
          <w:p w14:paraId="48AAB3B5" w14:textId="7EC31379" w:rsidR="001B5207" w:rsidRPr="00B0485F" w:rsidRDefault="001B5207" w:rsidP="00EA2441">
            <w:pPr>
              <w:pStyle w:val="051Tabletext228pt"/>
              <w:spacing w:before="20" w:after="20"/>
            </w:pPr>
            <w:r>
              <w:t>N=148</w:t>
            </w:r>
          </w:p>
        </w:tc>
        <w:tc>
          <w:tcPr>
            <w:tcW w:w="1829" w:type="dxa"/>
          </w:tcPr>
          <w:p w14:paraId="57BD04A3" w14:textId="77777777" w:rsidR="00065A05" w:rsidRPr="00B0485F" w:rsidRDefault="00065A05" w:rsidP="00EA2441">
            <w:pPr>
              <w:pStyle w:val="051Tabletext228pt"/>
              <w:spacing w:before="20" w:after="20"/>
            </w:pPr>
            <w:r w:rsidRPr="00B0485F">
              <w:t>TOT</w:t>
            </w:r>
          </w:p>
          <w:p w14:paraId="0967D1E9" w14:textId="77777777" w:rsidR="00065A05" w:rsidRPr="00B0485F" w:rsidRDefault="00065A05" w:rsidP="00EA2441">
            <w:pPr>
              <w:pStyle w:val="051Tabletext228pt"/>
              <w:spacing w:before="20" w:after="20"/>
            </w:pPr>
            <w:r w:rsidRPr="00B0485F">
              <w:t>TVT</w:t>
            </w:r>
          </w:p>
        </w:tc>
        <w:tc>
          <w:tcPr>
            <w:tcW w:w="2508" w:type="dxa"/>
          </w:tcPr>
          <w:p w14:paraId="03548BD7" w14:textId="77777777" w:rsidR="00512581" w:rsidRPr="00B0485F" w:rsidRDefault="00512581" w:rsidP="00512581">
            <w:pPr>
              <w:pStyle w:val="051Tabletext228pt"/>
              <w:spacing w:before="20" w:after="20"/>
            </w:pPr>
            <w:r>
              <w:t>AEs</w:t>
            </w:r>
          </w:p>
          <w:p w14:paraId="04B5E986" w14:textId="77777777" w:rsidR="00065A05" w:rsidRPr="00B0485F" w:rsidRDefault="00065A05" w:rsidP="00EA2441">
            <w:pPr>
              <w:pStyle w:val="051Tabletext228pt"/>
              <w:spacing w:before="20" w:after="20"/>
            </w:pPr>
            <w:r w:rsidRPr="00B0485F">
              <w:t xml:space="preserve">Complications </w:t>
            </w:r>
          </w:p>
          <w:p w14:paraId="51CC60DE" w14:textId="77777777" w:rsidR="00065A05" w:rsidRPr="00B0485F" w:rsidRDefault="00065A05" w:rsidP="00EA2441">
            <w:pPr>
              <w:pStyle w:val="051Tabletext228pt"/>
              <w:spacing w:before="20" w:after="20"/>
            </w:pPr>
            <w:r w:rsidRPr="00B0485F">
              <w:t xml:space="preserve">Change in continence status </w:t>
            </w:r>
          </w:p>
          <w:p w14:paraId="28ACFE6A" w14:textId="77777777" w:rsidR="00065A05" w:rsidRPr="00B0485F" w:rsidRDefault="00065A05" w:rsidP="00EA2441">
            <w:pPr>
              <w:pStyle w:val="051Tabletext228pt"/>
              <w:spacing w:before="20" w:after="20"/>
            </w:pPr>
            <w:r w:rsidRPr="00B0485F">
              <w:t>Repeat surgery</w:t>
            </w:r>
          </w:p>
        </w:tc>
        <w:tc>
          <w:tcPr>
            <w:tcW w:w="1808" w:type="dxa"/>
          </w:tcPr>
          <w:p w14:paraId="0FA8F337" w14:textId="77777777" w:rsidR="00065A05" w:rsidRPr="00B0485F" w:rsidRDefault="00065A05" w:rsidP="00EA2441">
            <w:pPr>
              <w:pStyle w:val="051Tabletext228pt"/>
              <w:spacing w:before="20" w:after="20"/>
            </w:pPr>
            <w:r w:rsidRPr="00B0485F">
              <w:t>35 (median)/100 (median)</w:t>
            </w:r>
          </w:p>
        </w:tc>
      </w:tr>
      <w:tr w:rsidR="00C50BC9" w:rsidRPr="00B0485F" w14:paraId="02A845C0" w14:textId="77777777" w:rsidTr="00116789">
        <w:tc>
          <w:tcPr>
            <w:tcW w:w="1323" w:type="dxa"/>
          </w:tcPr>
          <w:p w14:paraId="621A8BD6" w14:textId="77777777" w:rsidR="00065A05" w:rsidRPr="00B0485F" w:rsidRDefault="00065A05" w:rsidP="00EA2441">
            <w:pPr>
              <w:pStyle w:val="051Tabletext228pt"/>
              <w:spacing w:before="20" w:after="20"/>
            </w:pPr>
            <w:proofErr w:type="spellStart"/>
            <w:r w:rsidRPr="00B0485F">
              <w:t>Rechberger</w:t>
            </w:r>
            <w:proofErr w:type="spellEnd"/>
            <w:r w:rsidRPr="00B0485F">
              <w:t xml:space="preserve"> 2009</w:t>
            </w:r>
          </w:p>
          <w:p w14:paraId="2F738662" w14:textId="69C4FBA1" w:rsidR="00065A05" w:rsidRPr="00B0485F" w:rsidRDefault="00065A05" w:rsidP="00EA2441">
            <w:pPr>
              <w:pStyle w:val="051Tabletext228pt"/>
              <w:spacing w:before="20" w:after="20"/>
            </w:pPr>
          </w:p>
        </w:tc>
        <w:tc>
          <w:tcPr>
            <w:tcW w:w="2170" w:type="dxa"/>
          </w:tcPr>
          <w:p w14:paraId="1C624114" w14:textId="77777777" w:rsidR="00065A05" w:rsidRDefault="00065A05" w:rsidP="00EA2441">
            <w:pPr>
              <w:pStyle w:val="051Tabletext228pt"/>
              <w:spacing w:before="20" w:after="20"/>
            </w:pPr>
            <w:r w:rsidRPr="00B0485F">
              <w:t>SUI</w:t>
            </w:r>
          </w:p>
          <w:p w14:paraId="7DF717D1" w14:textId="306C37A0" w:rsidR="001B5207" w:rsidRPr="00B0485F" w:rsidRDefault="001B5207" w:rsidP="00EA2441">
            <w:pPr>
              <w:pStyle w:val="051Tabletext228pt"/>
              <w:spacing w:before="20" w:after="20"/>
            </w:pPr>
            <w:r>
              <w:t>N=537</w:t>
            </w:r>
          </w:p>
        </w:tc>
        <w:tc>
          <w:tcPr>
            <w:tcW w:w="1829" w:type="dxa"/>
          </w:tcPr>
          <w:p w14:paraId="0B59B24D" w14:textId="77777777" w:rsidR="00065A05" w:rsidRPr="0098745D" w:rsidRDefault="00065A05" w:rsidP="00EA2441">
            <w:pPr>
              <w:pStyle w:val="051Tabletext228pt"/>
              <w:spacing w:before="20" w:after="20"/>
            </w:pPr>
            <w:r w:rsidRPr="0098745D">
              <w:t>IVS-04</w:t>
            </w:r>
          </w:p>
          <w:p w14:paraId="0B19F3BD" w14:textId="77777777" w:rsidR="00065A05" w:rsidRPr="00B0485F" w:rsidRDefault="00065A05" w:rsidP="00EA2441">
            <w:pPr>
              <w:pStyle w:val="051Tabletext228pt"/>
              <w:spacing w:before="20" w:after="20"/>
            </w:pPr>
            <w:r w:rsidRPr="0098745D">
              <w:t>IVS-02</w:t>
            </w:r>
          </w:p>
        </w:tc>
        <w:tc>
          <w:tcPr>
            <w:tcW w:w="2508" w:type="dxa"/>
          </w:tcPr>
          <w:p w14:paraId="569B7B47" w14:textId="77777777" w:rsidR="00512581" w:rsidRPr="00B0485F" w:rsidRDefault="00512581" w:rsidP="00512581">
            <w:pPr>
              <w:pStyle w:val="051Tabletext228pt"/>
              <w:spacing w:before="20" w:after="20"/>
            </w:pPr>
            <w:r>
              <w:t>AEs</w:t>
            </w:r>
          </w:p>
          <w:p w14:paraId="3FF4033C" w14:textId="77777777" w:rsidR="00065A05" w:rsidRPr="00B0485F" w:rsidRDefault="00065A05" w:rsidP="00EA2441">
            <w:pPr>
              <w:pStyle w:val="051Tabletext228pt"/>
              <w:spacing w:before="20" w:after="20"/>
            </w:pPr>
            <w:r w:rsidRPr="00B0485F">
              <w:t xml:space="preserve">Complications </w:t>
            </w:r>
          </w:p>
          <w:p w14:paraId="0F2CFA2E" w14:textId="77777777" w:rsidR="00065A05" w:rsidRPr="00B0485F" w:rsidRDefault="00065A05" w:rsidP="00EA2441">
            <w:pPr>
              <w:pStyle w:val="051Tabletext228pt"/>
              <w:spacing w:before="20" w:after="20"/>
            </w:pPr>
            <w:r w:rsidRPr="00B0485F">
              <w:t xml:space="preserve">Change in continence status </w:t>
            </w:r>
          </w:p>
          <w:p w14:paraId="4B8660F8" w14:textId="77777777" w:rsidR="00065A05" w:rsidRPr="00B0485F" w:rsidRDefault="00065A05" w:rsidP="00EA2441">
            <w:pPr>
              <w:pStyle w:val="051Tabletext228pt"/>
              <w:spacing w:before="20" w:after="20"/>
            </w:pPr>
            <w:r w:rsidRPr="00B0485F">
              <w:t>Improvement in continence status</w:t>
            </w:r>
          </w:p>
          <w:p w14:paraId="7D42F503" w14:textId="77777777" w:rsidR="00065A05" w:rsidRPr="00B0485F" w:rsidRDefault="00065A05" w:rsidP="00EA2441">
            <w:pPr>
              <w:pStyle w:val="051Tabletext228pt"/>
              <w:spacing w:before="20" w:after="20"/>
            </w:pPr>
            <w:r w:rsidRPr="00B0485F">
              <w:t>Repeat surgery</w:t>
            </w:r>
          </w:p>
        </w:tc>
        <w:tc>
          <w:tcPr>
            <w:tcW w:w="1808" w:type="dxa"/>
          </w:tcPr>
          <w:p w14:paraId="0CBE7C03" w14:textId="77777777" w:rsidR="00065A05" w:rsidRPr="00B0485F" w:rsidRDefault="00065A05" w:rsidP="00EA2441">
            <w:pPr>
              <w:pStyle w:val="051Tabletext228pt"/>
              <w:spacing w:before="20" w:after="20"/>
            </w:pPr>
            <w:r w:rsidRPr="00B0485F">
              <w:t>18</w:t>
            </w:r>
          </w:p>
        </w:tc>
      </w:tr>
      <w:tr w:rsidR="00C50BC9" w:rsidRPr="00B0485F" w14:paraId="1A0AE9D1" w14:textId="77777777" w:rsidTr="00116789">
        <w:tc>
          <w:tcPr>
            <w:tcW w:w="1323" w:type="dxa"/>
          </w:tcPr>
          <w:p w14:paraId="0C88953E" w14:textId="041C5246" w:rsidR="00065A05" w:rsidRPr="00B0485F" w:rsidRDefault="00065A05" w:rsidP="00EA2441">
            <w:pPr>
              <w:pStyle w:val="051Tabletext228pt"/>
              <w:spacing w:before="20" w:after="20"/>
            </w:pPr>
            <w:r w:rsidRPr="00B0485F">
              <w:t xml:space="preserve">Richter 2010/ Brubaker 2011/ Albo 2012/ Wai 2013/ Kenton 2015 / </w:t>
            </w:r>
            <w:proofErr w:type="spellStart"/>
            <w:r w:rsidRPr="00B0485F">
              <w:t>Zyczynski</w:t>
            </w:r>
            <w:proofErr w:type="spellEnd"/>
            <w:r w:rsidRPr="00B0485F">
              <w:t xml:space="preserve"> 2012</w:t>
            </w:r>
          </w:p>
          <w:p w14:paraId="6ED231BB" w14:textId="1DA00A41" w:rsidR="00065A05" w:rsidRPr="00B0485F" w:rsidRDefault="00065A05" w:rsidP="00EA2441">
            <w:pPr>
              <w:pStyle w:val="051Tabletext228pt"/>
              <w:spacing w:before="20" w:after="20"/>
            </w:pPr>
          </w:p>
        </w:tc>
        <w:tc>
          <w:tcPr>
            <w:tcW w:w="2170" w:type="dxa"/>
          </w:tcPr>
          <w:p w14:paraId="33378634" w14:textId="77777777" w:rsidR="00065A05" w:rsidRDefault="00065A05" w:rsidP="00EA2441">
            <w:pPr>
              <w:pStyle w:val="051Tabletext228pt"/>
              <w:spacing w:before="20" w:after="20"/>
            </w:pPr>
            <w:r w:rsidRPr="00B0485F">
              <w:t>SUI</w:t>
            </w:r>
          </w:p>
          <w:p w14:paraId="10CACB56" w14:textId="2502AD93" w:rsidR="001B5207" w:rsidRPr="00B0485F" w:rsidRDefault="001B5207" w:rsidP="00EA2441">
            <w:pPr>
              <w:pStyle w:val="051Tabletext228pt"/>
              <w:spacing w:before="20" w:after="20"/>
            </w:pPr>
            <w:r>
              <w:t>N=597</w:t>
            </w:r>
          </w:p>
        </w:tc>
        <w:tc>
          <w:tcPr>
            <w:tcW w:w="1829" w:type="dxa"/>
          </w:tcPr>
          <w:p w14:paraId="4EE768E6" w14:textId="77777777" w:rsidR="00065A05" w:rsidRPr="00B0485F" w:rsidRDefault="00065A05" w:rsidP="00EA2441">
            <w:pPr>
              <w:pStyle w:val="051Tabletext228pt"/>
              <w:spacing w:before="20" w:after="20"/>
            </w:pPr>
            <w:r w:rsidRPr="00B0485F">
              <w:t>TOT or TVT-O</w:t>
            </w:r>
          </w:p>
          <w:p w14:paraId="1EB02469" w14:textId="77777777" w:rsidR="00065A05" w:rsidRPr="00B0485F" w:rsidRDefault="00065A05" w:rsidP="00EA2441">
            <w:pPr>
              <w:pStyle w:val="051Tabletext228pt"/>
              <w:spacing w:before="20" w:after="20"/>
            </w:pPr>
            <w:r w:rsidRPr="00B0485F">
              <w:t>TVT</w:t>
            </w:r>
          </w:p>
        </w:tc>
        <w:tc>
          <w:tcPr>
            <w:tcW w:w="2508" w:type="dxa"/>
          </w:tcPr>
          <w:p w14:paraId="6671965A" w14:textId="691624E9" w:rsidR="00065A05" w:rsidRPr="00B0485F" w:rsidRDefault="00065A05" w:rsidP="00EA2441">
            <w:pPr>
              <w:pStyle w:val="051Tabletext228pt"/>
              <w:spacing w:before="20" w:after="20"/>
            </w:pPr>
            <w:r w:rsidRPr="00B0485F">
              <w:t xml:space="preserve">Continence-specific </w:t>
            </w:r>
            <w:proofErr w:type="spellStart"/>
            <w:r w:rsidR="00090053">
              <w:t>HR</w:t>
            </w:r>
            <w:r w:rsidRPr="00B0485F">
              <w:t>QoL</w:t>
            </w:r>
            <w:proofErr w:type="spellEnd"/>
          </w:p>
          <w:p w14:paraId="470A1F7C" w14:textId="77777777" w:rsidR="00512581" w:rsidRPr="00B0485F" w:rsidRDefault="00512581" w:rsidP="00512581">
            <w:pPr>
              <w:pStyle w:val="051Tabletext228pt"/>
              <w:spacing w:before="20" w:after="20"/>
            </w:pPr>
            <w:r>
              <w:t>AEs</w:t>
            </w:r>
          </w:p>
          <w:p w14:paraId="1285B062" w14:textId="77777777" w:rsidR="00065A05" w:rsidRPr="00B0485F" w:rsidRDefault="00065A05" w:rsidP="00EA2441">
            <w:pPr>
              <w:pStyle w:val="051Tabletext228pt"/>
              <w:spacing w:before="20" w:after="20"/>
            </w:pPr>
            <w:r w:rsidRPr="00B0485F">
              <w:t xml:space="preserve">Complications </w:t>
            </w:r>
          </w:p>
          <w:p w14:paraId="2DCC5866" w14:textId="77777777" w:rsidR="00065A05" w:rsidRPr="00B0485F" w:rsidRDefault="00065A05" w:rsidP="00EA2441">
            <w:pPr>
              <w:pStyle w:val="051Tabletext228pt"/>
              <w:spacing w:before="20" w:after="20"/>
            </w:pPr>
            <w:r w:rsidRPr="00B0485F">
              <w:t>Change in continence status</w:t>
            </w:r>
          </w:p>
        </w:tc>
        <w:tc>
          <w:tcPr>
            <w:tcW w:w="1808" w:type="dxa"/>
          </w:tcPr>
          <w:p w14:paraId="13680EC2" w14:textId="324661B1" w:rsidR="00065A05" w:rsidRPr="00B0485F" w:rsidRDefault="00065A05" w:rsidP="00EA2441">
            <w:pPr>
              <w:pStyle w:val="051Tabletext228pt"/>
              <w:spacing w:before="20" w:after="20"/>
            </w:pPr>
            <w:r w:rsidRPr="00B0485F">
              <w:t>12/24/60</w:t>
            </w:r>
          </w:p>
        </w:tc>
      </w:tr>
      <w:tr w:rsidR="00C50BC9" w:rsidRPr="00B0485F" w14:paraId="27667D50" w14:textId="77777777" w:rsidTr="00116789">
        <w:tc>
          <w:tcPr>
            <w:tcW w:w="1323" w:type="dxa"/>
          </w:tcPr>
          <w:p w14:paraId="2FB8B963" w14:textId="77777777" w:rsidR="00065A05" w:rsidRPr="00B0485F" w:rsidRDefault="00065A05" w:rsidP="00EA2441">
            <w:pPr>
              <w:pStyle w:val="051Tabletext228pt"/>
              <w:spacing w:before="20" w:after="20"/>
            </w:pPr>
            <w:r w:rsidRPr="00B0485F">
              <w:t>Ross 2009/2016</w:t>
            </w:r>
          </w:p>
          <w:p w14:paraId="5CACE939" w14:textId="2B7505DD" w:rsidR="00065A05" w:rsidRPr="00B0485F" w:rsidRDefault="00065A05" w:rsidP="00EA2441">
            <w:pPr>
              <w:pStyle w:val="051Tabletext228pt"/>
              <w:spacing w:before="20" w:after="20"/>
            </w:pPr>
          </w:p>
        </w:tc>
        <w:tc>
          <w:tcPr>
            <w:tcW w:w="2170" w:type="dxa"/>
          </w:tcPr>
          <w:p w14:paraId="2915335D" w14:textId="77777777" w:rsidR="00065A05" w:rsidRDefault="00065A05" w:rsidP="00EA2441">
            <w:pPr>
              <w:pStyle w:val="051Tabletext228pt"/>
              <w:spacing w:before="20" w:after="20"/>
            </w:pPr>
            <w:r w:rsidRPr="00B0485F">
              <w:t>Incontinence surgery-naïve SUI, positive cough stress test and no OAB</w:t>
            </w:r>
          </w:p>
          <w:p w14:paraId="707C1CE0" w14:textId="6EE5F1C1" w:rsidR="001B5207" w:rsidRPr="00B0485F" w:rsidRDefault="001B5207" w:rsidP="00EA2441">
            <w:pPr>
              <w:pStyle w:val="051Tabletext228pt"/>
              <w:spacing w:before="20" w:after="20"/>
            </w:pPr>
            <w:r>
              <w:t>N=199</w:t>
            </w:r>
          </w:p>
        </w:tc>
        <w:tc>
          <w:tcPr>
            <w:tcW w:w="1829" w:type="dxa"/>
          </w:tcPr>
          <w:p w14:paraId="646CB02A" w14:textId="77777777" w:rsidR="00065A05" w:rsidRPr="00B0485F" w:rsidRDefault="00065A05" w:rsidP="00EA2441">
            <w:pPr>
              <w:pStyle w:val="051Tabletext228pt"/>
              <w:spacing w:before="20" w:after="20"/>
            </w:pPr>
            <w:r w:rsidRPr="00B0485F">
              <w:t>TOT</w:t>
            </w:r>
            <w:r w:rsidRPr="00B0485F">
              <w:br/>
              <w:t>TVT</w:t>
            </w:r>
          </w:p>
        </w:tc>
        <w:tc>
          <w:tcPr>
            <w:tcW w:w="2508" w:type="dxa"/>
          </w:tcPr>
          <w:p w14:paraId="38AF1F96" w14:textId="3F6B5FEC" w:rsidR="00065A05" w:rsidRPr="00B0485F" w:rsidRDefault="00065A05" w:rsidP="00EA2441">
            <w:pPr>
              <w:pStyle w:val="051Tabletext228pt"/>
              <w:spacing w:before="20" w:after="20"/>
            </w:pPr>
            <w:r w:rsidRPr="00B0485F">
              <w:t xml:space="preserve">Continence-specific </w:t>
            </w:r>
            <w:proofErr w:type="spellStart"/>
            <w:r w:rsidR="00090053">
              <w:t>HR</w:t>
            </w:r>
            <w:r w:rsidRPr="00B0485F">
              <w:t>QoL</w:t>
            </w:r>
            <w:proofErr w:type="spellEnd"/>
          </w:p>
          <w:p w14:paraId="1B65D860" w14:textId="77777777" w:rsidR="00512581" w:rsidRPr="00B0485F" w:rsidRDefault="00512581" w:rsidP="00512581">
            <w:pPr>
              <w:pStyle w:val="051Tabletext228pt"/>
              <w:spacing w:before="20" w:after="20"/>
            </w:pPr>
            <w:r>
              <w:t>AEs</w:t>
            </w:r>
          </w:p>
          <w:p w14:paraId="23087B33" w14:textId="77777777" w:rsidR="00065A05" w:rsidRPr="00B0485F" w:rsidRDefault="00065A05" w:rsidP="00EA2441">
            <w:pPr>
              <w:pStyle w:val="051Tabletext228pt"/>
              <w:spacing w:before="20" w:after="20"/>
            </w:pPr>
            <w:r w:rsidRPr="00B0485F">
              <w:t xml:space="preserve">Complications </w:t>
            </w:r>
          </w:p>
          <w:p w14:paraId="176B097B" w14:textId="77777777" w:rsidR="00065A05" w:rsidRPr="00B0485F" w:rsidRDefault="00065A05" w:rsidP="00EA2441">
            <w:pPr>
              <w:pStyle w:val="051Tabletext228pt"/>
              <w:spacing w:before="20" w:after="20"/>
            </w:pPr>
            <w:r w:rsidRPr="00B0485F">
              <w:t>Change in continence status</w:t>
            </w:r>
          </w:p>
          <w:p w14:paraId="00575EC6" w14:textId="77777777" w:rsidR="00065A05" w:rsidRPr="00B0485F" w:rsidRDefault="00065A05" w:rsidP="00EA2441">
            <w:pPr>
              <w:pStyle w:val="051Tabletext228pt"/>
              <w:spacing w:before="20" w:after="20"/>
            </w:pPr>
            <w:r w:rsidRPr="00B0485F">
              <w:t>Repeat surgery</w:t>
            </w:r>
          </w:p>
        </w:tc>
        <w:tc>
          <w:tcPr>
            <w:tcW w:w="1808" w:type="dxa"/>
          </w:tcPr>
          <w:p w14:paraId="32DB700D" w14:textId="77777777" w:rsidR="00065A05" w:rsidRPr="00B0485F" w:rsidRDefault="00065A05" w:rsidP="00EA2441">
            <w:pPr>
              <w:pStyle w:val="051Tabletext228pt"/>
              <w:spacing w:before="20" w:after="20"/>
            </w:pPr>
            <w:r w:rsidRPr="00B0485F">
              <w:t>12/60</w:t>
            </w:r>
          </w:p>
        </w:tc>
      </w:tr>
      <w:tr w:rsidR="00C50BC9" w:rsidRPr="00B0485F" w14:paraId="02CFFEC5" w14:textId="77777777" w:rsidTr="00116789">
        <w:tc>
          <w:tcPr>
            <w:tcW w:w="1323" w:type="dxa"/>
          </w:tcPr>
          <w:p w14:paraId="21E23F14" w14:textId="77777777" w:rsidR="00065A05" w:rsidRPr="00B0485F" w:rsidRDefault="00065A05" w:rsidP="00EA2441">
            <w:pPr>
              <w:pStyle w:val="051Tabletext228pt"/>
              <w:spacing w:before="20" w:after="20"/>
            </w:pPr>
            <w:r w:rsidRPr="00B0485F">
              <w:t>Scheiner 2012</w:t>
            </w:r>
          </w:p>
          <w:p w14:paraId="7F9AB402" w14:textId="3BB12312" w:rsidR="00065A05" w:rsidRPr="00B0485F" w:rsidRDefault="00065A05" w:rsidP="00EA2441">
            <w:pPr>
              <w:pStyle w:val="051Tabletext228pt"/>
              <w:spacing w:before="20" w:after="20"/>
            </w:pPr>
          </w:p>
        </w:tc>
        <w:tc>
          <w:tcPr>
            <w:tcW w:w="2170" w:type="dxa"/>
          </w:tcPr>
          <w:p w14:paraId="089A4B2B" w14:textId="77777777" w:rsidR="00065A05" w:rsidRDefault="00065A05" w:rsidP="00EA2441">
            <w:pPr>
              <w:pStyle w:val="051Tabletext228pt"/>
              <w:spacing w:before="20" w:after="20"/>
            </w:pPr>
            <w:r w:rsidRPr="00B0485F">
              <w:t>Incontinence surgery-naïve USI or stress-predominant MUI</w:t>
            </w:r>
          </w:p>
          <w:p w14:paraId="6CF8B772" w14:textId="55117B90" w:rsidR="001B5207" w:rsidRPr="00B0485F" w:rsidRDefault="001B5207" w:rsidP="00EA2441">
            <w:pPr>
              <w:pStyle w:val="051Tabletext228pt"/>
              <w:spacing w:before="20" w:after="20"/>
            </w:pPr>
            <w:r>
              <w:t>N=160</w:t>
            </w:r>
          </w:p>
        </w:tc>
        <w:tc>
          <w:tcPr>
            <w:tcW w:w="1829" w:type="dxa"/>
          </w:tcPr>
          <w:p w14:paraId="1CA28109" w14:textId="77777777" w:rsidR="00065A05" w:rsidRPr="00B0485F" w:rsidRDefault="00065A05" w:rsidP="00EA2441">
            <w:pPr>
              <w:pStyle w:val="051Tabletext228pt"/>
              <w:spacing w:before="20" w:after="20"/>
            </w:pPr>
            <w:r w:rsidRPr="00B0485F">
              <w:t>TOT or TVT-O</w:t>
            </w:r>
          </w:p>
          <w:p w14:paraId="213CEA0C" w14:textId="77777777" w:rsidR="00065A05" w:rsidRPr="00B0485F" w:rsidRDefault="00065A05" w:rsidP="00EA2441">
            <w:pPr>
              <w:pStyle w:val="051Tabletext228pt"/>
              <w:spacing w:before="20" w:after="20"/>
            </w:pPr>
            <w:r w:rsidRPr="00B0485F">
              <w:t>TVT</w:t>
            </w:r>
          </w:p>
        </w:tc>
        <w:tc>
          <w:tcPr>
            <w:tcW w:w="2508" w:type="dxa"/>
          </w:tcPr>
          <w:p w14:paraId="38EB958B" w14:textId="4934199E" w:rsidR="00065A05" w:rsidRPr="00B0485F" w:rsidRDefault="00065A05" w:rsidP="00EA2441">
            <w:pPr>
              <w:pStyle w:val="051Tabletext228pt"/>
              <w:spacing w:before="20" w:after="20"/>
            </w:pPr>
            <w:r w:rsidRPr="00B0485F">
              <w:t xml:space="preserve">Continence-specific </w:t>
            </w:r>
            <w:proofErr w:type="spellStart"/>
            <w:r w:rsidR="00090053">
              <w:t>HR</w:t>
            </w:r>
            <w:r w:rsidRPr="00B0485F">
              <w:t>QoL</w:t>
            </w:r>
            <w:proofErr w:type="spellEnd"/>
          </w:p>
          <w:p w14:paraId="528DD839" w14:textId="77777777" w:rsidR="00512581" w:rsidRPr="00B0485F" w:rsidRDefault="00512581" w:rsidP="00512581">
            <w:pPr>
              <w:pStyle w:val="051Tabletext228pt"/>
              <w:spacing w:before="20" w:after="20"/>
            </w:pPr>
            <w:r>
              <w:t>AEs</w:t>
            </w:r>
          </w:p>
          <w:p w14:paraId="3C994524" w14:textId="77777777" w:rsidR="00065A05" w:rsidRPr="00B0485F" w:rsidRDefault="00065A05" w:rsidP="00EA2441">
            <w:pPr>
              <w:pStyle w:val="051Tabletext228pt"/>
              <w:spacing w:before="20" w:after="20"/>
            </w:pPr>
            <w:r w:rsidRPr="00B0485F">
              <w:t xml:space="preserve">Complications </w:t>
            </w:r>
          </w:p>
          <w:p w14:paraId="5EFE5A1B" w14:textId="77777777" w:rsidR="00065A05" w:rsidRPr="00B0485F" w:rsidRDefault="00065A05" w:rsidP="00EA2441">
            <w:pPr>
              <w:pStyle w:val="051Tabletext228pt"/>
              <w:spacing w:before="20" w:after="20"/>
            </w:pPr>
            <w:r w:rsidRPr="00B0485F">
              <w:t>Change in continence status</w:t>
            </w:r>
          </w:p>
          <w:p w14:paraId="5ED3AA74" w14:textId="77777777" w:rsidR="00065A05" w:rsidRPr="00B0485F" w:rsidRDefault="00065A05" w:rsidP="00EA2441">
            <w:pPr>
              <w:pStyle w:val="051Tabletext228pt"/>
              <w:spacing w:before="20" w:after="20"/>
            </w:pPr>
            <w:r w:rsidRPr="00B0485F">
              <w:t>Repeat surgery</w:t>
            </w:r>
          </w:p>
        </w:tc>
        <w:tc>
          <w:tcPr>
            <w:tcW w:w="1808" w:type="dxa"/>
          </w:tcPr>
          <w:p w14:paraId="793F0C83" w14:textId="77777777" w:rsidR="00065A05" w:rsidRPr="00B0485F" w:rsidRDefault="00065A05" w:rsidP="00EA2441">
            <w:pPr>
              <w:pStyle w:val="051Tabletext228pt"/>
              <w:spacing w:before="20" w:after="20"/>
            </w:pPr>
            <w:r w:rsidRPr="00B0485F">
              <w:t>12.6 (mean)</w:t>
            </w:r>
          </w:p>
        </w:tc>
      </w:tr>
      <w:tr w:rsidR="00C50BC9" w:rsidRPr="00B0485F" w14:paraId="675C049C" w14:textId="77777777" w:rsidTr="00116789">
        <w:tc>
          <w:tcPr>
            <w:tcW w:w="1323" w:type="dxa"/>
          </w:tcPr>
          <w:p w14:paraId="006D84BE" w14:textId="77777777" w:rsidR="00065A05" w:rsidRPr="00B0485F" w:rsidRDefault="00065A05" w:rsidP="00EA2441">
            <w:pPr>
              <w:pStyle w:val="051Tabletext228pt"/>
              <w:spacing w:before="20" w:after="20"/>
            </w:pPr>
            <w:proofErr w:type="spellStart"/>
            <w:r w:rsidRPr="00B0485F">
              <w:t>Schierlitz</w:t>
            </w:r>
            <w:proofErr w:type="spellEnd"/>
            <w:r w:rsidRPr="00B0485F">
              <w:t xml:space="preserve"> 2008/2012</w:t>
            </w:r>
          </w:p>
          <w:p w14:paraId="048A10D8" w14:textId="6AF4E9A8" w:rsidR="00065A05" w:rsidRPr="00B0485F" w:rsidRDefault="00065A05" w:rsidP="00EA2441">
            <w:pPr>
              <w:pStyle w:val="051Tabletext228pt"/>
              <w:spacing w:before="20" w:after="20"/>
            </w:pPr>
          </w:p>
        </w:tc>
        <w:tc>
          <w:tcPr>
            <w:tcW w:w="2170" w:type="dxa"/>
          </w:tcPr>
          <w:p w14:paraId="0199E4B9" w14:textId="77777777" w:rsidR="00065A05" w:rsidRDefault="00065A05" w:rsidP="00EA2441">
            <w:pPr>
              <w:pStyle w:val="051Tabletext228pt"/>
              <w:spacing w:before="20" w:after="20"/>
            </w:pPr>
            <w:r w:rsidRPr="00B0485F">
              <w:t>SUI and ISD who failed conservative treatment</w:t>
            </w:r>
          </w:p>
          <w:p w14:paraId="3FB4F233" w14:textId="24AA2741" w:rsidR="001B5207" w:rsidRPr="00B0485F" w:rsidRDefault="001B5207" w:rsidP="00EA2441">
            <w:pPr>
              <w:pStyle w:val="051Tabletext228pt"/>
              <w:spacing w:before="20" w:after="20"/>
            </w:pPr>
            <w:r>
              <w:t>N=164</w:t>
            </w:r>
          </w:p>
        </w:tc>
        <w:tc>
          <w:tcPr>
            <w:tcW w:w="1829" w:type="dxa"/>
          </w:tcPr>
          <w:p w14:paraId="1BBC5D09" w14:textId="77777777" w:rsidR="00065A05" w:rsidRPr="00B0485F" w:rsidRDefault="00065A05" w:rsidP="00EA2441">
            <w:pPr>
              <w:pStyle w:val="051Tabletext228pt"/>
              <w:spacing w:before="20" w:after="20"/>
            </w:pPr>
            <w:r w:rsidRPr="00B0485F">
              <w:t>TOT</w:t>
            </w:r>
          </w:p>
          <w:p w14:paraId="2449EB67" w14:textId="77777777" w:rsidR="00065A05" w:rsidRPr="00B0485F" w:rsidRDefault="00065A05" w:rsidP="00EA2441">
            <w:pPr>
              <w:pStyle w:val="051Tabletext228pt"/>
              <w:spacing w:before="20" w:after="20"/>
            </w:pPr>
            <w:r w:rsidRPr="00B0485F">
              <w:t>TVT</w:t>
            </w:r>
          </w:p>
        </w:tc>
        <w:tc>
          <w:tcPr>
            <w:tcW w:w="2508" w:type="dxa"/>
          </w:tcPr>
          <w:p w14:paraId="50D3D6F1" w14:textId="77777777" w:rsidR="00512581" w:rsidRPr="00B0485F" w:rsidRDefault="00512581" w:rsidP="00512581">
            <w:pPr>
              <w:pStyle w:val="051Tabletext228pt"/>
              <w:spacing w:before="20" w:after="20"/>
            </w:pPr>
            <w:r>
              <w:t>AEs</w:t>
            </w:r>
          </w:p>
          <w:p w14:paraId="0899ED3E" w14:textId="77777777" w:rsidR="00065A05" w:rsidRPr="00B0485F" w:rsidRDefault="00065A05" w:rsidP="00EA2441">
            <w:pPr>
              <w:pStyle w:val="051Tabletext228pt"/>
              <w:spacing w:before="20" w:after="20"/>
            </w:pPr>
            <w:r w:rsidRPr="00B0485F">
              <w:t xml:space="preserve">Complications </w:t>
            </w:r>
          </w:p>
          <w:p w14:paraId="142F2AEF" w14:textId="77777777" w:rsidR="00065A05" w:rsidRPr="00B0485F" w:rsidRDefault="00065A05" w:rsidP="00EA2441">
            <w:pPr>
              <w:pStyle w:val="051Tabletext228pt"/>
              <w:spacing w:before="20" w:after="20"/>
            </w:pPr>
            <w:r w:rsidRPr="00B0485F">
              <w:t>Change in continence status</w:t>
            </w:r>
          </w:p>
          <w:p w14:paraId="708ECA45" w14:textId="77777777" w:rsidR="00065A05" w:rsidRPr="00B0485F" w:rsidRDefault="00065A05" w:rsidP="00EA2441">
            <w:pPr>
              <w:pStyle w:val="051Tabletext228pt"/>
              <w:spacing w:before="20" w:after="20"/>
            </w:pPr>
            <w:r w:rsidRPr="00B0485F">
              <w:t>Repeat surgery</w:t>
            </w:r>
          </w:p>
        </w:tc>
        <w:tc>
          <w:tcPr>
            <w:tcW w:w="1808" w:type="dxa"/>
          </w:tcPr>
          <w:p w14:paraId="30F2A2CB" w14:textId="77777777" w:rsidR="00065A05" w:rsidRPr="00B0485F" w:rsidRDefault="00065A05" w:rsidP="00EA2441">
            <w:pPr>
              <w:pStyle w:val="051Tabletext228pt"/>
              <w:spacing w:before="20" w:after="20"/>
            </w:pPr>
            <w:r w:rsidRPr="00B0485F">
              <w:t>6/36</w:t>
            </w:r>
          </w:p>
        </w:tc>
      </w:tr>
      <w:tr w:rsidR="00C50BC9" w:rsidRPr="00B0485F" w14:paraId="30CEF363" w14:textId="77777777" w:rsidTr="00116789">
        <w:tc>
          <w:tcPr>
            <w:tcW w:w="1323" w:type="dxa"/>
          </w:tcPr>
          <w:p w14:paraId="5029BDB8" w14:textId="77777777" w:rsidR="00065A05" w:rsidRPr="00B0485F" w:rsidRDefault="00065A05" w:rsidP="00EA2441">
            <w:pPr>
              <w:pStyle w:val="051Tabletext228pt"/>
              <w:spacing w:before="20" w:after="20"/>
            </w:pPr>
            <w:r w:rsidRPr="00B0485F">
              <w:t>Shirvan 2014</w:t>
            </w:r>
          </w:p>
          <w:p w14:paraId="6C602F02" w14:textId="13C81DAD" w:rsidR="00065A05" w:rsidRPr="00B0485F" w:rsidRDefault="00065A05" w:rsidP="00EA2441">
            <w:pPr>
              <w:pStyle w:val="051Tabletext228pt"/>
              <w:spacing w:before="20" w:after="20"/>
            </w:pPr>
          </w:p>
        </w:tc>
        <w:tc>
          <w:tcPr>
            <w:tcW w:w="2170" w:type="dxa"/>
          </w:tcPr>
          <w:p w14:paraId="432BC28B" w14:textId="77777777" w:rsidR="00065A05" w:rsidRDefault="00065A05" w:rsidP="00EA2441">
            <w:pPr>
              <w:pStyle w:val="051Tabletext228pt"/>
              <w:spacing w:before="20" w:after="20"/>
            </w:pPr>
            <w:r w:rsidRPr="00B0485F">
              <w:t>Stress-predominant UI and positive cough stress test who failed conservative treatment</w:t>
            </w:r>
          </w:p>
          <w:p w14:paraId="40F84089" w14:textId="4DFB11A8" w:rsidR="001B5207" w:rsidRPr="00B0485F" w:rsidRDefault="001B5207" w:rsidP="00EA2441">
            <w:pPr>
              <w:pStyle w:val="051Tabletext228pt"/>
              <w:spacing w:before="20" w:after="20"/>
            </w:pPr>
            <w:r>
              <w:t>N=100</w:t>
            </w:r>
          </w:p>
        </w:tc>
        <w:tc>
          <w:tcPr>
            <w:tcW w:w="1829" w:type="dxa"/>
          </w:tcPr>
          <w:p w14:paraId="0ED09553" w14:textId="77777777" w:rsidR="00065A05" w:rsidRPr="00B0485F" w:rsidRDefault="00065A05" w:rsidP="00EA2441">
            <w:pPr>
              <w:pStyle w:val="051Tabletext228pt"/>
              <w:spacing w:before="20" w:after="20"/>
            </w:pPr>
            <w:r w:rsidRPr="00B0485F">
              <w:t>TOT</w:t>
            </w:r>
          </w:p>
          <w:p w14:paraId="72FD448D" w14:textId="77777777" w:rsidR="00065A05" w:rsidRPr="00B0485F" w:rsidRDefault="00065A05" w:rsidP="00EA2441">
            <w:pPr>
              <w:pStyle w:val="051Tabletext228pt"/>
              <w:spacing w:before="20" w:after="20"/>
            </w:pPr>
            <w:r w:rsidRPr="00B0485F">
              <w:t>TVT</w:t>
            </w:r>
          </w:p>
        </w:tc>
        <w:tc>
          <w:tcPr>
            <w:tcW w:w="2508" w:type="dxa"/>
          </w:tcPr>
          <w:p w14:paraId="793BC649" w14:textId="3B418831" w:rsidR="00065A05" w:rsidRPr="00B0485F" w:rsidRDefault="00065A05" w:rsidP="00EA2441">
            <w:pPr>
              <w:pStyle w:val="051Tabletext228pt"/>
              <w:spacing w:before="20" w:after="20"/>
            </w:pPr>
            <w:r w:rsidRPr="00B0485F">
              <w:t xml:space="preserve">Continence-specific </w:t>
            </w:r>
            <w:proofErr w:type="spellStart"/>
            <w:r w:rsidR="00090053">
              <w:t>HR</w:t>
            </w:r>
            <w:r w:rsidRPr="00B0485F">
              <w:t>QoL</w:t>
            </w:r>
            <w:proofErr w:type="spellEnd"/>
          </w:p>
          <w:p w14:paraId="11A613FA" w14:textId="77777777" w:rsidR="00512581" w:rsidRPr="00B0485F" w:rsidRDefault="00512581" w:rsidP="00512581">
            <w:pPr>
              <w:pStyle w:val="051Tabletext228pt"/>
              <w:spacing w:before="20" w:after="20"/>
            </w:pPr>
            <w:r>
              <w:t>AEs</w:t>
            </w:r>
          </w:p>
          <w:p w14:paraId="0C26EA7E" w14:textId="77777777" w:rsidR="00065A05" w:rsidRPr="00B0485F" w:rsidRDefault="00065A05" w:rsidP="00EA2441">
            <w:pPr>
              <w:pStyle w:val="051Tabletext228pt"/>
              <w:spacing w:before="20" w:after="20"/>
            </w:pPr>
            <w:r w:rsidRPr="00B0485F">
              <w:t xml:space="preserve">Complications </w:t>
            </w:r>
          </w:p>
          <w:p w14:paraId="4BFE8F88" w14:textId="77777777" w:rsidR="00065A05" w:rsidRPr="00B0485F" w:rsidRDefault="00065A05" w:rsidP="00EA2441">
            <w:pPr>
              <w:pStyle w:val="051Tabletext228pt"/>
              <w:spacing w:before="20" w:after="20"/>
            </w:pPr>
            <w:r w:rsidRPr="00B0485F">
              <w:t>Change in continence status</w:t>
            </w:r>
          </w:p>
        </w:tc>
        <w:tc>
          <w:tcPr>
            <w:tcW w:w="1808" w:type="dxa"/>
          </w:tcPr>
          <w:p w14:paraId="7FD5313D" w14:textId="77777777" w:rsidR="00065A05" w:rsidRPr="00B0485F" w:rsidRDefault="00065A05" w:rsidP="00EA2441">
            <w:pPr>
              <w:pStyle w:val="051Tabletext228pt"/>
              <w:spacing w:before="20" w:after="20"/>
            </w:pPr>
            <w:r w:rsidRPr="00B0485F">
              <w:t>12, 18</w:t>
            </w:r>
          </w:p>
        </w:tc>
      </w:tr>
      <w:tr w:rsidR="00C50BC9" w:rsidRPr="00B0485F" w14:paraId="3ACB3F73" w14:textId="77777777" w:rsidTr="00116789">
        <w:tc>
          <w:tcPr>
            <w:tcW w:w="1323" w:type="dxa"/>
          </w:tcPr>
          <w:p w14:paraId="0E5BEB1E" w14:textId="77777777" w:rsidR="00065A05" w:rsidRPr="00B0485F" w:rsidRDefault="00065A05" w:rsidP="00EA2441">
            <w:pPr>
              <w:pStyle w:val="051Tabletext228pt"/>
              <w:spacing w:before="20" w:after="20"/>
            </w:pPr>
            <w:proofErr w:type="spellStart"/>
            <w:r w:rsidRPr="00B0485F">
              <w:t>Tanuri</w:t>
            </w:r>
            <w:proofErr w:type="spellEnd"/>
            <w:r w:rsidRPr="00B0485F">
              <w:t xml:space="preserve"> 2010</w:t>
            </w:r>
          </w:p>
          <w:p w14:paraId="7757A2AE" w14:textId="14A4DFCD" w:rsidR="00065A05" w:rsidRPr="00B0485F" w:rsidRDefault="00065A05" w:rsidP="00EA2441">
            <w:pPr>
              <w:pStyle w:val="051Tabletext228pt"/>
              <w:spacing w:before="20" w:after="20"/>
            </w:pPr>
          </w:p>
        </w:tc>
        <w:tc>
          <w:tcPr>
            <w:tcW w:w="2170" w:type="dxa"/>
          </w:tcPr>
          <w:p w14:paraId="1C5507BB" w14:textId="77777777" w:rsidR="00065A05" w:rsidRDefault="00065A05" w:rsidP="00EA2441">
            <w:pPr>
              <w:pStyle w:val="051Tabletext228pt"/>
              <w:spacing w:before="20" w:after="20"/>
            </w:pPr>
            <w:r w:rsidRPr="00B0485F">
              <w:t>SUI</w:t>
            </w:r>
          </w:p>
          <w:p w14:paraId="7808E3AB" w14:textId="0D5FB6AA" w:rsidR="001B5207" w:rsidRPr="00B0485F" w:rsidRDefault="001B5207" w:rsidP="00EA2441">
            <w:pPr>
              <w:pStyle w:val="051Tabletext228pt"/>
              <w:spacing w:before="20" w:after="20"/>
            </w:pPr>
            <w:r>
              <w:t>N=30</w:t>
            </w:r>
          </w:p>
        </w:tc>
        <w:tc>
          <w:tcPr>
            <w:tcW w:w="1829" w:type="dxa"/>
          </w:tcPr>
          <w:p w14:paraId="08131E12" w14:textId="77777777" w:rsidR="00065A05" w:rsidRPr="00B0485F" w:rsidRDefault="00065A05" w:rsidP="00EA2441">
            <w:pPr>
              <w:pStyle w:val="051Tabletext228pt"/>
              <w:spacing w:before="20" w:after="20"/>
            </w:pPr>
            <w:r w:rsidRPr="00B0485F">
              <w:t>TOT</w:t>
            </w:r>
          </w:p>
          <w:p w14:paraId="60755142" w14:textId="77777777" w:rsidR="00065A05" w:rsidRPr="00B0485F" w:rsidRDefault="00065A05" w:rsidP="00EA2441">
            <w:pPr>
              <w:pStyle w:val="051Tabletext228pt"/>
              <w:spacing w:before="20" w:after="20"/>
            </w:pPr>
            <w:r w:rsidRPr="00B0485F">
              <w:t xml:space="preserve">Retropubic </w:t>
            </w:r>
            <w:proofErr w:type="spellStart"/>
            <w:r w:rsidRPr="00B0485F">
              <w:t>midurethral</w:t>
            </w:r>
            <w:proofErr w:type="spellEnd"/>
            <w:r w:rsidRPr="00B0485F">
              <w:t xml:space="preserve"> sling</w:t>
            </w:r>
          </w:p>
        </w:tc>
        <w:tc>
          <w:tcPr>
            <w:tcW w:w="2508" w:type="dxa"/>
          </w:tcPr>
          <w:p w14:paraId="0FBB3E13" w14:textId="4D45FD0F" w:rsidR="00065A05" w:rsidRPr="00B0485F" w:rsidRDefault="00065A05" w:rsidP="00EA2441">
            <w:pPr>
              <w:pStyle w:val="051Tabletext228pt"/>
              <w:spacing w:before="20" w:after="20"/>
            </w:pPr>
            <w:r w:rsidRPr="00B0485F">
              <w:t xml:space="preserve">Continence-specific </w:t>
            </w:r>
            <w:proofErr w:type="spellStart"/>
            <w:r w:rsidR="00090053">
              <w:t>HR</w:t>
            </w:r>
            <w:r w:rsidRPr="00B0485F">
              <w:t>QoL</w:t>
            </w:r>
            <w:proofErr w:type="spellEnd"/>
          </w:p>
          <w:p w14:paraId="0CCD3963" w14:textId="77777777" w:rsidR="00512581" w:rsidRPr="00B0485F" w:rsidRDefault="00512581" w:rsidP="00512581">
            <w:pPr>
              <w:pStyle w:val="051Tabletext228pt"/>
              <w:spacing w:before="20" w:after="20"/>
            </w:pPr>
            <w:r>
              <w:t>AEs</w:t>
            </w:r>
          </w:p>
          <w:p w14:paraId="1A04C5E0" w14:textId="77777777" w:rsidR="00065A05" w:rsidRPr="00B0485F" w:rsidRDefault="00065A05" w:rsidP="00EA2441">
            <w:pPr>
              <w:pStyle w:val="051Tabletext228pt"/>
              <w:spacing w:before="20" w:after="20"/>
            </w:pPr>
            <w:r w:rsidRPr="00B0485F">
              <w:t xml:space="preserve">Complications </w:t>
            </w:r>
          </w:p>
          <w:p w14:paraId="4427DDCB" w14:textId="77777777" w:rsidR="00065A05" w:rsidRPr="00B0485F" w:rsidRDefault="00065A05" w:rsidP="00EA2441">
            <w:pPr>
              <w:pStyle w:val="051Tabletext228pt"/>
              <w:spacing w:before="20" w:after="20"/>
            </w:pPr>
            <w:r w:rsidRPr="00B0485F">
              <w:t>Change in continence status</w:t>
            </w:r>
          </w:p>
        </w:tc>
        <w:tc>
          <w:tcPr>
            <w:tcW w:w="1808" w:type="dxa"/>
          </w:tcPr>
          <w:p w14:paraId="48749029" w14:textId="77777777" w:rsidR="00065A05" w:rsidRPr="00B0485F" w:rsidRDefault="00065A05" w:rsidP="00EA2441">
            <w:pPr>
              <w:pStyle w:val="051Tabletext228pt"/>
              <w:spacing w:before="20" w:after="20"/>
            </w:pPr>
            <w:r w:rsidRPr="00B0485F">
              <w:t>12</w:t>
            </w:r>
          </w:p>
        </w:tc>
      </w:tr>
      <w:tr w:rsidR="00C50BC9" w:rsidRPr="00B0485F" w14:paraId="58A915E5" w14:textId="77777777" w:rsidTr="00116789">
        <w:tc>
          <w:tcPr>
            <w:tcW w:w="1323" w:type="dxa"/>
          </w:tcPr>
          <w:p w14:paraId="224DEE5A" w14:textId="77777777" w:rsidR="00065A05" w:rsidRPr="00B0485F" w:rsidRDefault="00065A05" w:rsidP="00EA2441">
            <w:pPr>
              <w:pStyle w:val="051Tabletext228pt"/>
              <w:spacing w:before="20" w:after="20"/>
            </w:pPr>
            <w:proofErr w:type="spellStart"/>
            <w:r w:rsidRPr="00B0485F">
              <w:t>Tarcan</w:t>
            </w:r>
            <w:proofErr w:type="spellEnd"/>
            <w:r w:rsidRPr="00B0485F">
              <w:t xml:space="preserve"> 2014</w:t>
            </w:r>
          </w:p>
          <w:p w14:paraId="22BDC8CA" w14:textId="7628A944" w:rsidR="00065A05" w:rsidRPr="00B0485F" w:rsidRDefault="00065A05" w:rsidP="00EA2441">
            <w:pPr>
              <w:pStyle w:val="051Tabletext228pt"/>
              <w:spacing w:before="20" w:after="20"/>
            </w:pPr>
          </w:p>
        </w:tc>
        <w:tc>
          <w:tcPr>
            <w:tcW w:w="2170" w:type="dxa"/>
          </w:tcPr>
          <w:p w14:paraId="3D22989A" w14:textId="77777777" w:rsidR="00065A05" w:rsidRDefault="00065A05" w:rsidP="00EA2441">
            <w:pPr>
              <w:pStyle w:val="051Tabletext228pt"/>
              <w:spacing w:before="20" w:after="20"/>
            </w:pPr>
            <w:r w:rsidRPr="00B0485F">
              <w:t>Pure or stress dominant USI</w:t>
            </w:r>
          </w:p>
          <w:p w14:paraId="65CCBBE8" w14:textId="3C9459A2" w:rsidR="001B5207" w:rsidRPr="00B0485F" w:rsidRDefault="001B5207" w:rsidP="00EA2441">
            <w:pPr>
              <w:pStyle w:val="051Tabletext228pt"/>
              <w:spacing w:before="20" w:after="20"/>
            </w:pPr>
            <w:r>
              <w:t>N=54</w:t>
            </w:r>
          </w:p>
        </w:tc>
        <w:tc>
          <w:tcPr>
            <w:tcW w:w="1829" w:type="dxa"/>
          </w:tcPr>
          <w:p w14:paraId="7A519AE7" w14:textId="77777777" w:rsidR="00065A05" w:rsidRPr="0098745D" w:rsidRDefault="00065A05" w:rsidP="00EA2441">
            <w:pPr>
              <w:pStyle w:val="051Tabletext228pt"/>
              <w:spacing w:before="20" w:after="20"/>
            </w:pPr>
            <w:proofErr w:type="spellStart"/>
            <w:r w:rsidRPr="0098745D">
              <w:t>Obtryx</w:t>
            </w:r>
            <w:proofErr w:type="spellEnd"/>
            <w:r w:rsidRPr="0098745D">
              <w:t>-TO</w:t>
            </w:r>
          </w:p>
          <w:p w14:paraId="27B09824" w14:textId="77777777" w:rsidR="00065A05" w:rsidRPr="00B0485F" w:rsidRDefault="00065A05" w:rsidP="00EA2441">
            <w:pPr>
              <w:pStyle w:val="051Tabletext228pt"/>
              <w:spacing w:before="20" w:after="20"/>
            </w:pPr>
            <w:r w:rsidRPr="0098745D">
              <w:t>Advantage</w:t>
            </w:r>
          </w:p>
        </w:tc>
        <w:tc>
          <w:tcPr>
            <w:tcW w:w="2508" w:type="dxa"/>
          </w:tcPr>
          <w:p w14:paraId="44C95DDF" w14:textId="77777777" w:rsidR="00512581" w:rsidRPr="00B0485F" w:rsidRDefault="00512581" w:rsidP="00512581">
            <w:pPr>
              <w:pStyle w:val="051Tabletext228pt"/>
              <w:spacing w:before="20" w:after="20"/>
            </w:pPr>
            <w:r>
              <w:t>AEs</w:t>
            </w:r>
          </w:p>
          <w:p w14:paraId="13719A42" w14:textId="77777777" w:rsidR="00065A05" w:rsidRPr="00B0485F" w:rsidRDefault="00065A05" w:rsidP="00EA2441">
            <w:pPr>
              <w:pStyle w:val="051Tabletext228pt"/>
              <w:spacing w:before="20" w:after="20"/>
            </w:pPr>
            <w:r w:rsidRPr="00B0485F">
              <w:t xml:space="preserve">Complications </w:t>
            </w:r>
          </w:p>
        </w:tc>
        <w:tc>
          <w:tcPr>
            <w:tcW w:w="1808" w:type="dxa"/>
          </w:tcPr>
          <w:p w14:paraId="08379DB0" w14:textId="77777777" w:rsidR="00065A05" w:rsidRPr="00B0485F" w:rsidRDefault="00065A05" w:rsidP="00EA2441">
            <w:pPr>
              <w:pStyle w:val="051Tabletext228pt"/>
              <w:spacing w:before="20" w:after="20"/>
            </w:pPr>
            <w:r w:rsidRPr="00B0485F">
              <w:t>48.5 (median)</w:t>
            </w:r>
          </w:p>
        </w:tc>
      </w:tr>
      <w:tr w:rsidR="00C50BC9" w:rsidRPr="00B0485F" w14:paraId="705576DD" w14:textId="77777777" w:rsidTr="00116789">
        <w:tc>
          <w:tcPr>
            <w:tcW w:w="1323" w:type="dxa"/>
          </w:tcPr>
          <w:p w14:paraId="69B9CB6E" w14:textId="77777777" w:rsidR="00065A05" w:rsidRPr="00B0485F" w:rsidRDefault="00065A05" w:rsidP="00EA2441">
            <w:pPr>
              <w:pStyle w:val="051Tabletext228pt"/>
              <w:spacing w:before="20" w:after="20"/>
            </w:pPr>
            <w:r w:rsidRPr="00B0485F">
              <w:t>Teo 2011</w:t>
            </w:r>
          </w:p>
          <w:p w14:paraId="17BE219E" w14:textId="624B8F09" w:rsidR="00065A05" w:rsidRPr="00B0485F" w:rsidRDefault="00065A05" w:rsidP="00EA2441">
            <w:pPr>
              <w:pStyle w:val="051Tabletext228pt"/>
              <w:spacing w:before="20" w:after="20"/>
            </w:pPr>
          </w:p>
        </w:tc>
        <w:tc>
          <w:tcPr>
            <w:tcW w:w="2170" w:type="dxa"/>
          </w:tcPr>
          <w:p w14:paraId="42B05695" w14:textId="77777777" w:rsidR="00065A05" w:rsidRDefault="00065A05" w:rsidP="00EA2441">
            <w:pPr>
              <w:pStyle w:val="051Tabletext228pt"/>
              <w:spacing w:before="20" w:after="20"/>
            </w:pPr>
            <w:r w:rsidRPr="00B0485F">
              <w:t>Incontinence surgery-naïve USI and no DO</w:t>
            </w:r>
          </w:p>
          <w:p w14:paraId="741C5807" w14:textId="2AE9C16B" w:rsidR="001B5207" w:rsidRPr="00B0485F" w:rsidRDefault="001B5207" w:rsidP="00EA2441">
            <w:pPr>
              <w:pStyle w:val="051Tabletext228pt"/>
              <w:spacing w:before="20" w:after="20"/>
            </w:pPr>
            <w:r>
              <w:t>N=127</w:t>
            </w:r>
          </w:p>
        </w:tc>
        <w:tc>
          <w:tcPr>
            <w:tcW w:w="1829" w:type="dxa"/>
          </w:tcPr>
          <w:p w14:paraId="7E69F621" w14:textId="77777777" w:rsidR="00065A05" w:rsidRPr="00B0485F" w:rsidRDefault="00065A05" w:rsidP="00EA2441">
            <w:pPr>
              <w:pStyle w:val="051Tabletext228pt"/>
              <w:spacing w:before="20" w:after="20"/>
            </w:pPr>
            <w:r w:rsidRPr="00B0485F">
              <w:t>TVT-O</w:t>
            </w:r>
          </w:p>
          <w:p w14:paraId="42145E47" w14:textId="77777777" w:rsidR="00065A05" w:rsidRPr="00B0485F" w:rsidRDefault="00065A05" w:rsidP="00EA2441">
            <w:pPr>
              <w:pStyle w:val="051Tabletext228pt"/>
              <w:spacing w:before="20" w:after="20"/>
            </w:pPr>
            <w:r w:rsidRPr="00B0485F">
              <w:t>TVT</w:t>
            </w:r>
          </w:p>
        </w:tc>
        <w:tc>
          <w:tcPr>
            <w:tcW w:w="2508" w:type="dxa"/>
          </w:tcPr>
          <w:p w14:paraId="2C946680" w14:textId="77777777" w:rsidR="00512581" w:rsidRPr="00B0485F" w:rsidRDefault="00512581" w:rsidP="00512581">
            <w:pPr>
              <w:pStyle w:val="051Tabletext228pt"/>
              <w:spacing w:before="20" w:after="20"/>
            </w:pPr>
            <w:r>
              <w:t>AEs</w:t>
            </w:r>
          </w:p>
          <w:p w14:paraId="7C4353A9" w14:textId="77777777" w:rsidR="00065A05" w:rsidRPr="00B0485F" w:rsidRDefault="00065A05" w:rsidP="00EA2441">
            <w:pPr>
              <w:pStyle w:val="051Tabletext228pt"/>
              <w:spacing w:before="20" w:after="20"/>
            </w:pPr>
            <w:r w:rsidRPr="00B0485F">
              <w:t xml:space="preserve">Complications </w:t>
            </w:r>
          </w:p>
          <w:p w14:paraId="3DED6492" w14:textId="77777777" w:rsidR="00065A05" w:rsidRPr="00B0485F" w:rsidRDefault="00065A05" w:rsidP="00EA2441">
            <w:pPr>
              <w:pStyle w:val="051Tabletext228pt"/>
              <w:spacing w:before="20" w:after="20"/>
            </w:pPr>
            <w:r w:rsidRPr="00B0485F">
              <w:t>Change in continence status</w:t>
            </w:r>
          </w:p>
          <w:p w14:paraId="5737F759" w14:textId="77777777" w:rsidR="00065A05" w:rsidRPr="00B0485F" w:rsidRDefault="00065A05" w:rsidP="00EA2441">
            <w:pPr>
              <w:pStyle w:val="051Tabletext228pt"/>
              <w:spacing w:before="20" w:after="20"/>
            </w:pPr>
            <w:r w:rsidRPr="00B0485F">
              <w:t>Repeat surgery</w:t>
            </w:r>
          </w:p>
        </w:tc>
        <w:tc>
          <w:tcPr>
            <w:tcW w:w="1808" w:type="dxa"/>
          </w:tcPr>
          <w:p w14:paraId="19190805" w14:textId="77777777" w:rsidR="00065A05" w:rsidRPr="00B0485F" w:rsidRDefault="00065A05" w:rsidP="00EA2441">
            <w:pPr>
              <w:pStyle w:val="051Tabletext228pt"/>
              <w:spacing w:before="20" w:after="20"/>
            </w:pPr>
            <w:r w:rsidRPr="00B0485F">
              <w:t>12</w:t>
            </w:r>
          </w:p>
        </w:tc>
      </w:tr>
      <w:tr w:rsidR="00C50BC9" w:rsidRPr="00B0485F" w14:paraId="5E4163F8" w14:textId="77777777" w:rsidTr="00116789">
        <w:tc>
          <w:tcPr>
            <w:tcW w:w="1323" w:type="dxa"/>
          </w:tcPr>
          <w:p w14:paraId="19BDEE54" w14:textId="77777777" w:rsidR="00065A05" w:rsidRPr="00B0485F" w:rsidRDefault="00065A05" w:rsidP="00EA2441">
            <w:pPr>
              <w:pStyle w:val="051Tabletext228pt"/>
              <w:spacing w:before="20" w:after="20"/>
            </w:pPr>
            <w:proofErr w:type="spellStart"/>
            <w:r w:rsidRPr="00B0485F">
              <w:lastRenderedPageBreak/>
              <w:t>Ugurlucan</w:t>
            </w:r>
            <w:proofErr w:type="spellEnd"/>
            <w:r w:rsidRPr="00B0485F">
              <w:t xml:space="preserve"> 2013</w:t>
            </w:r>
            <w:r w:rsidRPr="00B67145">
              <w:t>b</w:t>
            </w:r>
          </w:p>
          <w:p w14:paraId="266CD1AD" w14:textId="60DACEA9" w:rsidR="00065A05" w:rsidRPr="00B0485F" w:rsidRDefault="00065A05" w:rsidP="00EA2441">
            <w:pPr>
              <w:pStyle w:val="051Tabletext228pt"/>
              <w:spacing w:before="20" w:after="20"/>
            </w:pPr>
          </w:p>
        </w:tc>
        <w:tc>
          <w:tcPr>
            <w:tcW w:w="2170" w:type="dxa"/>
          </w:tcPr>
          <w:p w14:paraId="338393E6" w14:textId="77777777" w:rsidR="00065A05" w:rsidRDefault="00065A05" w:rsidP="00EA2441">
            <w:pPr>
              <w:pStyle w:val="051Tabletext228pt"/>
              <w:spacing w:before="20" w:after="20"/>
            </w:pPr>
            <w:r w:rsidRPr="00B0485F">
              <w:t>SUI or MUI</w:t>
            </w:r>
          </w:p>
          <w:p w14:paraId="37B4A66D" w14:textId="3C3B6A0D" w:rsidR="001B5207" w:rsidRPr="00B0485F" w:rsidRDefault="001B5207" w:rsidP="00EA2441">
            <w:pPr>
              <w:pStyle w:val="051Tabletext228pt"/>
              <w:spacing w:before="20" w:after="20"/>
            </w:pPr>
            <w:r>
              <w:t>N=36</w:t>
            </w:r>
          </w:p>
        </w:tc>
        <w:tc>
          <w:tcPr>
            <w:tcW w:w="1829" w:type="dxa"/>
          </w:tcPr>
          <w:p w14:paraId="28616F80" w14:textId="77777777" w:rsidR="00065A05" w:rsidRPr="00B0485F" w:rsidRDefault="00065A05" w:rsidP="00EA2441">
            <w:pPr>
              <w:pStyle w:val="051Tabletext228pt"/>
              <w:spacing w:before="20" w:after="20"/>
            </w:pPr>
            <w:r w:rsidRPr="00B0485F">
              <w:t>TVT-O</w:t>
            </w:r>
          </w:p>
          <w:p w14:paraId="3CFF5B6A" w14:textId="77777777" w:rsidR="00065A05" w:rsidRPr="00B0485F" w:rsidRDefault="00065A05" w:rsidP="00EA2441">
            <w:pPr>
              <w:pStyle w:val="051Tabletext228pt"/>
              <w:spacing w:before="20" w:after="20"/>
            </w:pPr>
            <w:r w:rsidRPr="00B0485F">
              <w:t>TVT</w:t>
            </w:r>
          </w:p>
        </w:tc>
        <w:tc>
          <w:tcPr>
            <w:tcW w:w="2508" w:type="dxa"/>
          </w:tcPr>
          <w:p w14:paraId="6C800FCB" w14:textId="77777777" w:rsidR="00512581" w:rsidRPr="00B0485F" w:rsidRDefault="00512581" w:rsidP="00512581">
            <w:pPr>
              <w:pStyle w:val="051Tabletext228pt"/>
              <w:spacing w:before="20" w:after="20"/>
            </w:pPr>
            <w:r>
              <w:t>AEs</w:t>
            </w:r>
          </w:p>
          <w:p w14:paraId="07F1E914" w14:textId="77777777" w:rsidR="00065A05" w:rsidRPr="00B0485F" w:rsidRDefault="00065A05" w:rsidP="00EA2441">
            <w:pPr>
              <w:pStyle w:val="051Tabletext228pt"/>
              <w:spacing w:before="20" w:after="20"/>
            </w:pPr>
            <w:r w:rsidRPr="00B0485F">
              <w:t xml:space="preserve">Complications </w:t>
            </w:r>
          </w:p>
          <w:p w14:paraId="66874C80" w14:textId="77777777" w:rsidR="00065A05" w:rsidRPr="00B0485F" w:rsidRDefault="00065A05" w:rsidP="00EA2441">
            <w:pPr>
              <w:pStyle w:val="051Tabletext228pt"/>
              <w:spacing w:before="20" w:after="20"/>
            </w:pPr>
            <w:r w:rsidRPr="00B0485F">
              <w:t>Change in continence status</w:t>
            </w:r>
          </w:p>
          <w:p w14:paraId="6F8EB917" w14:textId="77777777" w:rsidR="00065A05" w:rsidRPr="00B0485F" w:rsidRDefault="00065A05" w:rsidP="00EA2441">
            <w:pPr>
              <w:pStyle w:val="051Tabletext228pt"/>
              <w:spacing w:before="20" w:after="20"/>
            </w:pPr>
            <w:r w:rsidRPr="00B0485F">
              <w:t>Improvement in continence status</w:t>
            </w:r>
          </w:p>
        </w:tc>
        <w:tc>
          <w:tcPr>
            <w:tcW w:w="1808" w:type="dxa"/>
          </w:tcPr>
          <w:p w14:paraId="515FAB74" w14:textId="77777777" w:rsidR="00065A05" w:rsidRPr="00B0485F" w:rsidRDefault="00065A05" w:rsidP="00EA2441">
            <w:pPr>
              <w:pStyle w:val="051Tabletext228pt"/>
              <w:spacing w:before="20" w:after="20"/>
            </w:pPr>
            <w:r w:rsidRPr="00B0485F">
              <w:t>18.4 (mean)</w:t>
            </w:r>
          </w:p>
        </w:tc>
      </w:tr>
      <w:tr w:rsidR="00C50BC9" w:rsidRPr="00B0485F" w14:paraId="60E79585" w14:textId="77777777" w:rsidTr="00116789">
        <w:tc>
          <w:tcPr>
            <w:tcW w:w="1323" w:type="dxa"/>
          </w:tcPr>
          <w:p w14:paraId="0DA51157" w14:textId="77777777" w:rsidR="00065A05" w:rsidRPr="00B0485F" w:rsidRDefault="00065A05" w:rsidP="00EA2441">
            <w:pPr>
              <w:pStyle w:val="051Tabletext228pt"/>
              <w:spacing w:before="20" w:after="20"/>
            </w:pPr>
            <w:r w:rsidRPr="00B0485F">
              <w:t>Wadie 2013</w:t>
            </w:r>
          </w:p>
          <w:p w14:paraId="1096EDD5" w14:textId="78AB24B1" w:rsidR="00065A05" w:rsidRPr="00B0485F" w:rsidRDefault="00065A05" w:rsidP="00EA2441">
            <w:pPr>
              <w:pStyle w:val="051Tabletext228pt"/>
              <w:spacing w:before="20" w:after="20"/>
            </w:pPr>
          </w:p>
        </w:tc>
        <w:tc>
          <w:tcPr>
            <w:tcW w:w="2170" w:type="dxa"/>
          </w:tcPr>
          <w:p w14:paraId="6FD3894C" w14:textId="77777777" w:rsidR="00065A05" w:rsidRDefault="00065A05" w:rsidP="00EA2441">
            <w:pPr>
              <w:pStyle w:val="051Tabletext228pt"/>
              <w:spacing w:before="20" w:after="20"/>
            </w:pPr>
            <w:r w:rsidRPr="00B0485F">
              <w:t>Stress-predominant UI and positive stress test</w:t>
            </w:r>
          </w:p>
          <w:p w14:paraId="092EB2D7" w14:textId="67F07614" w:rsidR="001B5207" w:rsidRPr="00B0485F" w:rsidRDefault="001B5207" w:rsidP="00EA2441">
            <w:pPr>
              <w:pStyle w:val="051Tabletext228pt"/>
              <w:spacing w:before="20" w:after="20"/>
            </w:pPr>
            <w:r>
              <w:t>N=87</w:t>
            </w:r>
          </w:p>
        </w:tc>
        <w:tc>
          <w:tcPr>
            <w:tcW w:w="1829" w:type="dxa"/>
          </w:tcPr>
          <w:p w14:paraId="5F8F86E5" w14:textId="77777777" w:rsidR="00065A05" w:rsidRPr="00B0485F" w:rsidRDefault="00065A05" w:rsidP="00EA2441">
            <w:pPr>
              <w:pStyle w:val="051Tabletext228pt"/>
              <w:spacing w:before="20" w:after="20"/>
            </w:pPr>
            <w:r w:rsidRPr="00B0485F">
              <w:t>TOT</w:t>
            </w:r>
          </w:p>
          <w:p w14:paraId="2036E027" w14:textId="77777777" w:rsidR="00065A05" w:rsidRPr="00B0485F" w:rsidRDefault="00065A05" w:rsidP="00EA2441">
            <w:pPr>
              <w:pStyle w:val="051Tabletext228pt"/>
              <w:spacing w:before="20" w:after="20"/>
            </w:pPr>
            <w:r w:rsidRPr="00B0485F">
              <w:t>TVT</w:t>
            </w:r>
          </w:p>
        </w:tc>
        <w:tc>
          <w:tcPr>
            <w:tcW w:w="2508" w:type="dxa"/>
          </w:tcPr>
          <w:p w14:paraId="3AC0B2F7" w14:textId="77777777" w:rsidR="00512581" w:rsidRPr="00B0485F" w:rsidRDefault="00512581" w:rsidP="00512581">
            <w:pPr>
              <w:pStyle w:val="051Tabletext228pt"/>
              <w:spacing w:before="20" w:after="20"/>
            </w:pPr>
            <w:r>
              <w:t>AEs</w:t>
            </w:r>
          </w:p>
          <w:p w14:paraId="203927C5" w14:textId="77777777" w:rsidR="00065A05" w:rsidRPr="00B0485F" w:rsidRDefault="00065A05" w:rsidP="00EA2441">
            <w:pPr>
              <w:pStyle w:val="051Tabletext228pt"/>
              <w:spacing w:before="20" w:after="20"/>
            </w:pPr>
            <w:r w:rsidRPr="00B0485F">
              <w:t xml:space="preserve">Complications </w:t>
            </w:r>
          </w:p>
          <w:p w14:paraId="4BB77C05" w14:textId="77777777" w:rsidR="00065A05" w:rsidRPr="00B0485F" w:rsidRDefault="00065A05" w:rsidP="00EA2441">
            <w:pPr>
              <w:pStyle w:val="051Tabletext228pt"/>
              <w:spacing w:before="20" w:after="20"/>
            </w:pPr>
            <w:r w:rsidRPr="00B0485F">
              <w:t>Change in continence status</w:t>
            </w:r>
          </w:p>
        </w:tc>
        <w:tc>
          <w:tcPr>
            <w:tcW w:w="1808" w:type="dxa"/>
          </w:tcPr>
          <w:p w14:paraId="591DA248" w14:textId="77777777" w:rsidR="00065A05" w:rsidRPr="00B0485F" w:rsidRDefault="00065A05" w:rsidP="00EA2441">
            <w:pPr>
              <w:pStyle w:val="051Tabletext228pt"/>
              <w:spacing w:before="20" w:after="20"/>
            </w:pPr>
            <w:r w:rsidRPr="00B0485F">
              <w:t>12, 24</w:t>
            </w:r>
          </w:p>
        </w:tc>
      </w:tr>
      <w:tr w:rsidR="00C50BC9" w:rsidRPr="00B0485F" w14:paraId="4DF87443" w14:textId="77777777" w:rsidTr="00116789">
        <w:tc>
          <w:tcPr>
            <w:tcW w:w="1323" w:type="dxa"/>
          </w:tcPr>
          <w:p w14:paraId="2F6008B4" w14:textId="77777777" w:rsidR="00065A05" w:rsidRPr="00B0485F" w:rsidRDefault="00065A05" w:rsidP="00EA2441">
            <w:pPr>
              <w:pStyle w:val="051Tabletext228pt"/>
              <w:spacing w:before="20" w:after="20"/>
            </w:pPr>
            <w:r w:rsidRPr="00B0485F">
              <w:t>Wang 2006</w:t>
            </w:r>
          </w:p>
          <w:p w14:paraId="123A9EC3" w14:textId="4F5579E8" w:rsidR="00065A05" w:rsidRPr="00B0485F" w:rsidRDefault="00065A05" w:rsidP="00EA2441">
            <w:pPr>
              <w:pStyle w:val="051Tabletext228pt"/>
              <w:spacing w:before="20" w:after="20"/>
            </w:pPr>
          </w:p>
        </w:tc>
        <w:tc>
          <w:tcPr>
            <w:tcW w:w="2170" w:type="dxa"/>
          </w:tcPr>
          <w:p w14:paraId="47C0D64D" w14:textId="77777777" w:rsidR="00065A05" w:rsidRDefault="00065A05" w:rsidP="00EA2441">
            <w:pPr>
              <w:pStyle w:val="051Tabletext228pt"/>
              <w:spacing w:before="20" w:after="20"/>
            </w:pPr>
            <w:r w:rsidRPr="00B0485F">
              <w:t>Incontinence surgery-naïve USI</w:t>
            </w:r>
          </w:p>
          <w:p w14:paraId="6DE9493F" w14:textId="08268F99" w:rsidR="001B5207" w:rsidRPr="00B0485F" w:rsidRDefault="001B5207" w:rsidP="00EA2441">
            <w:pPr>
              <w:pStyle w:val="051Tabletext228pt"/>
              <w:spacing w:before="20" w:after="20"/>
            </w:pPr>
            <w:r>
              <w:t>N=60</w:t>
            </w:r>
          </w:p>
        </w:tc>
        <w:tc>
          <w:tcPr>
            <w:tcW w:w="1829" w:type="dxa"/>
          </w:tcPr>
          <w:p w14:paraId="29ABEEBF" w14:textId="77777777" w:rsidR="00065A05" w:rsidRPr="00B0485F" w:rsidRDefault="00065A05" w:rsidP="00EA2441">
            <w:pPr>
              <w:pStyle w:val="051Tabletext228pt"/>
              <w:spacing w:before="20" w:after="20"/>
            </w:pPr>
            <w:r w:rsidRPr="00B0485F">
              <w:t>TOT</w:t>
            </w:r>
          </w:p>
          <w:p w14:paraId="43F2EEC7" w14:textId="77777777" w:rsidR="00065A05" w:rsidRPr="00B0485F" w:rsidRDefault="00065A05" w:rsidP="00EA2441">
            <w:pPr>
              <w:pStyle w:val="051Tabletext228pt"/>
              <w:spacing w:before="20" w:after="20"/>
            </w:pPr>
            <w:r w:rsidRPr="00B0485F">
              <w:t>SPARC</w:t>
            </w:r>
          </w:p>
        </w:tc>
        <w:tc>
          <w:tcPr>
            <w:tcW w:w="2508" w:type="dxa"/>
          </w:tcPr>
          <w:p w14:paraId="3AFEA47E" w14:textId="77777777" w:rsidR="00512581" w:rsidRPr="00B0485F" w:rsidRDefault="00512581" w:rsidP="00512581">
            <w:pPr>
              <w:pStyle w:val="051Tabletext228pt"/>
              <w:spacing w:before="20" w:after="20"/>
            </w:pPr>
            <w:r>
              <w:t>AEs</w:t>
            </w:r>
          </w:p>
          <w:p w14:paraId="45D55684" w14:textId="703AF7E4" w:rsidR="00065A05" w:rsidRPr="00B0485F" w:rsidRDefault="00065A05" w:rsidP="00EA2441">
            <w:pPr>
              <w:pStyle w:val="051Tabletext228pt"/>
              <w:spacing w:before="20" w:after="20"/>
            </w:pPr>
            <w:r w:rsidRPr="00B0485F">
              <w:t xml:space="preserve">Complications </w:t>
            </w:r>
          </w:p>
        </w:tc>
        <w:tc>
          <w:tcPr>
            <w:tcW w:w="1808" w:type="dxa"/>
          </w:tcPr>
          <w:p w14:paraId="2464E6D6" w14:textId="77777777" w:rsidR="00065A05" w:rsidRPr="00B0485F" w:rsidRDefault="00065A05" w:rsidP="00EA2441">
            <w:pPr>
              <w:pStyle w:val="051Tabletext228pt"/>
              <w:spacing w:before="20" w:after="20"/>
            </w:pPr>
            <w:r w:rsidRPr="00B0485F">
              <w:t>9 (median)</w:t>
            </w:r>
          </w:p>
        </w:tc>
      </w:tr>
      <w:tr w:rsidR="00C50BC9" w:rsidRPr="00B0485F" w14:paraId="75765267" w14:textId="77777777" w:rsidTr="00116789">
        <w:tc>
          <w:tcPr>
            <w:tcW w:w="1323" w:type="dxa"/>
          </w:tcPr>
          <w:p w14:paraId="4F9103FB" w14:textId="77777777" w:rsidR="00065A05" w:rsidRPr="00B0485F" w:rsidRDefault="00065A05" w:rsidP="00EA2441">
            <w:pPr>
              <w:pStyle w:val="051Tabletext228pt"/>
              <w:spacing w:before="20" w:after="20"/>
            </w:pPr>
            <w:r w:rsidRPr="00B0485F">
              <w:t>Wang 2009</w:t>
            </w:r>
          </w:p>
          <w:p w14:paraId="0952A5A1" w14:textId="5E6F65C7" w:rsidR="00065A05" w:rsidRPr="00B0485F" w:rsidRDefault="00065A05" w:rsidP="00EA2441">
            <w:pPr>
              <w:pStyle w:val="051Tabletext228pt"/>
              <w:spacing w:before="20" w:after="20"/>
            </w:pPr>
          </w:p>
        </w:tc>
        <w:tc>
          <w:tcPr>
            <w:tcW w:w="2170" w:type="dxa"/>
          </w:tcPr>
          <w:p w14:paraId="380C4064" w14:textId="77777777" w:rsidR="00065A05" w:rsidRDefault="00065A05" w:rsidP="00EA2441">
            <w:pPr>
              <w:pStyle w:val="051Tabletext228pt"/>
              <w:spacing w:before="20" w:after="20"/>
            </w:pPr>
            <w:r w:rsidRPr="00B0485F">
              <w:t xml:space="preserve">Mild, </w:t>
            </w:r>
            <w:proofErr w:type="gramStart"/>
            <w:r w:rsidRPr="00B0485F">
              <w:t>moderate</w:t>
            </w:r>
            <w:proofErr w:type="gramEnd"/>
            <w:r w:rsidRPr="00B0485F">
              <w:t xml:space="preserve"> or severe SUI who failed conservative treatment</w:t>
            </w:r>
          </w:p>
          <w:p w14:paraId="42A8C51D" w14:textId="1DDD5357" w:rsidR="001B5207" w:rsidRPr="00B0485F" w:rsidRDefault="001B5207" w:rsidP="00EA2441">
            <w:pPr>
              <w:pStyle w:val="051Tabletext228pt"/>
              <w:spacing w:before="20" w:after="20"/>
            </w:pPr>
            <w:r>
              <w:t>N=315</w:t>
            </w:r>
          </w:p>
        </w:tc>
        <w:tc>
          <w:tcPr>
            <w:tcW w:w="1829" w:type="dxa"/>
          </w:tcPr>
          <w:p w14:paraId="5F9EC924" w14:textId="77777777" w:rsidR="00065A05" w:rsidRPr="00B0485F" w:rsidRDefault="00065A05" w:rsidP="00EA2441">
            <w:pPr>
              <w:pStyle w:val="051Tabletext228pt"/>
              <w:spacing w:before="20" w:after="20"/>
            </w:pPr>
            <w:r w:rsidRPr="00B0485F">
              <w:t>TVT-O</w:t>
            </w:r>
          </w:p>
          <w:p w14:paraId="69976196" w14:textId="77777777" w:rsidR="00065A05" w:rsidRPr="00B0485F" w:rsidRDefault="00065A05" w:rsidP="00EA2441">
            <w:pPr>
              <w:pStyle w:val="051Tabletext228pt"/>
              <w:spacing w:before="20" w:after="20"/>
            </w:pPr>
            <w:r w:rsidRPr="00B0485F">
              <w:t>TVT</w:t>
            </w:r>
          </w:p>
        </w:tc>
        <w:tc>
          <w:tcPr>
            <w:tcW w:w="2508" w:type="dxa"/>
          </w:tcPr>
          <w:p w14:paraId="77FFEFF9" w14:textId="77777777" w:rsidR="00512581" w:rsidRPr="00B0485F" w:rsidRDefault="00512581" w:rsidP="00512581">
            <w:pPr>
              <w:pStyle w:val="051Tabletext228pt"/>
              <w:spacing w:before="20" w:after="20"/>
            </w:pPr>
            <w:r>
              <w:t>AEs</w:t>
            </w:r>
          </w:p>
          <w:p w14:paraId="42FE2C17" w14:textId="77777777" w:rsidR="00065A05" w:rsidRPr="00B0485F" w:rsidRDefault="00065A05" w:rsidP="00EA2441">
            <w:pPr>
              <w:pStyle w:val="051Tabletext228pt"/>
              <w:spacing w:before="20" w:after="20"/>
            </w:pPr>
            <w:r w:rsidRPr="00B0485F">
              <w:t xml:space="preserve">Complications </w:t>
            </w:r>
          </w:p>
          <w:p w14:paraId="2BEE3790" w14:textId="77777777" w:rsidR="00065A05" w:rsidRPr="00B0485F" w:rsidRDefault="00065A05" w:rsidP="00EA2441">
            <w:pPr>
              <w:pStyle w:val="051Tabletext228pt"/>
              <w:spacing w:before="20" w:after="20"/>
            </w:pPr>
            <w:r w:rsidRPr="00B0485F">
              <w:t>Change in continence status</w:t>
            </w:r>
          </w:p>
        </w:tc>
        <w:tc>
          <w:tcPr>
            <w:tcW w:w="1808" w:type="dxa"/>
          </w:tcPr>
          <w:p w14:paraId="6CD6548B" w14:textId="77777777" w:rsidR="00065A05" w:rsidRPr="00B0485F" w:rsidRDefault="00065A05" w:rsidP="00EA2441">
            <w:pPr>
              <w:pStyle w:val="051Tabletext228pt"/>
              <w:spacing w:before="20" w:after="20"/>
            </w:pPr>
            <w:r w:rsidRPr="00B0485F">
              <w:t>20 (median)</w:t>
            </w:r>
          </w:p>
        </w:tc>
      </w:tr>
      <w:tr w:rsidR="00C50BC9" w:rsidRPr="00B0485F" w14:paraId="353DC40C" w14:textId="77777777" w:rsidTr="00116789">
        <w:tc>
          <w:tcPr>
            <w:tcW w:w="1323" w:type="dxa"/>
          </w:tcPr>
          <w:p w14:paraId="574427A3" w14:textId="77777777" w:rsidR="00065A05" w:rsidRPr="00B0485F" w:rsidRDefault="00065A05" w:rsidP="00EA2441">
            <w:pPr>
              <w:pStyle w:val="051Tabletext228pt"/>
              <w:spacing w:before="20" w:after="20"/>
            </w:pPr>
            <w:r w:rsidRPr="00B0485F">
              <w:t>Wang 2010</w:t>
            </w:r>
          </w:p>
          <w:p w14:paraId="6CB1798B" w14:textId="24C3130E" w:rsidR="00065A05" w:rsidRPr="00B0485F" w:rsidRDefault="00065A05" w:rsidP="00EA2441">
            <w:pPr>
              <w:pStyle w:val="051Tabletext228pt"/>
              <w:spacing w:before="20" w:after="20"/>
            </w:pPr>
          </w:p>
        </w:tc>
        <w:tc>
          <w:tcPr>
            <w:tcW w:w="2170" w:type="dxa"/>
          </w:tcPr>
          <w:p w14:paraId="109FAACE" w14:textId="77777777" w:rsidR="00065A05" w:rsidRDefault="00065A05" w:rsidP="00EA2441">
            <w:pPr>
              <w:pStyle w:val="051Tabletext228pt"/>
              <w:spacing w:before="20" w:after="20"/>
            </w:pPr>
            <w:r w:rsidRPr="00B0485F">
              <w:t>USI</w:t>
            </w:r>
          </w:p>
          <w:p w14:paraId="6F90C7D3" w14:textId="30A807F9" w:rsidR="001B5207" w:rsidRPr="00B0485F" w:rsidRDefault="001B5207" w:rsidP="00EA2441">
            <w:pPr>
              <w:pStyle w:val="051Tabletext228pt"/>
              <w:spacing w:before="20" w:after="20"/>
            </w:pPr>
            <w:r>
              <w:t>N=140</w:t>
            </w:r>
          </w:p>
        </w:tc>
        <w:tc>
          <w:tcPr>
            <w:tcW w:w="1829" w:type="dxa"/>
          </w:tcPr>
          <w:p w14:paraId="204ECD16" w14:textId="77777777" w:rsidR="00065A05" w:rsidRPr="00B0485F" w:rsidRDefault="00065A05" w:rsidP="00EA2441">
            <w:pPr>
              <w:pStyle w:val="051Tabletext228pt"/>
              <w:spacing w:before="20" w:after="20"/>
            </w:pPr>
            <w:r w:rsidRPr="00B0485F">
              <w:t>TOT</w:t>
            </w:r>
            <w:r w:rsidRPr="00B0485F">
              <w:br/>
              <w:t>TVT</w:t>
            </w:r>
          </w:p>
        </w:tc>
        <w:tc>
          <w:tcPr>
            <w:tcW w:w="2508" w:type="dxa"/>
          </w:tcPr>
          <w:p w14:paraId="18A28A3D" w14:textId="77777777" w:rsidR="00512581" w:rsidRPr="00B0485F" w:rsidRDefault="00512581" w:rsidP="00512581">
            <w:pPr>
              <w:pStyle w:val="051Tabletext228pt"/>
              <w:spacing w:before="20" w:after="20"/>
            </w:pPr>
            <w:r>
              <w:t>AEs</w:t>
            </w:r>
          </w:p>
          <w:p w14:paraId="4E39E2AE" w14:textId="77777777" w:rsidR="00065A05" w:rsidRPr="00B0485F" w:rsidRDefault="00065A05" w:rsidP="00EA2441">
            <w:pPr>
              <w:pStyle w:val="051Tabletext228pt"/>
              <w:spacing w:before="20" w:after="20"/>
            </w:pPr>
            <w:r w:rsidRPr="00B0485F">
              <w:t xml:space="preserve">Complications </w:t>
            </w:r>
          </w:p>
          <w:p w14:paraId="1DBA00E9" w14:textId="77777777" w:rsidR="00065A05" w:rsidRPr="00B0485F" w:rsidRDefault="00065A05" w:rsidP="00EA2441">
            <w:pPr>
              <w:pStyle w:val="051Tabletext228pt"/>
              <w:spacing w:before="20" w:after="20"/>
            </w:pPr>
            <w:r w:rsidRPr="00B0485F">
              <w:t>Change in continence status</w:t>
            </w:r>
          </w:p>
        </w:tc>
        <w:tc>
          <w:tcPr>
            <w:tcW w:w="1808" w:type="dxa"/>
          </w:tcPr>
          <w:p w14:paraId="03C19A01" w14:textId="77777777" w:rsidR="00065A05" w:rsidRPr="00B0485F" w:rsidRDefault="00065A05" w:rsidP="00EA2441">
            <w:pPr>
              <w:pStyle w:val="051Tabletext228pt"/>
              <w:spacing w:before="20" w:after="20"/>
            </w:pPr>
            <w:r w:rsidRPr="00B0485F">
              <w:t>12</w:t>
            </w:r>
          </w:p>
        </w:tc>
      </w:tr>
      <w:tr w:rsidR="00C50BC9" w:rsidRPr="00B0485F" w14:paraId="4F847337" w14:textId="77777777" w:rsidTr="00116789">
        <w:tc>
          <w:tcPr>
            <w:tcW w:w="1323" w:type="dxa"/>
          </w:tcPr>
          <w:p w14:paraId="1D96D63B" w14:textId="77777777" w:rsidR="00065A05" w:rsidRPr="00B0485F" w:rsidRDefault="00065A05" w:rsidP="00EA2441">
            <w:pPr>
              <w:pStyle w:val="051Tabletext228pt"/>
              <w:spacing w:before="20" w:after="20"/>
              <w:rPr>
                <w:vertAlign w:val="superscript"/>
              </w:rPr>
            </w:pPr>
            <w:r w:rsidRPr="00B0485F">
              <w:t>Wang 2011</w:t>
            </w:r>
            <w:r w:rsidRPr="00B0485F">
              <w:rPr>
                <w:vertAlign w:val="superscript"/>
              </w:rPr>
              <w:t>1</w:t>
            </w:r>
          </w:p>
          <w:p w14:paraId="3EA54F0E" w14:textId="05BB0AB1" w:rsidR="00065A05" w:rsidRPr="00B0485F" w:rsidRDefault="00065A05" w:rsidP="00EA2441">
            <w:pPr>
              <w:pStyle w:val="051Tabletext228pt"/>
              <w:spacing w:before="20" w:after="20"/>
            </w:pPr>
          </w:p>
        </w:tc>
        <w:tc>
          <w:tcPr>
            <w:tcW w:w="2170" w:type="dxa"/>
          </w:tcPr>
          <w:p w14:paraId="346B0569" w14:textId="77777777" w:rsidR="00065A05" w:rsidRDefault="00065A05" w:rsidP="00EA2441">
            <w:pPr>
              <w:pStyle w:val="051Tabletext228pt"/>
              <w:spacing w:before="20" w:after="20"/>
            </w:pPr>
            <w:r w:rsidRPr="00B0485F">
              <w:t>Incontinence surgery-naïve stress-predominant MUI</w:t>
            </w:r>
          </w:p>
          <w:p w14:paraId="66D699B6" w14:textId="61E1EAB0" w:rsidR="001B5207" w:rsidRPr="00B0485F" w:rsidRDefault="001B5207" w:rsidP="00EA2441">
            <w:pPr>
              <w:pStyle w:val="051Tabletext228pt"/>
              <w:spacing w:before="20" w:after="20"/>
            </w:pPr>
            <w:r>
              <w:t>N=68</w:t>
            </w:r>
          </w:p>
        </w:tc>
        <w:tc>
          <w:tcPr>
            <w:tcW w:w="1829" w:type="dxa"/>
          </w:tcPr>
          <w:p w14:paraId="51D3BBD9" w14:textId="77777777" w:rsidR="00065A05" w:rsidRPr="00B0485F" w:rsidRDefault="00065A05" w:rsidP="00EA2441">
            <w:pPr>
              <w:pStyle w:val="051Tabletext228pt"/>
              <w:spacing w:before="20" w:after="20"/>
            </w:pPr>
            <w:r w:rsidRPr="00B0485F">
              <w:t>TVT-O</w:t>
            </w:r>
          </w:p>
          <w:p w14:paraId="42DA60C7" w14:textId="77777777" w:rsidR="00065A05" w:rsidRPr="00B0485F" w:rsidRDefault="00065A05" w:rsidP="00EA2441">
            <w:pPr>
              <w:pStyle w:val="051Tabletext228pt"/>
              <w:spacing w:before="20" w:after="20"/>
            </w:pPr>
            <w:r w:rsidRPr="00B0485F">
              <w:t>TVT</w:t>
            </w:r>
          </w:p>
        </w:tc>
        <w:tc>
          <w:tcPr>
            <w:tcW w:w="2508" w:type="dxa"/>
          </w:tcPr>
          <w:p w14:paraId="1043ABB2" w14:textId="77777777" w:rsidR="00512581" w:rsidRPr="00B0485F" w:rsidRDefault="00512581" w:rsidP="00512581">
            <w:pPr>
              <w:pStyle w:val="051Tabletext228pt"/>
              <w:spacing w:before="20" w:after="20"/>
            </w:pPr>
            <w:r>
              <w:t>AEs</w:t>
            </w:r>
          </w:p>
          <w:p w14:paraId="260AFF0B" w14:textId="77777777" w:rsidR="00065A05" w:rsidRPr="00B0485F" w:rsidRDefault="00065A05" w:rsidP="00EA2441">
            <w:pPr>
              <w:pStyle w:val="051Tabletext228pt"/>
              <w:spacing w:before="20" w:after="20"/>
            </w:pPr>
            <w:r w:rsidRPr="00B0485F">
              <w:t xml:space="preserve">Complications </w:t>
            </w:r>
          </w:p>
        </w:tc>
        <w:tc>
          <w:tcPr>
            <w:tcW w:w="1808" w:type="dxa"/>
          </w:tcPr>
          <w:p w14:paraId="0EE703AB" w14:textId="77777777" w:rsidR="00065A05" w:rsidRPr="00B0485F" w:rsidRDefault="00065A05" w:rsidP="00EA2441">
            <w:pPr>
              <w:pStyle w:val="051Tabletext228pt"/>
              <w:spacing w:before="20" w:after="20"/>
            </w:pPr>
            <w:r w:rsidRPr="00B0485F">
              <w:t>12</w:t>
            </w:r>
          </w:p>
        </w:tc>
      </w:tr>
      <w:tr w:rsidR="00C50BC9" w:rsidRPr="00B0485F" w14:paraId="56C84DF3" w14:textId="77777777" w:rsidTr="00116789">
        <w:tc>
          <w:tcPr>
            <w:tcW w:w="1323" w:type="dxa"/>
          </w:tcPr>
          <w:p w14:paraId="2744D262" w14:textId="77777777" w:rsidR="00065A05" w:rsidRPr="00B0485F" w:rsidRDefault="00065A05" w:rsidP="00EA2441">
            <w:pPr>
              <w:pStyle w:val="051Tabletext228pt"/>
              <w:spacing w:before="20" w:after="20"/>
            </w:pPr>
            <w:r w:rsidRPr="00B0485F">
              <w:t>Zhang 2016</w:t>
            </w:r>
          </w:p>
          <w:p w14:paraId="1647C56F" w14:textId="4E62206B" w:rsidR="00065A05" w:rsidRPr="00B0485F" w:rsidRDefault="00065A05" w:rsidP="00EA2441">
            <w:pPr>
              <w:pStyle w:val="051Tabletext228pt"/>
              <w:spacing w:before="20" w:after="20"/>
            </w:pPr>
          </w:p>
        </w:tc>
        <w:tc>
          <w:tcPr>
            <w:tcW w:w="2170" w:type="dxa"/>
          </w:tcPr>
          <w:p w14:paraId="57C3EB76" w14:textId="77777777" w:rsidR="00065A05" w:rsidRDefault="00065A05" w:rsidP="00EA2441">
            <w:pPr>
              <w:pStyle w:val="051Tabletext228pt"/>
              <w:spacing w:before="20" w:after="20"/>
            </w:pPr>
            <w:r w:rsidRPr="00B0485F">
              <w:t>Symptomatic SUI and no ISD</w:t>
            </w:r>
          </w:p>
          <w:p w14:paraId="5A6DDFE8" w14:textId="5D1DB7A3" w:rsidR="001B5207" w:rsidRPr="00B0485F" w:rsidRDefault="001B5207" w:rsidP="00EA2441">
            <w:pPr>
              <w:pStyle w:val="051Tabletext228pt"/>
              <w:spacing w:before="20" w:after="20"/>
            </w:pPr>
            <w:r>
              <w:t>N=140</w:t>
            </w:r>
          </w:p>
        </w:tc>
        <w:tc>
          <w:tcPr>
            <w:tcW w:w="1829" w:type="dxa"/>
          </w:tcPr>
          <w:p w14:paraId="4433A40B" w14:textId="77777777" w:rsidR="00065A05" w:rsidRPr="00B0485F" w:rsidRDefault="00065A05" w:rsidP="00EA2441">
            <w:pPr>
              <w:pStyle w:val="051Tabletext228pt"/>
              <w:spacing w:before="20" w:after="20"/>
            </w:pPr>
            <w:r w:rsidRPr="00B0485F">
              <w:t>TVT-O</w:t>
            </w:r>
          </w:p>
          <w:p w14:paraId="0C290EE5" w14:textId="77777777" w:rsidR="00065A05" w:rsidRPr="00B0485F" w:rsidRDefault="00065A05" w:rsidP="00EA2441">
            <w:pPr>
              <w:pStyle w:val="051Tabletext228pt"/>
              <w:spacing w:before="20" w:after="20"/>
            </w:pPr>
            <w:r w:rsidRPr="00B0485F">
              <w:t>TVT</w:t>
            </w:r>
          </w:p>
        </w:tc>
        <w:tc>
          <w:tcPr>
            <w:tcW w:w="2508" w:type="dxa"/>
          </w:tcPr>
          <w:p w14:paraId="48D24CC7" w14:textId="77777777" w:rsidR="00512581" w:rsidRPr="00B0485F" w:rsidRDefault="00512581" w:rsidP="00512581">
            <w:pPr>
              <w:pStyle w:val="051Tabletext228pt"/>
              <w:spacing w:before="20" w:after="20"/>
            </w:pPr>
            <w:r>
              <w:t>AEs</w:t>
            </w:r>
          </w:p>
          <w:p w14:paraId="423CD11D" w14:textId="77777777" w:rsidR="00065A05" w:rsidRPr="00B0485F" w:rsidRDefault="00065A05" w:rsidP="00EA2441">
            <w:pPr>
              <w:pStyle w:val="051Tabletext228pt"/>
              <w:spacing w:before="20" w:after="20"/>
            </w:pPr>
            <w:r w:rsidRPr="00B0485F">
              <w:t xml:space="preserve">Complications </w:t>
            </w:r>
          </w:p>
          <w:p w14:paraId="322F2166" w14:textId="77777777" w:rsidR="00065A05" w:rsidRPr="00B0485F" w:rsidRDefault="00065A05" w:rsidP="00EA2441">
            <w:pPr>
              <w:pStyle w:val="051Tabletext228pt"/>
              <w:spacing w:before="20" w:after="20"/>
            </w:pPr>
            <w:r w:rsidRPr="00B0485F">
              <w:t>Change in continence status</w:t>
            </w:r>
          </w:p>
          <w:p w14:paraId="5521140E" w14:textId="77777777" w:rsidR="00065A05" w:rsidRPr="00B0485F" w:rsidRDefault="00065A05" w:rsidP="00EA2441">
            <w:pPr>
              <w:pStyle w:val="051Tabletext228pt"/>
              <w:spacing w:before="20" w:after="20"/>
            </w:pPr>
            <w:r w:rsidRPr="00B0485F">
              <w:t>Repeat surgery</w:t>
            </w:r>
          </w:p>
        </w:tc>
        <w:tc>
          <w:tcPr>
            <w:tcW w:w="1808" w:type="dxa"/>
          </w:tcPr>
          <w:p w14:paraId="710B3A4B" w14:textId="77777777" w:rsidR="00065A05" w:rsidRPr="00B0485F" w:rsidRDefault="00065A05" w:rsidP="00EA2441">
            <w:pPr>
              <w:pStyle w:val="051Tabletext228pt"/>
              <w:spacing w:before="20" w:after="20"/>
            </w:pPr>
            <w:r w:rsidRPr="00B0485F">
              <w:t>95 (mean)</w:t>
            </w:r>
          </w:p>
        </w:tc>
      </w:tr>
      <w:tr w:rsidR="00C50BC9" w:rsidRPr="00B0485F" w14:paraId="55F5BE3C" w14:textId="77777777" w:rsidTr="00116789">
        <w:tc>
          <w:tcPr>
            <w:tcW w:w="1323" w:type="dxa"/>
          </w:tcPr>
          <w:p w14:paraId="5D63431C" w14:textId="77777777" w:rsidR="00065A05" w:rsidRPr="00B0485F" w:rsidRDefault="00065A05" w:rsidP="00EA2441">
            <w:pPr>
              <w:pStyle w:val="051Tabletext228pt"/>
              <w:spacing w:before="20" w:after="20"/>
            </w:pPr>
            <w:r w:rsidRPr="00B0485F">
              <w:t>Zhu 2007</w:t>
            </w:r>
          </w:p>
          <w:p w14:paraId="44126F39" w14:textId="75CBF055" w:rsidR="00065A05" w:rsidRPr="00B0485F" w:rsidRDefault="00065A05" w:rsidP="00EA2441">
            <w:pPr>
              <w:pStyle w:val="051Tabletext228pt"/>
              <w:spacing w:before="20" w:after="20"/>
            </w:pPr>
          </w:p>
        </w:tc>
        <w:tc>
          <w:tcPr>
            <w:tcW w:w="2170" w:type="dxa"/>
          </w:tcPr>
          <w:p w14:paraId="1A47D884" w14:textId="77777777" w:rsidR="00065A05" w:rsidRDefault="00065A05" w:rsidP="00EA2441">
            <w:pPr>
              <w:pStyle w:val="051Tabletext228pt"/>
              <w:spacing w:before="20" w:after="20"/>
            </w:pPr>
            <w:r w:rsidRPr="00B0485F">
              <w:t>Mild or moderate SUI who failed conservative treatment</w:t>
            </w:r>
          </w:p>
          <w:p w14:paraId="1241C6AF" w14:textId="481B085D" w:rsidR="001B5207" w:rsidRPr="00B0485F" w:rsidRDefault="001B5207" w:rsidP="00EA2441">
            <w:pPr>
              <w:pStyle w:val="051Tabletext228pt"/>
              <w:spacing w:before="20" w:after="20"/>
            </w:pPr>
            <w:r>
              <w:t>N=56</w:t>
            </w:r>
          </w:p>
        </w:tc>
        <w:tc>
          <w:tcPr>
            <w:tcW w:w="1829" w:type="dxa"/>
          </w:tcPr>
          <w:p w14:paraId="006FED69" w14:textId="77777777" w:rsidR="00065A05" w:rsidRPr="00B0485F" w:rsidRDefault="00065A05" w:rsidP="00EA2441">
            <w:pPr>
              <w:pStyle w:val="051Tabletext228pt"/>
              <w:spacing w:before="20" w:after="20"/>
            </w:pPr>
            <w:r w:rsidRPr="00B0485F">
              <w:t>TVT-O</w:t>
            </w:r>
          </w:p>
          <w:p w14:paraId="60F393B5" w14:textId="77777777" w:rsidR="00065A05" w:rsidRPr="00B0485F" w:rsidRDefault="00065A05" w:rsidP="00EA2441">
            <w:pPr>
              <w:pStyle w:val="051Tabletext228pt"/>
              <w:spacing w:before="20" w:after="20"/>
            </w:pPr>
            <w:r w:rsidRPr="00B0485F">
              <w:t>TVT</w:t>
            </w:r>
          </w:p>
        </w:tc>
        <w:tc>
          <w:tcPr>
            <w:tcW w:w="2508" w:type="dxa"/>
          </w:tcPr>
          <w:p w14:paraId="4153F448" w14:textId="77777777" w:rsidR="00512581" w:rsidRPr="00B0485F" w:rsidRDefault="00512581" w:rsidP="00512581">
            <w:pPr>
              <w:pStyle w:val="051Tabletext228pt"/>
              <w:spacing w:before="20" w:after="20"/>
            </w:pPr>
            <w:r>
              <w:t>AEs</w:t>
            </w:r>
          </w:p>
          <w:p w14:paraId="0B3E7800" w14:textId="77777777" w:rsidR="00065A05" w:rsidRPr="00B0485F" w:rsidRDefault="00065A05" w:rsidP="00EA2441">
            <w:pPr>
              <w:pStyle w:val="051Tabletext228pt"/>
              <w:spacing w:before="20" w:after="20"/>
            </w:pPr>
            <w:r w:rsidRPr="00B0485F">
              <w:t xml:space="preserve">Complications </w:t>
            </w:r>
          </w:p>
          <w:p w14:paraId="768E4913" w14:textId="77777777" w:rsidR="00065A05" w:rsidRPr="00B0485F" w:rsidRDefault="00065A05" w:rsidP="00EA2441">
            <w:pPr>
              <w:pStyle w:val="051Tabletext228pt"/>
              <w:spacing w:before="20" w:after="20"/>
            </w:pPr>
            <w:r w:rsidRPr="00B0485F">
              <w:t>Change in continence status</w:t>
            </w:r>
          </w:p>
          <w:p w14:paraId="4B965D21" w14:textId="77777777" w:rsidR="00065A05" w:rsidRPr="00B0485F" w:rsidRDefault="00065A05" w:rsidP="00EA2441">
            <w:pPr>
              <w:pStyle w:val="051Tabletext228pt"/>
              <w:spacing w:before="20" w:after="20"/>
            </w:pPr>
            <w:r w:rsidRPr="00B0485F">
              <w:t>Improvement in continence status</w:t>
            </w:r>
          </w:p>
        </w:tc>
        <w:tc>
          <w:tcPr>
            <w:tcW w:w="1808" w:type="dxa"/>
          </w:tcPr>
          <w:p w14:paraId="627FA54F" w14:textId="77777777" w:rsidR="00065A05" w:rsidRPr="00B0485F" w:rsidRDefault="00065A05" w:rsidP="00EA2441">
            <w:pPr>
              <w:pStyle w:val="051Tabletext228pt"/>
              <w:spacing w:before="20" w:after="20"/>
            </w:pPr>
            <w:r w:rsidRPr="00B0485F">
              <w:t>27.6 (median)</w:t>
            </w:r>
          </w:p>
        </w:tc>
      </w:tr>
      <w:tr w:rsidR="00C50BC9" w:rsidRPr="00B0485F" w14:paraId="4F80CD65" w14:textId="77777777" w:rsidTr="00116789">
        <w:tc>
          <w:tcPr>
            <w:tcW w:w="1323" w:type="dxa"/>
          </w:tcPr>
          <w:p w14:paraId="4F8FEB46" w14:textId="77777777" w:rsidR="00065A05" w:rsidRPr="00B0485F" w:rsidRDefault="00065A05" w:rsidP="00EA2441">
            <w:pPr>
              <w:pStyle w:val="051Tabletext228pt"/>
              <w:spacing w:before="20" w:after="20"/>
            </w:pPr>
            <w:r w:rsidRPr="00B0485F">
              <w:t>Zullo 2007/ Angioli 2010</w:t>
            </w:r>
          </w:p>
          <w:p w14:paraId="5F41B059" w14:textId="4C49716E" w:rsidR="00065A05" w:rsidRPr="00B0485F" w:rsidRDefault="00065A05" w:rsidP="00EA2441">
            <w:pPr>
              <w:pStyle w:val="051Tabletext228pt"/>
              <w:spacing w:before="20" w:after="20"/>
            </w:pPr>
          </w:p>
        </w:tc>
        <w:tc>
          <w:tcPr>
            <w:tcW w:w="2170" w:type="dxa"/>
          </w:tcPr>
          <w:p w14:paraId="6020AEE5" w14:textId="77777777" w:rsidR="00065A05" w:rsidRDefault="00065A05" w:rsidP="00EA2441">
            <w:pPr>
              <w:pStyle w:val="051Tabletext228pt"/>
              <w:spacing w:before="20" w:after="20"/>
            </w:pPr>
            <w:r w:rsidRPr="00B0485F">
              <w:t>SUI and no OAB, ISD or DO</w:t>
            </w:r>
          </w:p>
          <w:p w14:paraId="761730F4" w14:textId="609706E5" w:rsidR="001B5207" w:rsidRPr="00B0485F" w:rsidRDefault="001B5207" w:rsidP="00EA2441">
            <w:pPr>
              <w:pStyle w:val="051Tabletext228pt"/>
              <w:spacing w:before="20" w:after="20"/>
            </w:pPr>
            <w:r>
              <w:t>N=72</w:t>
            </w:r>
          </w:p>
        </w:tc>
        <w:tc>
          <w:tcPr>
            <w:tcW w:w="1829" w:type="dxa"/>
          </w:tcPr>
          <w:p w14:paraId="72BDECAF" w14:textId="77777777" w:rsidR="00065A05" w:rsidRPr="00B0485F" w:rsidRDefault="00065A05" w:rsidP="00EA2441">
            <w:pPr>
              <w:pStyle w:val="051Tabletext228pt"/>
              <w:spacing w:before="20" w:after="20"/>
            </w:pPr>
            <w:r w:rsidRPr="00B0485F">
              <w:t>TVT-O</w:t>
            </w:r>
          </w:p>
          <w:p w14:paraId="7B2DF313" w14:textId="77777777" w:rsidR="00065A05" w:rsidRPr="00B0485F" w:rsidRDefault="00065A05" w:rsidP="00EA2441">
            <w:pPr>
              <w:pStyle w:val="051Tabletext228pt"/>
              <w:spacing w:before="20" w:after="20"/>
            </w:pPr>
            <w:r w:rsidRPr="00B0485F">
              <w:t>TVT</w:t>
            </w:r>
          </w:p>
        </w:tc>
        <w:tc>
          <w:tcPr>
            <w:tcW w:w="2508" w:type="dxa"/>
          </w:tcPr>
          <w:p w14:paraId="14C6F31F" w14:textId="77777777" w:rsidR="00512581" w:rsidRPr="00B0485F" w:rsidRDefault="00512581" w:rsidP="00512581">
            <w:pPr>
              <w:pStyle w:val="051Tabletext228pt"/>
              <w:spacing w:before="20" w:after="20"/>
            </w:pPr>
            <w:r>
              <w:t>AEs</w:t>
            </w:r>
          </w:p>
          <w:p w14:paraId="3BF36D01" w14:textId="77777777" w:rsidR="00065A05" w:rsidRPr="00B0485F" w:rsidRDefault="00065A05" w:rsidP="00EA2441">
            <w:pPr>
              <w:pStyle w:val="051Tabletext228pt"/>
              <w:spacing w:before="20" w:after="20"/>
            </w:pPr>
            <w:r w:rsidRPr="00B0485F">
              <w:t xml:space="preserve">Complications </w:t>
            </w:r>
          </w:p>
          <w:p w14:paraId="04A982F4" w14:textId="77777777" w:rsidR="00065A05" w:rsidRPr="00B0485F" w:rsidRDefault="00065A05" w:rsidP="00EA2441">
            <w:pPr>
              <w:pStyle w:val="051Tabletext228pt"/>
              <w:spacing w:before="20" w:after="20"/>
            </w:pPr>
            <w:r w:rsidRPr="00B0485F">
              <w:t>Change in continence status</w:t>
            </w:r>
          </w:p>
          <w:p w14:paraId="761177F8" w14:textId="77777777" w:rsidR="00065A05" w:rsidRPr="00B0485F" w:rsidRDefault="00065A05" w:rsidP="00EA2441">
            <w:pPr>
              <w:pStyle w:val="051Tabletext228pt"/>
              <w:spacing w:before="20" w:after="20"/>
            </w:pPr>
            <w:r w:rsidRPr="00B0485F">
              <w:t>Repeat surgery</w:t>
            </w:r>
          </w:p>
        </w:tc>
        <w:tc>
          <w:tcPr>
            <w:tcW w:w="1808" w:type="dxa"/>
          </w:tcPr>
          <w:p w14:paraId="1734612E" w14:textId="77777777" w:rsidR="00065A05" w:rsidRPr="00B0485F" w:rsidRDefault="00065A05" w:rsidP="00EA2441">
            <w:pPr>
              <w:pStyle w:val="051Tabletext228pt"/>
              <w:spacing w:before="20" w:after="20"/>
            </w:pPr>
            <w:r w:rsidRPr="00B0485F">
              <w:t>16 (median)/60 (median)</w:t>
            </w:r>
          </w:p>
        </w:tc>
      </w:tr>
    </w:tbl>
    <w:p w14:paraId="0BE82711" w14:textId="55D8EA55" w:rsidR="0020425D" w:rsidRDefault="0020425D" w:rsidP="00116789">
      <w:pPr>
        <w:pStyle w:val="101Tablefootnotes8pt"/>
      </w:pPr>
      <w:r>
        <w:t xml:space="preserve">Source: NICE Guideline Evidence review </w:t>
      </w:r>
      <w:r w:rsidR="00245CE2">
        <w:rPr>
          <w:noProof/>
        </w:rPr>
        <w:t>(NICE 2019b)</w:t>
      </w:r>
    </w:p>
    <w:p w14:paraId="7521CE4B" w14:textId="46AD92DE" w:rsidR="00116789" w:rsidRDefault="00116789" w:rsidP="00116789">
      <w:pPr>
        <w:pStyle w:val="101Tablefootnotes8pt"/>
      </w:pPr>
      <w:r w:rsidRPr="00B0485F">
        <w:t xml:space="preserve">Abbreviations: </w:t>
      </w:r>
      <w:r>
        <w:t xml:space="preserve">AE, adverse event; </w:t>
      </w:r>
      <w:r w:rsidRPr="00B0485F">
        <w:t xml:space="preserve">DO, detrusor overactivity; DUPS, retropubic distal urethral polypropylene sling; </w:t>
      </w:r>
      <w:proofErr w:type="spellStart"/>
      <w:r>
        <w:t>HR</w:t>
      </w:r>
      <w:r w:rsidRPr="00B0485F">
        <w:t>QoL</w:t>
      </w:r>
      <w:proofErr w:type="spellEnd"/>
      <w:r w:rsidRPr="00B0485F">
        <w:t xml:space="preserve">, </w:t>
      </w:r>
      <w:r>
        <w:t>health-related</w:t>
      </w:r>
      <w:r w:rsidRPr="00B0485F">
        <w:t xml:space="preserve"> quality of life; MUI, mixed urinary incontinence; OAB, overactive bladder; ISD, intrinsic sphincter deficiency; PFMT, pelvic floor muscle training; SUI, stress urinary incontinence; TOT, </w:t>
      </w:r>
      <w:proofErr w:type="spellStart"/>
      <w:r w:rsidRPr="00B0485F">
        <w:t>transobturator</w:t>
      </w:r>
      <w:proofErr w:type="spellEnd"/>
      <w:r w:rsidRPr="00B0485F">
        <w:t xml:space="preserve"> outside-in tape; TVT, retropubic bottom-up tension-free tape; TVT-O, </w:t>
      </w:r>
      <w:proofErr w:type="spellStart"/>
      <w:r w:rsidRPr="00B0485F">
        <w:t>transobturator</w:t>
      </w:r>
      <w:proofErr w:type="spellEnd"/>
      <w:r w:rsidRPr="00B0485F">
        <w:t xml:space="preserve"> inside-out tape; USI, urodynamic stress incontinence</w:t>
      </w:r>
      <w:r>
        <w:t>.</w:t>
      </w:r>
    </w:p>
    <w:p w14:paraId="11955AEF" w14:textId="541E2A3F" w:rsidR="00065A05" w:rsidRPr="00B0485F" w:rsidRDefault="00065A05" w:rsidP="00116789">
      <w:pPr>
        <w:pStyle w:val="111Tablefootnoteslast-nostick8pt"/>
        <w:rPr>
          <w:lang w:val="en-AU"/>
        </w:rPr>
      </w:pPr>
      <w:r w:rsidRPr="00B0485F">
        <w:rPr>
          <w:vertAlign w:val="superscript"/>
        </w:rPr>
        <w:t xml:space="preserve">1 </w:t>
      </w:r>
      <w:r w:rsidRPr="00B0485F">
        <w:t xml:space="preserve">Wang 2011 was a 3-arm trial (single-incision mini-sling arm out of scope for this review). Sample size is for </w:t>
      </w:r>
      <w:proofErr w:type="spellStart"/>
      <w:r w:rsidRPr="00B0485F">
        <w:t>transobturator</w:t>
      </w:r>
      <w:proofErr w:type="spellEnd"/>
      <w:r w:rsidRPr="00B0485F">
        <w:t xml:space="preserve"> and retropubic arms only.</w:t>
      </w:r>
      <w:r w:rsidR="004660D4">
        <w:rPr>
          <w:lang w:val="en-AU"/>
        </w:rPr>
        <w:br w:type="page"/>
      </w:r>
    </w:p>
    <w:p w14:paraId="0221826B" w14:textId="6DE220D3" w:rsidR="00793D64" w:rsidRPr="00B0485F" w:rsidRDefault="00793D64" w:rsidP="00A956C4">
      <w:pPr>
        <w:pStyle w:val="Heading8"/>
      </w:pPr>
      <w:bookmarkStart w:id="213" w:name="_Toc165627862"/>
      <w:r w:rsidRPr="00B0485F">
        <w:lastRenderedPageBreak/>
        <w:t>References</w:t>
      </w:r>
      <w:bookmarkEnd w:id="213"/>
      <w:r w:rsidR="008D204E" w:rsidRPr="00B0485F">
        <w:t xml:space="preserve"> </w:t>
      </w:r>
    </w:p>
    <w:p w14:paraId="581387A1" w14:textId="3D641B4E" w:rsidR="008463CD" w:rsidRPr="00D13EBB" w:rsidRDefault="008463CD" w:rsidP="00D13EBB">
      <w:pPr>
        <w:pStyle w:val="BodyText"/>
        <w:spacing w:after="200" w:line="240" w:lineRule="auto"/>
        <w:rPr>
          <w:sz w:val="18"/>
          <w:szCs w:val="18"/>
          <w:shd w:val="clear" w:color="auto" w:fill="FFFFFF"/>
        </w:rPr>
      </w:pPr>
      <w:proofErr w:type="spellStart"/>
      <w:r w:rsidRPr="00D13EBB">
        <w:rPr>
          <w:sz w:val="18"/>
          <w:szCs w:val="18"/>
        </w:rPr>
        <w:t>Aigmuller</w:t>
      </w:r>
      <w:proofErr w:type="spellEnd"/>
      <w:r w:rsidRPr="00D13EBB">
        <w:rPr>
          <w:sz w:val="18"/>
          <w:szCs w:val="18"/>
        </w:rPr>
        <w:t xml:space="preserve">, T., </w:t>
      </w:r>
      <w:proofErr w:type="spellStart"/>
      <w:r w:rsidRPr="00D13EBB">
        <w:rPr>
          <w:sz w:val="18"/>
          <w:szCs w:val="18"/>
        </w:rPr>
        <w:t>Tammaa</w:t>
      </w:r>
      <w:proofErr w:type="spellEnd"/>
      <w:r w:rsidRPr="00D13EBB">
        <w:rPr>
          <w:sz w:val="18"/>
          <w:szCs w:val="18"/>
        </w:rPr>
        <w:t xml:space="preserve">, A., </w:t>
      </w:r>
      <w:proofErr w:type="spellStart"/>
      <w:r w:rsidRPr="00D13EBB">
        <w:rPr>
          <w:sz w:val="18"/>
          <w:szCs w:val="18"/>
        </w:rPr>
        <w:t>Tamussino</w:t>
      </w:r>
      <w:proofErr w:type="spellEnd"/>
      <w:r w:rsidRPr="00D13EBB">
        <w:rPr>
          <w:sz w:val="18"/>
          <w:szCs w:val="18"/>
        </w:rPr>
        <w:t xml:space="preserve">, K., Hanzal, E., Umek, W., Kolle, D., </w:t>
      </w:r>
      <w:proofErr w:type="spellStart"/>
      <w:r w:rsidRPr="00D13EBB">
        <w:rPr>
          <w:sz w:val="18"/>
          <w:szCs w:val="18"/>
        </w:rPr>
        <w:t>Kropshofer</w:t>
      </w:r>
      <w:proofErr w:type="spellEnd"/>
      <w:r w:rsidRPr="00D13EBB">
        <w:rPr>
          <w:sz w:val="18"/>
          <w:szCs w:val="18"/>
        </w:rPr>
        <w:t xml:space="preserve">, S., </w:t>
      </w:r>
      <w:proofErr w:type="spellStart"/>
      <w:r w:rsidRPr="00D13EBB">
        <w:rPr>
          <w:sz w:val="18"/>
          <w:szCs w:val="18"/>
        </w:rPr>
        <w:t>Bjelic</w:t>
      </w:r>
      <w:proofErr w:type="spellEnd"/>
      <w:r w:rsidRPr="00D13EBB">
        <w:rPr>
          <w:sz w:val="18"/>
          <w:szCs w:val="18"/>
        </w:rPr>
        <w:t xml:space="preserve">-Radisic, V., Haas, J., Giuliani, A., Lang, P. F. J., Preyer, O., </w:t>
      </w:r>
      <w:proofErr w:type="spellStart"/>
      <w:r w:rsidRPr="00D13EBB">
        <w:rPr>
          <w:sz w:val="18"/>
          <w:szCs w:val="18"/>
        </w:rPr>
        <w:t>Peschers</w:t>
      </w:r>
      <w:proofErr w:type="spellEnd"/>
      <w:r w:rsidRPr="00D13EBB">
        <w:rPr>
          <w:sz w:val="18"/>
          <w:szCs w:val="18"/>
        </w:rPr>
        <w:t xml:space="preserve">, U., Jundt, K., Ralph, G., </w:t>
      </w:r>
      <w:proofErr w:type="spellStart"/>
      <w:r w:rsidRPr="00D13EBB">
        <w:rPr>
          <w:sz w:val="18"/>
          <w:szCs w:val="18"/>
        </w:rPr>
        <w:t>Dungl</w:t>
      </w:r>
      <w:proofErr w:type="spellEnd"/>
      <w:r w:rsidRPr="00D13EBB">
        <w:rPr>
          <w:sz w:val="18"/>
          <w:szCs w:val="18"/>
        </w:rPr>
        <w:t xml:space="preserve">, A., Riss, P. A., Retropubic vs. </w:t>
      </w:r>
      <w:proofErr w:type="spellStart"/>
      <w:r w:rsidRPr="00D13EBB">
        <w:rPr>
          <w:sz w:val="18"/>
          <w:szCs w:val="18"/>
        </w:rPr>
        <w:t>transobturator</w:t>
      </w:r>
      <w:proofErr w:type="spellEnd"/>
      <w:r w:rsidRPr="00D13EBB">
        <w:rPr>
          <w:sz w:val="18"/>
          <w:szCs w:val="18"/>
        </w:rPr>
        <w:t xml:space="preserve"> tension-free vaginal tape for female stress urinary incontinence: 3- Month results of a randomized controlled trial, International Urogynecology Journal and Pelvic Floor Dysfunction, 25, 1023-1030, 2014</w:t>
      </w:r>
    </w:p>
    <w:p w14:paraId="1A5D72C9" w14:textId="7E1A7550" w:rsidR="00B71CF9" w:rsidRPr="00D13EBB" w:rsidRDefault="00B71CF9" w:rsidP="00D13EBB">
      <w:pPr>
        <w:pStyle w:val="BodyText"/>
        <w:spacing w:after="200" w:line="240" w:lineRule="auto"/>
        <w:rPr>
          <w:sz w:val="18"/>
          <w:szCs w:val="18"/>
          <w:shd w:val="clear" w:color="auto" w:fill="FFFFFF"/>
        </w:rPr>
      </w:pPr>
      <w:r w:rsidRPr="00D13EBB">
        <w:rPr>
          <w:sz w:val="18"/>
          <w:szCs w:val="18"/>
          <w:shd w:val="clear" w:color="auto" w:fill="FFFFFF"/>
        </w:rPr>
        <w:t xml:space="preserve">Al-Azzawi, I. S., The first Iraqi experience with the rectus fascia sling and </w:t>
      </w:r>
      <w:proofErr w:type="spellStart"/>
      <w:r w:rsidRPr="00D13EBB">
        <w:rPr>
          <w:sz w:val="18"/>
          <w:szCs w:val="18"/>
          <w:shd w:val="clear" w:color="auto" w:fill="FFFFFF"/>
        </w:rPr>
        <w:t>transobturator</w:t>
      </w:r>
      <w:proofErr w:type="spellEnd"/>
      <w:r w:rsidRPr="00D13EBB">
        <w:rPr>
          <w:sz w:val="18"/>
          <w:szCs w:val="18"/>
          <w:shd w:val="clear" w:color="auto" w:fill="FFFFFF"/>
        </w:rPr>
        <w:t xml:space="preserve"> tape for female stress incontinence: A randomised trial, Arab Journal of Urology Print, 12, 204-8, 2014</w:t>
      </w:r>
    </w:p>
    <w:p w14:paraId="257274E0" w14:textId="26E19EFF" w:rsidR="006275C9" w:rsidRPr="00D13EBB" w:rsidRDefault="006275C9" w:rsidP="00D13EBB">
      <w:pPr>
        <w:pStyle w:val="BodyText"/>
        <w:spacing w:after="200" w:line="240" w:lineRule="auto"/>
        <w:rPr>
          <w:sz w:val="18"/>
          <w:szCs w:val="18"/>
        </w:rPr>
      </w:pPr>
      <w:r w:rsidRPr="00D13EBB">
        <w:rPr>
          <w:sz w:val="18"/>
          <w:szCs w:val="18"/>
        </w:rPr>
        <w:t xml:space="preserve">Albo, M. E., Litman, H. J., Richter, H. E., </w:t>
      </w:r>
      <w:proofErr w:type="spellStart"/>
      <w:r w:rsidRPr="00D13EBB">
        <w:rPr>
          <w:sz w:val="18"/>
          <w:szCs w:val="18"/>
        </w:rPr>
        <w:t>Lemack</w:t>
      </w:r>
      <w:proofErr w:type="spellEnd"/>
      <w:r w:rsidRPr="00D13EBB">
        <w:rPr>
          <w:sz w:val="18"/>
          <w:szCs w:val="18"/>
        </w:rPr>
        <w:t xml:space="preserve">, G. E., Sirls, L. T., Chai, T. C., Norton, P., Kraus, S. R., </w:t>
      </w:r>
      <w:proofErr w:type="spellStart"/>
      <w:r w:rsidRPr="00D13EBB">
        <w:rPr>
          <w:sz w:val="18"/>
          <w:szCs w:val="18"/>
        </w:rPr>
        <w:t>Zyczynski</w:t>
      </w:r>
      <w:proofErr w:type="spellEnd"/>
      <w:r w:rsidRPr="00D13EBB">
        <w:rPr>
          <w:sz w:val="18"/>
          <w:szCs w:val="18"/>
        </w:rPr>
        <w:t xml:space="preserve">, H., Kenton, K., Gormley, E. A., Kusek, J. W., Treatment success of retropubic and </w:t>
      </w:r>
      <w:proofErr w:type="spellStart"/>
      <w:r w:rsidRPr="00D13EBB">
        <w:rPr>
          <w:sz w:val="18"/>
          <w:szCs w:val="18"/>
        </w:rPr>
        <w:t>transobturator</w:t>
      </w:r>
      <w:proofErr w:type="spellEnd"/>
      <w:r w:rsidRPr="00D13EBB">
        <w:rPr>
          <w:sz w:val="18"/>
          <w:szCs w:val="18"/>
        </w:rPr>
        <w:t xml:space="preserve"> mid urethral slings at 24 months, Journal of Urology, 188, 2281-2287, 2012</w:t>
      </w:r>
    </w:p>
    <w:p w14:paraId="4774ACF4" w14:textId="72BF06BD" w:rsidR="00FA6CC8" w:rsidRPr="00D13EBB" w:rsidRDefault="00FA6CC8" w:rsidP="00D13EBB">
      <w:pPr>
        <w:pStyle w:val="BodyText"/>
        <w:spacing w:after="200" w:line="240" w:lineRule="auto"/>
        <w:rPr>
          <w:sz w:val="18"/>
          <w:szCs w:val="18"/>
        </w:rPr>
      </w:pPr>
      <w:proofErr w:type="spellStart"/>
      <w:r w:rsidRPr="00D13EBB">
        <w:rPr>
          <w:sz w:val="18"/>
          <w:szCs w:val="18"/>
        </w:rPr>
        <w:t>Alkady</w:t>
      </w:r>
      <w:proofErr w:type="spellEnd"/>
      <w:r w:rsidRPr="00D13EBB">
        <w:rPr>
          <w:sz w:val="18"/>
          <w:szCs w:val="18"/>
        </w:rPr>
        <w:t xml:space="preserve">, H. M., Eid, A, Tension-free vaginal tape versus </w:t>
      </w:r>
      <w:proofErr w:type="spellStart"/>
      <w:r w:rsidRPr="00D13EBB">
        <w:rPr>
          <w:sz w:val="18"/>
          <w:szCs w:val="18"/>
        </w:rPr>
        <w:t>transobturator</w:t>
      </w:r>
      <w:proofErr w:type="spellEnd"/>
      <w:r w:rsidRPr="00D13EBB">
        <w:rPr>
          <w:sz w:val="18"/>
          <w:szCs w:val="18"/>
        </w:rPr>
        <w:t xml:space="preserve"> vaginal tape inside-out for the treatment of female stress urinary incontinence, Medical journal of Cairo University, 77, 317-26, 2009</w:t>
      </w:r>
    </w:p>
    <w:p w14:paraId="405C7140" w14:textId="218166D2" w:rsidR="009942E6" w:rsidRPr="00D13EBB" w:rsidRDefault="009942E6" w:rsidP="00D13EBB">
      <w:pPr>
        <w:pStyle w:val="BodyText"/>
        <w:spacing w:after="200" w:line="240" w:lineRule="auto"/>
        <w:rPr>
          <w:sz w:val="18"/>
          <w:szCs w:val="18"/>
        </w:rPr>
      </w:pPr>
      <w:r w:rsidRPr="00D13EBB">
        <w:rPr>
          <w:sz w:val="18"/>
          <w:szCs w:val="18"/>
        </w:rPr>
        <w:t xml:space="preserve">Andonian, S., St-Denis, B., Lemieux, M. C., Corcos, J., Prospective clinical trial comparing </w:t>
      </w:r>
      <w:proofErr w:type="spellStart"/>
      <w:r w:rsidRPr="00D13EBB">
        <w:rPr>
          <w:sz w:val="18"/>
          <w:szCs w:val="18"/>
        </w:rPr>
        <w:t>Obtape</w:t>
      </w:r>
      <w:proofErr w:type="spellEnd"/>
      <w:r w:rsidRPr="00D13EBB">
        <w:rPr>
          <w:sz w:val="18"/>
          <w:szCs w:val="18"/>
        </w:rPr>
        <w:t xml:space="preserve"> and DUPS to TVT: one-year safety and efficacy results, European Urology, 52, 245-251, 2007</w:t>
      </w:r>
    </w:p>
    <w:p w14:paraId="393E54EC" w14:textId="36D9C36C" w:rsidR="00FC01A1" w:rsidRPr="00D13EBB" w:rsidRDefault="00FC01A1" w:rsidP="00D13EBB">
      <w:pPr>
        <w:pStyle w:val="BodyText"/>
        <w:spacing w:after="200" w:line="240" w:lineRule="auto"/>
        <w:rPr>
          <w:sz w:val="18"/>
          <w:szCs w:val="18"/>
        </w:rPr>
      </w:pPr>
      <w:r w:rsidRPr="00D13EBB">
        <w:rPr>
          <w:sz w:val="18"/>
          <w:szCs w:val="18"/>
        </w:rPr>
        <w:t xml:space="preserve">Angioli, R., </w:t>
      </w:r>
      <w:proofErr w:type="spellStart"/>
      <w:r w:rsidRPr="00D13EBB">
        <w:rPr>
          <w:sz w:val="18"/>
          <w:szCs w:val="18"/>
        </w:rPr>
        <w:t>Plotti</w:t>
      </w:r>
      <w:proofErr w:type="spellEnd"/>
      <w:r w:rsidRPr="00D13EBB">
        <w:rPr>
          <w:sz w:val="18"/>
          <w:szCs w:val="18"/>
        </w:rPr>
        <w:t xml:space="preserve">, F., Muzii, L., Montera, R., Panici, P. B., Zullo, M. A., Tension-free vaginal tape versus </w:t>
      </w:r>
      <w:proofErr w:type="spellStart"/>
      <w:r w:rsidRPr="00D13EBB">
        <w:rPr>
          <w:sz w:val="18"/>
          <w:szCs w:val="18"/>
        </w:rPr>
        <w:t>transobturator</w:t>
      </w:r>
      <w:proofErr w:type="spellEnd"/>
      <w:r w:rsidRPr="00D13EBB">
        <w:rPr>
          <w:sz w:val="18"/>
          <w:szCs w:val="18"/>
        </w:rPr>
        <w:t xml:space="preserve"> </w:t>
      </w:r>
      <w:proofErr w:type="spellStart"/>
      <w:r w:rsidRPr="00D13EBB">
        <w:rPr>
          <w:sz w:val="18"/>
          <w:szCs w:val="18"/>
        </w:rPr>
        <w:t>suburethral</w:t>
      </w:r>
      <w:proofErr w:type="spellEnd"/>
      <w:r w:rsidRPr="00D13EBB">
        <w:rPr>
          <w:sz w:val="18"/>
          <w:szCs w:val="18"/>
        </w:rPr>
        <w:t xml:space="preserve"> tape: Five-year follow-up results of a prospective, randomised trial, European Urology, 58, 671-677, 2010</w:t>
      </w:r>
    </w:p>
    <w:p w14:paraId="38B28A2F" w14:textId="135EDC83" w:rsidR="00363D7C" w:rsidRPr="00D13EBB" w:rsidRDefault="00363D7C" w:rsidP="00D13EBB">
      <w:pPr>
        <w:pStyle w:val="BodyText"/>
        <w:spacing w:after="200" w:line="240" w:lineRule="auto"/>
        <w:rPr>
          <w:sz w:val="18"/>
          <w:szCs w:val="18"/>
        </w:rPr>
      </w:pPr>
      <w:proofErr w:type="spellStart"/>
      <w:r w:rsidRPr="00D13EBB">
        <w:rPr>
          <w:sz w:val="18"/>
          <w:szCs w:val="18"/>
        </w:rPr>
        <w:t>Aniuliene</w:t>
      </w:r>
      <w:proofErr w:type="spellEnd"/>
      <w:r w:rsidRPr="00D13EBB">
        <w:rPr>
          <w:sz w:val="18"/>
          <w:szCs w:val="18"/>
        </w:rPr>
        <w:t xml:space="preserve">, R., Tension-free vaginal tape versus tension-free vaginal tape obturator (inside-outside) in the surgical treatment of female stress urinary incontinence, </w:t>
      </w:r>
      <w:proofErr w:type="spellStart"/>
      <w:r w:rsidRPr="00D13EBB">
        <w:rPr>
          <w:sz w:val="18"/>
          <w:szCs w:val="18"/>
        </w:rPr>
        <w:t>Medicina</w:t>
      </w:r>
      <w:proofErr w:type="spellEnd"/>
      <w:r w:rsidRPr="00D13EBB">
        <w:rPr>
          <w:sz w:val="18"/>
          <w:szCs w:val="18"/>
        </w:rPr>
        <w:t xml:space="preserve"> (Kaunas, Lithuania), 45, 639-643, 2009</w:t>
      </w:r>
    </w:p>
    <w:p w14:paraId="14901EDD" w14:textId="52491005" w:rsidR="00516944" w:rsidRPr="00D13EBB" w:rsidRDefault="00516944" w:rsidP="00D13EBB">
      <w:pPr>
        <w:pStyle w:val="BodyText"/>
        <w:spacing w:after="200" w:line="240" w:lineRule="auto"/>
        <w:rPr>
          <w:sz w:val="18"/>
          <w:szCs w:val="18"/>
        </w:rPr>
      </w:pPr>
      <w:proofErr w:type="spellStart"/>
      <w:r w:rsidRPr="00D13EBB">
        <w:rPr>
          <w:sz w:val="18"/>
          <w:szCs w:val="18"/>
        </w:rPr>
        <w:t>Aniuliene</w:t>
      </w:r>
      <w:proofErr w:type="spellEnd"/>
      <w:r w:rsidRPr="00D13EBB">
        <w:rPr>
          <w:sz w:val="18"/>
          <w:szCs w:val="18"/>
        </w:rPr>
        <w:t xml:space="preserve">, R., </w:t>
      </w:r>
      <w:proofErr w:type="spellStart"/>
      <w:r w:rsidRPr="00D13EBB">
        <w:rPr>
          <w:sz w:val="18"/>
          <w:szCs w:val="18"/>
        </w:rPr>
        <w:t>Aniulis</w:t>
      </w:r>
      <w:proofErr w:type="spellEnd"/>
      <w:r w:rsidRPr="00D13EBB">
        <w:rPr>
          <w:sz w:val="18"/>
          <w:szCs w:val="18"/>
        </w:rPr>
        <w:t xml:space="preserve">, P., </w:t>
      </w:r>
      <w:proofErr w:type="spellStart"/>
      <w:r w:rsidRPr="00D13EBB">
        <w:rPr>
          <w:sz w:val="18"/>
          <w:szCs w:val="18"/>
        </w:rPr>
        <w:t>Skaudickas</w:t>
      </w:r>
      <w:proofErr w:type="spellEnd"/>
      <w:r w:rsidRPr="00D13EBB">
        <w:rPr>
          <w:sz w:val="18"/>
          <w:szCs w:val="18"/>
        </w:rPr>
        <w:t xml:space="preserve">, D., TVT-Exact and </w:t>
      </w:r>
      <w:proofErr w:type="spellStart"/>
      <w:r w:rsidRPr="00D13EBB">
        <w:rPr>
          <w:sz w:val="18"/>
          <w:szCs w:val="18"/>
        </w:rPr>
        <w:t>midurethral</w:t>
      </w:r>
      <w:proofErr w:type="spellEnd"/>
      <w:r w:rsidRPr="00D13EBB">
        <w:rPr>
          <w:sz w:val="18"/>
          <w:szCs w:val="18"/>
        </w:rPr>
        <w:t xml:space="preserve"> sling (SLINGIUFT) operative procedures: a randomized study, Open Medicine, 10, 311-317, 2015</w:t>
      </w:r>
    </w:p>
    <w:p w14:paraId="59A4FC85" w14:textId="2262B8E8" w:rsidR="00A342F7" w:rsidRPr="00D13EBB" w:rsidRDefault="00A342F7" w:rsidP="00D13EBB">
      <w:pPr>
        <w:pStyle w:val="BodyText"/>
        <w:spacing w:after="200" w:line="240" w:lineRule="auto"/>
        <w:rPr>
          <w:sz w:val="18"/>
          <w:szCs w:val="18"/>
        </w:rPr>
      </w:pPr>
      <w:r w:rsidRPr="00D13EBB">
        <w:rPr>
          <w:sz w:val="18"/>
          <w:szCs w:val="18"/>
        </w:rPr>
        <w:t xml:space="preserve">Amaro, J. L., Yamamoto, H., Kawano, P. R., Barros, G., Gameiro, M. O. O., Agostinho, A. D., Clinical and quality-of-life outcomes after autologous fascial sling and tension-free vaginal tape: A prospective randomized trial, International </w:t>
      </w:r>
      <w:proofErr w:type="spellStart"/>
      <w:r w:rsidRPr="00D13EBB">
        <w:rPr>
          <w:sz w:val="18"/>
          <w:szCs w:val="18"/>
        </w:rPr>
        <w:t>braz</w:t>
      </w:r>
      <w:proofErr w:type="spellEnd"/>
      <w:r w:rsidRPr="00D13EBB">
        <w:rPr>
          <w:sz w:val="18"/>
          <w:szCs w:val="18"/>
        </w:rPr>
        <w:t xml:space="preserve"> j </w:t>
      </w:r>
      <w:proofErr w:type="spellStart"/>
      <w:r w:rsidRPr="00D13EBB">
        <w:rPr>
          <w:sz w:val="18"/>
          <w:szCs w:val="18"/>
        </w:rPr>
        <w:t>urol</w:t>
      </w:r>
      <w:proofErr w:type="spellEnd"/>
      <w:r w:rsidRPr="00D13EBB">
        <w:rPr>
          <w:sz w:val="18"/>
          <w:szCs w:val="18"/>
        </w:rPr>
        <w:t>, 35, 60-66, 2009</w:t>
      </w:r>
    </w:p>
    <w:p w14:paraId="02798AAE" w14:textId="670F4728" w:rsidR="00B33D38" w:rsidRPr="00D13EBB" w:rsidRDefault="00B33D38" w:rsidP="00D13EBB">
      <w:pPr>
        <w:pStyle w:val="BodyText"/>
        <w:spacing w:after="200" w:line="240" w:lineRule="auto"/>
        <w:rPr>
          <w:sz w:val="18"/>
          <w:szCs w:val="18"/>
          <w:shd w:val="clear" w:color="auto" w:fill="FFFFFF"/>
        </w:rPr>
      </w:pPr>
      <w:proofErr w:type="spellStart"/>
      <w:r w:rsidRPr="00D13EBB">
        <w:rPr>
          <w:sz w:val="18"/>
          <w:szCs w:val="18"/>
        </w:rPr>
        <w:t>Araco</w:t>
      </w:r>
      <w:proofErr w:type="spellEnd"/>
      <w:r w:rsidRPr="00D13EBB">
        <w:rPr>
          <w:sz w:val="18"/>
          <w:szCs w:val="18"/>
        </w:rPr>
        <w:t>, F., Gravante, G., Sorge, R., Overton, J., De Vita, D., Sesti, F., Piccione, E., TVT-O vs TVT: A randomized trial in patients with different degrees of urinary stress incontinence, International Urogynecology Journal, 19, 917-926, 2008</w:t>
      </w:r>
    </w:p>
    <w:p w14:paraId="15EFD671" w14:textId="36529CFD" w:rsidR="000C596E" w:rsidRPr="00D13EBB" w:rsidRDefault="001C7131" w:rsidP="00D13EBB">
      <w:pPr>
        <w:pStyle w:val="BodyText"/>
        <w:spacing w:after="200" w:line="240" w:lineRule="auto"/>
        <w:rPr>
          <w:sz w:val="18"/>
          <w:szCs w:val="18"/>
        </w:rPr>
      </w:pPr>
      <w:r w:rsidRPr="00D13EBB">
        <w:rPr>
          <w:sz w:val="18"/>
          <w:szCs w:val="18"/>
          <w:shd w:val="clear" w:color="auto" w:fill="FFFFFF"/>
        </w:rPr>
        <w:t>Bai, S. W., Sohn, W. H., Chung, D. J., Park, J. H., Kim, S. K., Comparison of the</w:t>
      </w:r>
      <w:r w:rsidR="008A2045" w:rsidRPr="00D13EBB">
        <w:rPr>
          <w:sz w:val="18"/>
          <w:szCs w:val="18"/>
          <w:shd w:val="clear" w:color="auto" w:fill="FFFFFF"/>
        </w:rPr>
        <w:t xml:space="preserve"> </w:t>
      </w:r>
      <w:r w:rsidRPr="00D13EBB">
        <w:rPr>
          <w:sz w:val="18"/>
          <w:szCs w:val="18"/>
          <w:shd w:val="clear" w:color="auto" w:fill="FFFFFF"/>
        </w:rPr>
        <w:t xml:space="preserve">efficacy of Burch </w:t>
      </w:r>
      <w:proofErr w:type="spellStart"/>
      <w:r w:rsidR="00754749" w:rsidRPr="00D13EBB">
        <w:rPr>
          <w:sz w:val="18"/>
          <w:szCs w:val="18"/>
          <w:shd w:val="clear" w:color="auto" w:fill="FFFFFF"/>
        </w:rPr>
        <w:t>c</w:t>
      </w:r>
      <w:r w:rsidRPr="00D13EBB">
        <w:rPr>
          <w:sz w:val="18"/>
          <w:szCs w:val="18"/>
          <w:shd w:val="clear" w:color="auto" w:fill="FFFFFF"/>
        </w:rPr>
        <w:t>olposuspension</w:t>
      </w:r>
      <w:proofErr w:type="spellEnd"/>
      <w:r w:rsidRPr="00D13EBB">
        <w:rPr>
          <w:sz w:val="18"/>
          <w:szCs w:val="18"/>
          <w:shd w:val="clear" w:color="auto" w:fill="FFFFFF"/>
        </w:rPr>
        <w:t>, pubovaginal sling, and tension-free vaginal tape</w:t>
      </w:r>
      <w:r w:rsidR="008A2045" w:rsidRPr="00D13EBB">
        <w:rPr>
          <w:sz w:val="18"/>
          <w:szCs w:val="18"/>
          <w:shd w:val="clear" w:color="auto" w:fill="FFFFFF"/>
        </w:rPr>
        <w:t xml:space="preserve"> </w:t>
      </w:r>
      <w:r w:rsidRPr="00D13EBB">
        <w:rPr>
          <w:sz w:val="18"/>
          <w:szCs w:val="18"/>
          <w:shd w:val="clear" w:color="auto" w:fill="FFFFFF"/>
        </w:rPr>
        <w:t>for stress urinary incontinence, International</w:t>
      </w:r>
      <w:r w:rsidRPr="00D13EBB">
        <w:rPr>
          <w:sz w:val="18"/>
          <w:szCs w:val="18"/>
        </w:rPr>
        <w:t xml:space="preserve"> Journal of Gynaecology and Obstetrics,</w:t>
      </w:r>
      <w:r w:rsidR="008A2045" w:rsidRPr="00D13EBB">
        <w:rPr>
          <w:sz w:val="18"/>
          <w:szCs w:val="18"/>
        </w:rPr>
        <w:t xml:space="preserve"> </w:t>
      </w:r>
      <w:r w:rsidRPr="00D13EBB">
        <w:rPr>
          <w:sz w:val="18"/>
          <w:szCs w:val="18"/>
        </w:rPr>
        <w:t>91, 246-251, 2005</w:t>
      </w:r>
    </w:p>
    <w:p w14:paraId="5E85B349" w14:textId="5D8A09A7" w:rsidR="00D15B93" w:rsidRPr="00D13EBB" w:rsidRDefault="00D15B93" w:rsidP="00D13EBB">
      <w:pPr>
        <w:pStyle w:val="BodyText"/>
        <w:spacing w:after="200" w:line="240" w:lineRule="auto"/>
        <w:rPr>
          <w:sz w:val="18"/>
          <w:szCs w:val="18"/>
          <w:shd w:val="clear" w:color="auto" w:fill="FFFFFF"/>
        </w:rPr>
      </w:pPr>
      <w:r w:rsidRPr="00D13EBB">
        <w:rPr>
          <w:sz w:val="18"/>
          <w:szCs w:val="18"/>
        </w:rPr>
        <w:t xml:space="preserve">Ballester, M., Bui, C., </w:t>
      </w:r>
      <w:proofErr w:type="spellStart"/>
      <w:r w:rsidRPr="00D13EBB">
        <w:rPr>
          <w:sz w:val="18"/>
          <w:szCs w:val="18"/>
        </w:rPr>
        <w:t>Frobert</w:t>
      </w:r>
      <w:proofErr w:type="spellEnd"/>
      <w:r w:rsidRPr="00D13EBB">
        <w:rPr>
          <w:sz w:val="18"/>
          <w:szCs w:val="18"/>
        </w:rPr>
        <w:t xml:space="preserve">, J. L., </w:t>
      </w:r>
      <w:proofErr w:type="spellStart"/>
      <w:r w:rsidRPr="00D13EBB">
        <w:rPr>
          <w:sz w:val="18"/>
          <w:szCs w:val="18"/>
        </w:rPr>
        <w:t>Grisard-Anaf</w:t>
      </w:r>
      <w:proofErr w:type="spellEnd"/>
      <w:r w:rsidRPr="00D13EBB">
        <w:rPr>
          <w:sz w:val="18"/>
          <w:szCs w:val="18"/>
        </w:rPr>
        <w:t xml:space="preserve">, M., Lienhart, J., Fernandez, H., David-Montefiore, E., Rouzier, R., Darai, E., Four-year functional results of the </w:t>
      </w:r>
      <w:proofErr w:type="spellStart"/>
      <w:r w:rsidRPr="00D13EBB">
        <w:rPr>
          <w:sz w:val="18"/>
          <w:szCs w:val="18"/>
        </w:rPr>
        <w:t>suburethral</w:t>
      </w:r>
      <w:proofErr w:type="spellEnd"/>
      <w:r w:rsidRPr="00D13EBB">
        <w:rPr>
          <w:sz w:val="18"/>
          <w:szCs w:val="18"/>
        </w:rPr>
        <w:t xml:space="preserve"> sling procedure for stress urinary incontinence: a French prospective randomized multicentre study comparing the retropubic and </w:t>
      </w:r>
      <w:proofErr w:type="spellStart"/>
      <w:r w:rsidRPr="00D13EBB">
        <w:rPr>
          <w:sz w:val="18"/>
          <w:szCs w:val="18"/>
        </w:rPr>
        <w:t>transobturator</w:t>
      </w:r>
      <w:proofErr w:type="spellEnd"/>
      <w:r w:rsidRPr="00D13EBB">
        <w:rPr>
          <w:sz w:val="18"/>
          <w:szCs w:val="18"/>
        </w:rPr>
        <w:t xml:space="preserve"> routes, World Journal of Urology, 30, 117-22, 2012</w:t>
      </w:r>
    </w:p>
    <w:p w14:paraId="7C6FA0FA" w14:textId="533CCCB2" w:rsidR="000C596E" w:rsidRPr="00D13EBB" w:rsidRDefault="003D0A10" w:rsidP="00D13EBB">
      <w:pPr>
        <w:pStyle w:val="BodyText"/>
        <w:spacing w:after="200" w:line="240" w:lineRule="auto"/>
        <w:rPr>
          <w:sz w:val="18"/>
          <w:szCs w:val="18"/>
          <w:shd w:val="clear" w:color="auto" w:fill="FFFFFF"/>
        </w:rPr>
      </w:pPr>
      <w:proofErr w:type="spellStart"/>
      <w:r w:rsidRPr="00D13EBB">
        <w:rPr>
          <w:sz w:val="18"/>
          <w:szCs w:val="18"/>
          <w:shd w:val="clear" w:color="auto" w:fill="FFFFFF"/>
        </w:rPr>
        <w:t>Bandarian</w:t>
      </w:r>
      <w:proofErr w:type="spellEnd"/>
      <w:r w:rsidRPr="00D13EBB">
        <w:rPr>
          <w:sz w:val="18"/>
          <w:szCs w:val="18"/>
          <w:shd w:val="clear" w:color="auto" w:fill="FFFFFF"/>
        </w:rPr>
        <w:t xml:space="preserve">, M., Ghanbari, Z., Asgari, A., Comparison of </w:t>
      </w:r>
      <w:proofErr w:type="spellStart"/>
      <w:r w:rsidRPr="00D13EBB">
        <w:rPr>
          <w:sz w:val="18"/>
          <w:szCs w:val="18"/>
          <w:shd w:val="clear" w:color="auto" w:fill="FFFFFF"/>
        </w:rPr>
        <w:t>transobturator</w:t>
      </w:r>
      <w:proofErr w:type="spellEnd"/>
      <w:r w:rsidRPr="00D13EBB">
        <w:rPr>
          <w:sz w:val="18"/>
          <w:szCs w:val="18"/>
          <w:shd w:val="clear" w:color="auto" w:fill="FFFFFF"/>
        </w:rPr>
        <w:t xml:space="preserve"> tape (TOT) vs</w:t>
      </w:r>
      <w:r w:rsidR="00754749" w:rsidRPr="00D13EBB">
        <w:rPr>
          <w:sz w:val="18"/>
          <w:szCs w:val="18"/>
          <w:shd w:val="clear" w:color="auto" w:fill="FFFFFF"/>
        </w:rPr>
        <w:t xml:space="preserve"> </w:t>
      </w:r>
      <w:r w:rsidRPr="00D13EBB">
        <w:rPr>
          <w:sz w:val="18"/>
          <w:szCs w:val="18"/>
          <w:shd w:val="clear" w:color="auto" w:fill="FFFFFF"/>
        </w:rPr>
        <w:t>Burch method in treatment of stress urinary incontinence, Journal of Obstetrics and</w:t>
      </w:r>
      <w:r w:rsidR="00754749" w:rsidRPr="00D13EBB">
        <w:rPr>
          <w:sz w:val="18"/>
          <w:szCs w:val="18"/>
          <w:shd w:val="clear" w:color="auto" w:fill="FFFFFF"/>
        </w:rPr>
        <w:t xml:space="preserve"> </w:t>
      </w:r>
      <w:r w:rsidRPr="00D13EBB">
        <w:rPr>
          <w:sz w:val="18"/>
          <w:szCs w:val="18"/>
          <w:shd w:val="clear" w:color="auto" w:fill="FFFFFF"/>
        </w:rPr>
        <w:t>Gynaecology, 31, 518-520, 2011</w:t>
      </w:r>
    </w:p>
    <w:p w14:paraId="5F2D1770" w14:textId="7183FBF9" w:rsidR="00C72CFC" w:rsidRPr="00D13EBB" w:rsidRDefault="00C72CFC" w:rsidP="00D13EBB">
      <w:pPr>
        <w:pStyle w:val="BodyText"/>
        <w:spacing w:after="200" w:line="240" w:lineRule="auto"/>
        <w:rPr>
          <w:sz w:val="18"/>
          <w:szCs w:val="18"/>
        </w:rPr>
      </w:pPr>
      <w:r w:rsidRPr="00D13EBB">
        <w:rPr>
          <w:sz w:val="18"/>
          <w:szCs w:val="18"/>
        </w:rPr>
        <w:t xml:space="preserve">Barber, M. D., Kleeman, S., Karram, M. M., Paraiso, M. F. R., Walters, M. D., Vasavada, S., </w:t>
      </w:r>
      <w:proofErr w:type="spellStart"/>
      <w:r w:rsidRPr="00D13EBB">
        <w:rPr>
          <w:sz w:val="18"/>
          <w:szCs w:val="18"/>
        </w:rPr>
        <w:t>Ellerkmann</w:t>
      </w:r>
      <w:proofErr w:type="spellEnd"/>
      <w:r w:rsidRPr="00D13EBB">
        <w:rPr>
          <w:sz w:val="18"/>
          <w:szCs w:val="18"/>
        </w:rPr>
        <w:t xml:space="preserve">, M., </w:t>
      </w:r>
      <w:proofErr w:type="spellStart"/>
      <w:r w:rsidRPr="00D13EBB">
        <w:rPr>
          <w:sz w:val="18"/>
          <w:szCs w:val="18"/>
        </w:rPr>
        <w:t>Transobturator</w:t>
      </w:r>
      <w:proofErr w:type="spellEnd"/>
      <w:r w:rsidRPr="00D13EBB">
        <w:rPr>
          <w:sz w:val="18"/>
          <w:szCs w:val="18"/>
        </w:rPr>
        <w:t xml:space="preserve"> tape compared with tension-free vaginal tape for the treatment of stress urinary incontinence: A randomized controlled trial, Obstetrics and </w:t>
      </w:r>
      <w:proofErr w:type="spellStart"/>
      <w:r w:rsidRPr="00D13EBB">
        <w:rPr>
          <w:sz w:val="18"/>
          <w:szCs w:val="18"/>
        </w:rPr>
        <w:t>Gynecology</w:t>
      </w:r>
      <w:proofErr w:type="spellEnd"/>
      <w:r w:rsidRPr="00D13EBB">
        <w:rPr>
          <w:sz w:val="18"/>
          <w:szCs w:val="18"/>
        </w:rPr>
        <w:t>, 111, 611-621, 2008</w:t>
      </w:r>
    </w:p>
    <w:p w14:paraId="60D35C31" w14:textId="04082DCE" w:rsidR="00436363" w:rsidRPr="00D13EBB" w:rsidRDefault="00436363" w:rsidP="00D13EBB">
      <w:pPr>
        <w:pStyle w:val="BodyText"/>
        <w:spacing w:after="200" w:line="240" w:lineRule="auto"/>
        <w:rPr>
          <w:sz w:val="18"/>
          <w:szCs w:val="18"/>
          <w:shd w:val="clear" w:color="auto" w:fill="FFFFFF"/>
        </w:rPr>
      </w:pPr>
      <w:r w:rsidRPr="00D13EBB">
        <w:rPr>
          <w:sz w:val="18"/>
          <w:szCs w:val="18"/>
        </w:rPr>
        <w:t xml:space="preserve">Barry, C., Lim, Y. N., Muller, R., Hitchins, S., </w:t>
      </w:r>
      <w:proofErr w:type="spellStart"/>
      <w:r w:rsidRPr="00D13EBB">
        <w:rPr>
          <w:sz w:val="18"/>
          <w:szCs w:val="18"/>
        </w:rPr>
        <w:t>Corstiaans</w:t>
      </w:r>
      <w:proofErr w:type="spellEnd"/>
      <w:r w:rsidRPr="00D13EBB">
        <w:rPr>
          <w:sz w:val="18"/>
          <w:szCs w:val="18"/>
        </w:rPr>
        <w:t xml:space="preserve">, A., Foote, A., Greenland, H., Frazer, M., Rane, A., A multi-centre, randomised clinical control trial comparing the retropubic (RP) approach versus the </w:t>
      </w:r>
      <w:proofErr w:type="spellStart"/>
      <w:r w:rsidRPr="00D13EBB">
        <w:rPr>
          <w:sz w:val="18"/>
          <w:szCs w:val="18"/>
        </w:rPr>
        <w:t>transobturator</w:t>
      </w:r>
      <w:proofErr w:type="spellEnd"/>
      <w:r w:rsidRPr="00D13EBB">
        <w:rPr>
          <w:sz w:val="18"/>
          <w:szCs w:val="18"/>
        </w:rPr>
        <w:t xml:space="preserve"> approach (TO) for tension</w:t>
      </w:r>
      <w:r w:rsidR="0049080C">
        <w:rPr>
          <w:sz w:val="18"/>
          <w:szCs w:val="18"/>
        </w:rPr>
        <w:t>-</w:t>
      </w:r>
      <w:r w:rsidRPr="00D13EBB">
        <w:rPr>
          <w:sz w:val="18"/>
          <w:szCs w:val="18"/>
        </w:rPr>
        <w:t xml:space="preserve">free, </w:t>
      </w:r>
      <w:proofErr w:type="spellStart"/>
      <w:r w:rsidRPr="00D13EBB">
        <w:rPr>
          <w:sz w:val="18"/>
          <w:szCs w:val="18"/>
        </w:rPr>
        <w:t>suburethral</w:t>
      </w:r>
      <w:proofErr w:type="spellEnd"/>
      <w:r w:rsidRPr="00D13EBB">
        <w:rPr>
          <w:sz w:val="18"/>
          <w:szCs w:val="18"/>
        </w:rPr>
        <w:t xml:space="preserve"> sling treatment of urodynamic stress incontinence: the TORP study, International Urogynecology Journal, 19, 171-178, 2008</w:t>
      </w:r>
    </w:p>
    <w:p w14:paraId="4F1D5801" w14:textId="7F7B03FE" w:rsidR="00DD012E" w:rsidRPr="00D13EBB" w:rsidRDefault="00DD012E" w:rsidP="00D13EBB">
      <w:pPr>
        <w:pStyle w:val="BodyText"/>
        <w:spacing w:after="200" w:line="240" w:lineRule="auto"/>
        <w:rPr>
          <w:sz w:val="18"/>
          <w:szCs w:val="18"/>
        </w:rPr>
      </w:pPr>
      <w:r w:rsidRPr="00D13EBB">
        <w:rPr>
          <w:sz w:val="18"/>
          <w:szCs w:val="18"/>
        </w:rPr>
        <w:t xml:space="preserve">Brubaker, L., Norton, P. A., Albo, M. E., Chai, T. C., </w:t>
      </w:r>
      <w:proofErr w:type="spellStart"/>
      <w:r w:rsidRPr="00D13EBB">
        <w:rPr>
          <w:sz w:val="18"/>
          <w:szCs w:val="18"/>
        </w:rPr>
        <w:t>Dandreo</w:t>
      </w:r>
      <w:proofErr w:type="spellEnd"/>
      <w:r w:rsidRPr="00D13EBB">
        <w:rPr>
          <w:sz w:val="18"/>
          <w:szCs w:val="18"/>
        </w:rPr>
        <w:t xml:space="preserve">, K. J., Lloyd, K. L., Lowder, J. L., Sirls, L. T., </w:t>
      </w:r>
      <w:proofErr w:type="spellStart"/>
      <w:r w:rsidRPr="00D13EBB">
        <w:rPr>
          <w:sz w:val="18"/>
          <w:szCs w:val="18"/>
        </w:rPr>
        <w:t>Lemack</w:t>
      </w:r>
      <w:proofErr w:type="spellEnd"/>
      <w:r w:rsidRPr="00D13EBB">
        <w:rPr>
          <w:sz w:val="18"/>
          <w:szCs w:val="18"/>
        </w:rPr>
        <w:t xml:space="preserve">, G. E., </w:t>
      </w:r>
      <w:proofErr w:type="spellStart"/>
      <w:r w:rsidRPr="00D13EBB">
        <w:rPr>
          <w:sz w:val="18"/>
          <w:szCs w:val="18"/>
        </w:rPr>
        <w:t>Arisco</w:t>
      </w:r>
      <w:proofErr w:type="spellEnd"/>
      <w:r w:rsidRPr="00D13EBB">
        <w:rPr>
          <w:sz w:val="18"/>
          <w:szCs w:val="18"/>
        </w:rPr>
        <w:t>, A. M., Xu, Y., Kusek, J. W., Urinary</w:t>
      </w:r>
      <w:r w:rsidR="00F26E91" w:rsidRPr="00D13EBB">
        <w:rPr>
          <w:sz w:val="18"/>
          <w:szCs w:val="18"/>
        </w:rPr>
        <w:t xml:space="preserve"> Incontinence Treatment, Network, Adverse events over two years after retropubic or </w:t>
      </w:r>
      <w:proofErr w:type="spellStart"/>
      <w:r w:rsidR="00F26E91" w:rsidRPr="00D13EBB">
        <w:rPr>
          <w:sz w:val="18"/>
          <w:szCs w:val="18"/>
        </w:rPr>
        <w:t>transobturator</w:t>
      </w:r>
      <w:proofErr w:type="spellEnd"/>
      <w:r w:rsidR="00F26E91" w:rsidRPr="00D13EBB">
        <w:rPr>
          <w:sz w:val="18"/>
          <w:szCs w:val="18"/>
        </w:rPr>
        <w:t xml:space="preserve"> </w:t>
      </w:r>
      <w:proofErr w:type="spellStart"/>
      <w:r w:rsidR="00F26E91" w:rsidRPr="00D13EBB">
        <w:rPr>
          <w:sz w:val="18"/>
          <w:szCs w:val="18"/>
        </w:rPr>
        <w:t>midurethral</w:t>
      </w:r>
      <w:proofErr w:type="spellEnd"/>
      <w:r w:rsidR="00F26E91" w:rsidRPr="00D13EBB">
        <w:rPr>
          <w:sz w:val="18"/>
          <w:szCs w:val="18"/>
        </w:rPr>
        <w:t xml:space="preserve"> sling surgery: findings from the Trial of </w:t>
      </w:r>
      <w:proofErr w:type="spellStart"/>
      <w:r w:rsidR="00F26E91" w:rsidRPr="00D13EBB">
        <w:rPr>
          <w:sz w:val="18"/>
          <w:szCs w:val="18"/>
        </w:rPr>
        <w:t>Midurethral</w:t>
      </w:r>
      <w:proofErr w:type="spellEnd"/>
      <w:r w:rsidR="00F26E91" w:rsidRPr="00D13EBB">
        <w:rPr>
          <w:sz w:val="18"/>
          <w:szCs w:val="18"/>
        </w:rPr>
        <w:t xml:space="preserve"> Slings (TOMUS) study, American Journal of Obstetrics &amp; </w:t>
      </w:r>
      <w:proofErr w:type="spellStart"/>
      <w:r w:rsidR="00F26E91" w:rsidRPr="00D13EBB">
        <w:rPr>
          <w:sz w:val="18"/>
          <w:szCs w:val="18"/>
        </w:rPr>
        <w:t>GynecologyAm</w:t>
      </w:r>
      <w:proofErr w:type="spellEnd"/>
      <w:r w:rsidR="00F26E91" w:rsidRPr="00D13EBB">
        <w:rPr>
          <w:sz w:val="18"/>
          <w:szCs w:val="18"/>
        </w:rPr>
        <w:t xml:space="preserve"> J </w:t>
      </w:r>
      <w:proofErr w:type="spellStart"/>
      <w:r w:rsidR="00F26E91" w:rsidRPr="00D13EBB">
        <w:rPr>
          <w:sz w:val="18"/>
          <w:szCs w:val="18"/>
        </w:rPr>
        <w:t>Obstet</w:t>
      </w:r>
      <w:proofErr w:type="spellEnd"/>
      <w:r w:rsidR="00F26E91" w:rsidRPr="00D13EBB">
        <w:rPr>
          <w:sz w:val="18"/>
          <w:szCs w:val="18"/>
        </w:rPr>
        <w:t xml:space="preserve"> </w:t>
      </w:r>
      <w:proofErr w:type="spellStart"/>
      <w:r w:rsidR="00F26E91" w:rsidRPr="00D13EBB">
        <w:rPr>
          <w:sz w:val="18"/>
          <w:szCs w:val="18"/>
        </w:rPr>
        <w:t>Gynecol</w:t>
      </w:r>
      <w:proofErr w:type="spellEnd"/>
      <w:r w:rsidR="00F26E91" w:rsidRPr="00D13EBB">
        <w:rPr>
          <w:sz w:val="18"/>
          <w:szCs w:val="18"/>
        </w:rPr>
        <w:t>, 205, 498.e1-6, 2011</w:t>
      </w:r>
    </w:p>
    <w:p w14:paraId="73F0876B" w14:textId="78361DAC" w:rsidR="00FA79F9" w:rsidRPr="00D13EBB" w:rsidRDefault="00FA79F9" w:rsidP="00D13EBB">
      <w:pPr>
        <w:pStyle w:val="BodyText"/>
        <w:spacing w:after="200" w:line="240" w:lineRule="auto"/>
        <w:rPr>
          <w:sz w:val="18"/>
          <w:szCs w:val="18"/>
        </w:rPr>
      </w:pPr>
      <w:r w:rsidRPr="00D13EBB">
        <w:rPr>
          <w:sz w:val="18"/>
          <w:szCs w:val="18"/>
        </w:rPr>
        <w:t xml:space="preserve">Costantini, E., </w:t>
      </w:r>
      <w:proofErr w:type="spellStart"/>
      <w:r w:rsidRPr="00D13EBB">
        <w:rPr>
          <w:sz w:val="18"/>
          <w:szCs w:val="18"/>
        </w:rPr>
        <w:t>Kocjancic</w:t>
      </w:r>
      <w:proofErr w:type="spellEnd"/>
      <w:r w:rsidRPr="00D13EBB">
        <w:rPr>
          <w:sz w:val="18"/>
          <w:szCs w:val="18"/>
        </w:rPr>
        <w:t xml:space="preserve">, E., Lazzeri, M., </w:t>
      </w:r>
      <w:proofErr w:type="spellStart"/>
      <w:r w:rsidRPr="00D13EBB">
        <w:rPr>
          <w:sz w:val="18"/>
          <w:szCs w:val="18"/>
        </w:rPr>
        <w:t>Giannantoni</w:t>
      </w:r>
      <w:proofErr w:type="spellEnd"/>
      <w:r w:rsidRPr="00D13EBB">
        <w:rPr>
          <w:sz w:val="18"/>
          <w:szCs w:val="18"/>
        </w:rPr>
        <w:t xml:space="preserve">, A., Zucchi, A., Carbone, A., Bini, V., Palleschi, G., Pastore, A. L., </w:t>
      </w:r>
      <w:proofErr w:type="spellStart"/>
      <w:r w:rsidRPr="00D13EBB">
        <w:rPr>
          <w:sz w:val="18"/>
          <w:szCs w:val="18"/>
        </w:rPr>
        <w:t>Porena</w:t>
      </w:r>
      <w:proofErr w:type="spellEnd"/>
      <w:r w:rsidRPr="00D13EBB">
        <w:rPr>
          <w:sz w:val="18"/>
          <w:szCs w:val="18"/>
        </w:rPr>
        <w:t xml:space="preserve">, M., Long-term efficacy of the </w:t>
      </w:r>
      <w:proofErr w:type="spellStart"/>
      <w:r w:rsidRPr="00D13EBB">
        <w:rPr>
          <w:sz w:val="18"/>
          <w:szCs w:val="18"/>
        </w:rPr>
        <w:t>transobturator</w:t>
      </w:r>
      <w:proofErr w:type="spellEnd"/>
      <w:r w:rsidRPr="00D13EBB">
        <w:rPr>
          <w:sz w:val="18"/>
          <w:szCs w:val="18"/>
        </w:rPr>
        <w:t xml:space="preserve"> and retropubic mid-urethral slings for stress urinary incontinence: update from a randomized clinical trial, World Journal of Urology, 34, 585-93, 2016</w:t>
      </w:r>
    </w:p>
    <w:p w14:paraId="43475C79" w14:textId="0BCDDEFF" w:rsidR="00F86F49" w:rsidRPr="00D13EBB" w:rsidRDefault="00F86F49" w:rsidP="00D13EBB">
      <w:pPr>
        <w:pStyle w:val="BodyText"/>
        <w:spacing w:after="200" w:line="240" w:lineRule="auto"/>
        <w:rPr>
          <w:sz w:val="18"/>
          <w:szCs w:val="18"/>
        </w:rPr>
      </w:pPr>
      <w:r w:rsidRPr="00D13EBB">
        <w:rPr>
          <w:sz w:val="18"/>
          <w:szCs w:val="18"/>
        </w:rPr>
        <w:t xml:space="preserve">Darai, E., </w:t>
      </w:r>
      <w:proofErr w:type="spellStart"/>
      <w:r w:rsidRPr="00D13EBB">
        <w:rPr>
          <w:sz w:val="18"/>
          <w:szCs w:val="18"/>
        </w:rPr>
        <w:t>Frobert</w:t>
      </w:r>
      <w:proofErr w:type="spellEnd"/>
      <w:r w:rsidRPr="00D13EBB">
        <w:rPr>
          <w:sz w:val="18"/>
          <w:szCs w:val="18"/>
        </w:rPr>
        <w:t xml:space="preserve">, J. L., </w:t>
      </w:r>
      <w:proofErr w:type="spellStart"/>
      <w:r w:rsidRPr="00D13EBB">
        <w:rPr>
          <w:sz w:val="18"/>
          <w:szCs w:val="18"/>
        </w:rPr>
        <w:t>Grisard-Anaf</w:t>
      </w:r>
      <w:proofErr w:type="spellEnd"/>
      <w:r w:rsidRPr="00D13EBB">
        <w:rPr>
          <w:sz w:val="18"/>
          <w:szCs w:val="18"/>
        </w:rPr>
        <w:t xml:space="preserve">, M., Lienhart, J., Fernandez, H., </w:t>
      </w:r>
      <w:proofErr w:type="spellStart"/>
      <w:r w:rsidRPr="00D13EBB">
        <w:rPr>
          <w:sz w:val="18"/>
          <w:szCs w:val="18"/>
        </w:rPr>
        <w:t>Dubernard</w:t>
      </w:r>
      <w:proofErr w:type="spellEnd"/>
      <w:r w:rsidRPr="00D13EBB">
        <w:rPr>
          <w:sz w:val="18"/>
          <w:szCs w:val="18"/>
        </w:rPr>
        <w:t xml:space="preserve">, G., David-Montefiore, E., Functional Results After the </w:t>
      </w:r>
      <w:proofErr w:type="spellStart"/>
      <w:r w:rsidRPr="00D13EBB">
        <w:rPr>
          <w:sz w:val="18"/>
          <w:szCs w:val="18"/>
        </w:rPr>
        <w:t>Suburethral</w:t>
      </w:r>
      <w:proofErr w:type="spellEnd"/>
      <w:r w:rsidRPr="00D13EBB">
        <w:rPr>
          <w:sz w:val="18"/>
          <w:szCs w:val="18"/>
        </w:rPr>
        <w:t xml:space="preserve"> Sling Procedure for Urinary Stress Incontinence: A Prospective Randomized Multicentre Study Comparing the Retropubic and </w:t>
      </w:r>
      <w:proofErr w:type="spellStart"/>
      <w:r w:rsidRPr="00D13EBB">
        <w:rPr>
          <w:sz w:val="18"/>
          <w:szCs w:val="18"/>
        </w:rPr>
        <w:t>Transobturator</w:t>
      </w:r>
      <w:proofErr w:type="spellEnd"/>
      <w:r w:rsidRPr="00D13EBB">
        <w:rPr>
          <w:sz w:val="18"/>
          <w:szCs w:val="18"/>
        </w:rPr>
        <w:t xml:space="preserve"> Routes, European Urology, 51, 795- 802, 2007</w:t>
      </w:r>
    </w:p>
    <w:p w14:paraId="0B2BFF3B" w14:textId="1AF4FAD4" w:rsidR="00F84B9B" w:rsidRPr="00D13EBB" w:rsidRDefault="00F84B9B" w:rsidP="00D13EBB">
      <w:pPr>
        <w:pStyle w:val="BodyText"/>
        <w:spacing w:after="200" w:line="240" w:lineRule="auto"/>
        <w:rPr>
          <w:sz w:val="18"/>
          <w:szCs w:val="18"/>
          <w:shd w:val="clear" w:color="auto" w:fill="FFFFFF"/>
        </w:rPr>
      </w:pPr>
      <w:r w:rsidRPr="00D13EBB">
        <w:rPr>
          <w:sz w:val="18"/>
          <w:szCs w:val="18"/>
        </w:rPr>
        <w:lastRenderedPageBreak/>
        <w:t xml:space="preserve">David-Montefiore, E., </w:t>
      </w:r>
      <w:proofErr w:type="spellStart"/>
      <w:r w:rsidRPr="00D13EBB">
        <w:rPr>
          <w:sz w:val="18"/>
          <w:szCs w:val="18"/>
        </w:rPr>
        <w:t>Frobert</w:t>
      </w:r>
      <w:proofErr w:type="spellEnd"/>
      <w:r w:rsidRPr="00D13EBB">
        <w:rPr>
          <w:sz w:val="18"/>
          <w:szCs w:val="18"/>
        </w:rPr>
        <w:t xml:space="preserve">, J. L., </w:t>
      </w:r>
      <w:proofErr w:type="spellStart"/>
      <w:r w:rsidRPr="00D13EBB">
        <w:rPr>
          <w:sz w:val="18"/>
          <w:szCs w:val="18"/>
        </w:rPr>
        <w:t>Grisard-Anaf</w:t>
      </w:r>
      <w:proofErr w:type="spellEnd"/>
      <w:r w:rsidRPr="00D13EBB">
        <w:rPr>
          <w:sz w:val="18"/>
          <w:szCs w:val="18"/>
        </w:rPr>
        <w:t xml:space="preserve">, M., Lienhart, J., Bonnet, K., Poncelet, C., Darai, E., Peri-operative </w:t>
      </w:r>
      <w:proofErr w:type="gramStart"/>
      <w:r w:rsidRPr="00D13EBB">
        <w:rPr>
          <w:sz w:val="18"/>
          <w:szCs w:val="18"/>
        </w:rPr>
        <w:t>complications</w:t>
      </w:r>
      <w:proofErr w:type="gramEnd"/>
      <w:r w:rsidRPr="00D13EBB">
        <w:rPr>
          <w:sz w:val="18"/>
          <w:szCs w:val="18"/>
        </w:rPr>
        <w:t xml:space="preserve"> and pain after the </w:t>
      </w:r>
      <w:proofErr w:type="spellStart"/>
      <w:r w:rsidRPr="00D13EBB">
        <w:rPr>
          <w:sz w:val="18"/>
          <w:szCs w:val="18"/>
        </w:rPr>
        <w:t>suburethral</w:t>
      </w:r>
      <w:proofErr w:type="spellEnd"/>
      <w:r w:rsidRPr="00D13EBB">
        <w:rPr>
          <w:sz w:val="18"/>
          <w:szCs w:val="18"/>
        </w:rPr>
        <w:t xml:space="preserve"> sling procedure for urinary stress incontinence: a French prospective randomised multicentre study comparing the retropubic and </w:t>
      </w:r>
      <w:proofErr w:type="spellStart"/>
      <w:r w:rsidRPr="00D13EBB">
        <w:rPr>
          <w:sz w:val="18"/>
          <w:szCs w:val="18"/>
        </w:rPr>
        <w:t>transobturator</w:t>
      </w:r>
      <w:proofErr w:type="spellEnd"/>
      <w:r w:rsidRPr="00D13EBB">
        <w:rPr>
          <w:sz w:val="18"/>
          <w:szCs w:val="18"/>
        </w:rPr>
        <w:t xml:space="preserve"> routes, European Urology, , 133-138, 2006</w:t>
      </w:r>
    </w:p>
    <w:p w14:paraId="39F7B308" w14:textId="129EFB18" w:rsidR="00AE21D9" w:rsidRPr="00D13EBB" w:rsidRDefault="00AE21D9" w:rsidP="00D13EBB">
      <w:pPr>
        <w:pStyle w:val="BodyText"/>
        <w:spacing w:after="200" w:line="240" w:lineRule="auto"/>
        <w:rPr>
          <w:sz w:val="18"/>
          <w:szCs w:val="18"/>
          <w:shd w:val="clear" w:color="auto" w:fill="FFFFFF"/>
        </w:rPr>
      </w:pPr>
      <w:proofErr w:type="spellStart"/>
      <w:r w:rsidRPr="00D13EBB">
        <w:rPr>
          <w:sz w:val="18"/>
          <w:szCs w:val="18"/>
        </w:rPr>
        <w:t>Deffieux</w:t>
      </w:r>
      <w:proofErr w:type="spellEnd"/>
      <w:r w:rsidRPr="00D13EBB">
        <w:rPr>
          <w:sz w:val="18"/>
          <w:szCs w:val="18"/>
        </w:rPr>
        <w:t xml:space="preserve">, X., Daher, N., Mansoor, A., </w:t>
      </w:r>
      <w:proofErr w:type="spellStart"/>
      <w:r w:rsidRPr="00D13EBB">
        <w:rPr>
          <w:sz w:val="18"/>
          <w:szCs w:val="18"/>
        </w:rPr>
        <w:t>Debodinance</w:t>
      </w:r>
      <w:proofErr w:type="spellEnd"/>
      <w:r w:rsidRPr="00D13EBB">
        <w:rPr>
          <w:sz w:val="18"/>
          <w:szCs w:val="18"/>
        </w:rPr>
        <w:t xml:space="preserve">, P., Muhlstein, J., Fernandez, H., </w:t>
      </w:r>
      <w:proofErr w:type="spellStart"/>
      <w:r w:rsidRPr="00D13EBB">
        <w:rPr>
          <w:sz w:val="18"/>
          <w:szCs w:val="18"/>
        </w:rPr>
        <w:t>Transobturator</w:t>
      </w:r>
      <w:proofErr w:type="spellEnd"/>
      <w:r w:rsidRPr="00D13EBB">
        <w:rPr>
          <w:sz w:val="18"/>
          <w:szCs w:val="18"/>
        </w:rPr>
        <w:t xml:space="preserve"> TVT-O versus retropubic TVT: results of a </w:t>
      </w:r>
      <w:proofErr w:type="spellStart"/>
      <w:r w:rsidRPr="00D13EBB">
        <w:rPr>
          <w:sz w:val="18"/>
          <w:szCs w:val="18"/>
        </w:rPr>
        <w:t>multicenter</w:t>
      </w:r>
      <w:proofErr w:type="spellEnd"/>
      <w:r w:rsidRPr="00D13EBB">
        <w:rPr>
          <w:sz w:val="18"/>
          <w:szCs w:val="18"/>
        </w:rPr>
        <w:t xml:space="preserve"> randomized controlled trial at 24 months follow-up, International Urogynecology Journal, 21, 1337-1345, 2010</w:t>
      </w:r>
    </w:p>
    <w:p w14:paraId="066CE942" w14:textId="3BAEBF8F" w:rsidR="000C596E" w:rsidRPr="00D13EBB" w:rsidRDefault="0053355D" w:rsidP="00D13EBB">
      <w:pPr>
        <w:pStyle w:val="BodyText"/>
        <w:spacing w:after="200" w:line="240" w:lineRule="auto"/>
        <w:rPr>
          <w:sz w:val="18"/>
          <w:szCs w:val="18"/>
          <w:shd w:val="clear" w:color="auto" w:fill="FFFFFF"/>
        </w:rPr>
      </w:pPr>
      <w:r w:rsidRPr="00D13EBB">
        <w:rPr>
          <w:sz w:val="18"/>
          <w:szCs w:val="18"/>
          <w:shd w:val="clear" w:color="auto" w:fill="FFFFFF"/>
        </w:rPr>
        <w:t>El-Barky, E., El-</w:t>
      </w:r>
      <w:proofErr w:type="spellStart"/>
      <w:r w:rsidRPr="00D13EBB">
        <w:rPr>
          <w:sz w:val="18"/>
          <w:szCs w:val="18"/>
          <w:shd w:val="clear" w:color="auto" w:fill="FFFFFF"/>
        </w:rPr>
        <w:t>Shazly</w:t>
      </w:r>
      <w:proofErr w:type="spellEnd"/>
      <w:r w:rsidRPr="00D13EBB">
        <w:rPr>
          <w:sz w:val="18"/>
          <w:szCs w:val="18"/>
          <w:shd w:val="clear" w:color="auto" w:fill="FFFFFF"/>
        </w:rPr>
        <w:t>, A., El-Wahab, O. A., Kehinde, E. O., Al-</w:t>
      </w:r>
      <w:proofErr w:type="spellStart"/>
      <w:r w:rsidRPr="00D13EBB">
        <w:rPr>
          <w:sz w:val="18"/>
          <w:szCs w:val="18"/>
          <w:shd w:val="clear" w:color="auto" w:fill="FFFFFF"/>
        </w:rPr>
        <w:t>Hunayan</w:t>
      </w:r>
      <w:proofErr w:type="spellEnd"/>
      <w:r w:rsidRPr="00D13EBB">
        <w:rPr>
          <w:sz w:val="18"/>
          <w:szCs w:val="18"/>
          <w:shd w:val="clear" w:color="auto" w:fill="FFFFFF"/>
        </w:rPr>
        <w:t>, A., AlAwadi, K. A., Tension free vaginal tape versus Burch</w:t>
      </w:r>
      <w:r w:rsidR="002B4DA2" w:rsidRPr="00D13EBB">
        <w:rPr>
          <w:sz w:val="18"/>
          <w:szCs w:val="18"/>
          <w:shd w:val="clear" w:color="auto" w:fill="FFFFFF"/>
        </w:rPr>
        <w:t xml:space="preserve"> </w:t>
      </w:r>
      <w:proofErr w:type="spellStart"/>
      <w:r w:rsidRPr="00D13EBB">
        <w:rPr>
          <w:sz w:val="18"/>
          <w:szCs w:val="18"/>
          <w:shd w:val="clear" w:color="auto" w:fill="FFFFFF"/>
        </w:rPr>
        <w:t>colposuspension</w:t>
      </w:r>
      <w:proofErr w:type="spellEnd"/>
      <w:r w:rsidRPr="00D13EBB">
        <w:rPr>
          <w:sz w:val="18"/>
          <w:szCs w:val="18"/>
          <w:shd w:val="clear" w:color="auto" w:fill="FFFFFF"/>
        </w:rPr>
        <w:t xml:space="preserve"> for treatment</w:t>
      </w:r>
      <w:r w:rsidR="00462C3D" w:rsidRPr="00D13EBB">
        <w:rPr>
          <w:sz w:val="18"/>
          <w:szCs w:val="18"/>
          <w:shd w:val="clear" w:color="auto" w:fill="FFFFFF"/>
        </w:rPr>
        <w:t xml:space="preserve"> </w:t>
      </w:r>
      <w:r w:rsidRPr="00D13EBB">
        <w:rPr>
          <w:sz w:val="18"/>
          <w:szCs w:val="18"/>
          <w:shd w:val="clear" w:color="auto" w:fill="FFFFFF"/>
        </w:rPr>
        <w:t>of female stress urinary incontinence, International Urology and Nephrology, 37, 277-281, 2005</w:t>
      </w:r>
    </w:p>
    <w:p w14:paraId="3F09ED73" w14:textId="67DCE2E0" w:rsidR="00EC454C" w:rsidRPr="00D13EBB" w:rsidRDefault="00EC454C" w:rsidP="00D13EBB">
      <w:pPr>
        <w:pStyle w:val="BodyText"/>
        <w:spacing w:after="200" w:line="240" w:lineRule="auto"/>
        <w:rPr>
          <w:sz w:val="18"/>
          <w:szCs w:val="18"/>
          <w:shd w:val="clear" w:color="auto" w:fill="FFFFFF"/>
        </w:rPr>
      </w:pPr>
      <w:r w:rsidRPr="00D13EBB">
        <w:rPr>
          <w:sz w:val="18"/>
          <w:szCs w:val="18"/>
        </w:rPr>
        <w:t>El-</w:t>
      </w:r>
      <w:proofErr w:type="spellStart"/>
      <w:r w:rsidRPr="00D13EBB">
        <w:rPr>
          <w:sz w:val="18"/>
          <w:szCs w:val="18"/>
        </w:rPr>
        <w:t>Hefnawy</w:t>
      </w:r>
      <w:proofErr w:type="spellEnd"/>
      <w:r w:rsidRPr="00D13EBB">
        <w:rPr>
          <w:sz w:val="18"/>
          <w:szCs w:val="18"/>
        </w:rPr>
        <w:t xml:space="preserve">, A. S., Wadie, B. S., El </w:t>
      </w:r>
      <w:proofErr w:type="spellStart"/>
      <w:r w:rsidRPr="00D13EBB">
        <w:rPr>
          <w:sz w:val="18"/>
          <w:szCs w:val="18"/>
        </w:rPr>
        <w:t>Mekresh</w:t>
      </w:r>
      <w:proofErr w:type="spellEnd"/>
      <w:r w:rsidRPr="00D13EBB">
        <w:rPr>
          <w:sz w:val="18"/>
          <w:szCs w:val="18"/>
        </w:rPr>
        <w:t xml:space="preserve">, M., Nabeeh, A., </w:t>
      </w:r>
      <w:proofErr w:type="spellStart"/>
      <w:r w:rsidRPr="00D13EBB">
        <w:rPr>
          <w:sz w:val="18"/>
          <w:szCs w:val="18"/>
        </w:rPr>
        <w:t>Bazeed</w:t>
      </w:r>
      <w:proofErr w:type="spellEnd"/>
      <w:r w:rsidRPr="00D13EBB">
        <w:rPr>
          <w:sz w:val="18"/>
          <w:szCs w:val="18"/>
        </w:rPr>
        <w:t xml:space="preserve">, M. A., TOT for treatment of stress urinary incontinence: How should we assess its equivalence with </w:t>
      </w:r>
      <w:proofErr w:type="gramStart"/>
      <w:r w:rsidRPr="00D13EBB">
        <w:rPr>
          <w:sz w:val="18"/>
          <w:szCs w:val="18"/>
        </w:rPr>
        <w:t>TVT?,</w:t>
      </w:r>
      <w:proofErr w:type="gramEnd"/>
      <w:r w:rsidRPr="00D13EBB">
        <w:rPr>
          <w:sz w:val="18"/>
          <w:szCs w:val="18"/>
        </w:rPr>
        <w:t xml:space="preserve"> International urogynecology journal, 21, 947-953, 2010</w:t>
      </w:r>
    </w:p>
    <w:p w14:paraId="08088110" w14:textId="5353BBAF" w:rsidR="0011028B" w:rsidRPr="00D13EBB" w:rsidRDefault="0011028B" w:rsidP="00D13EBB">
      <w:pPr>
        <w:pStyle w:val="BodyText"/>
        <w:spacing w:after="200" w:line="240" w:lineRule="auto"/>
        <w:rPr>
          <w:sz w:val="18"/>
          <w:szCs w:val="18"/>
          <w:shd w:val="clear" w:color="auto" w:fill="FFFFFF"/>
        </w:rPr>
      </w:pPr>
      <w:r w:rsidRPr="00D13EBB">
        <w:rPr>
          <w:sz w:val="18"/>
          <w:szCs w:val="18"/>
        </w:rPr>
        <w:t>Feng, S., Luo, D., Liu, Q., Yang, T., Du, C., Li, H., Wang, K., Shen, H., Three- and twelve-month follow-up outcomes of TVT-EXACT and TVT-ABBREVO for treatment of female stress urinary incontinence: a randomized clinical trial, World Journal of Urology</w:t>
      </w:r>
      <w:r w:rsidR="0081435F">
        <w:rPr>
          <w:sz w:val="18"/>
          <w:szCs w:val="18"/>
        </w:rPr>
        <w:t xml:space="preserve"> </w:t>
      </w:r>
      <w:r w:rsidRPr="00D13EBB">
        <w:rPr>
          <w:sz w:val="18"/>
          <w:szCs w:val="18"/>
        </w:rPr>
        <w:t xml:space="preserve">World J </w:t>
      </w:r>
      <w:proofErr w:type="spellStart"/>
      <w:r w:rsidRPr="00D13EBB">
        <w:rPr>
          <w:sz w:val="18"/>
          <w:szCs w:val="18"/>
        </w:rPr>
        <w:t>Urol</w:t>
      </w:r>
      <w:proofErr w:type="spellEnd"/>
      <w:r w:rsidRPr="00D13EBB">
        <w:rPr>
          <w:sz w:val="18"/>
          <w:szCs w:val="18"/>
        </w:rPr>
        <w:t>, 36, 459-465, 2018</w:t>
      </w:r>
    </w:p>
    <w:p w14:paraId="220C8E94" w14:textId="49E241F0" w:rsidR="0053355D" w:rsidRPr="00D13EBB" w:rsidRDefault="00FB146C" w:rsidP="00D13EBB">
      <w:pPr>
        <w:pStyle w:val="BodyText"/>
        <w:spacing w:after="200" w:line="240" w:lineRule="auto"/>
        <w:rPr>
          <w:sz w:val="18"/>
          <w:szCs w:val="18"/>
          <w:shd w:val="clear" w:color="auto" w:fill="FFFFFF"/>
        </w:rPr>
      </w:pPr>
      <w:r w:rsidRPr="00D13EBB">
        <w:rPr>
          <w:sz w:val="18"/>
          <w:szCs w:val="18"/>
          <w:shd w:val="clear" w:color="auto" w:fill="FFFFFF"/>
        </w:rPr>
        <w:t xml:space="preserve">Foote, A. J., Maughan, V., Carne, C., Laparoscopic </w:t>
      </w:r>
      <w:proofErr w:type="spellStart"/>
      <w:r w:rsidRPr="00D13EBB">
        <w:rPr>
          <w:sz w:val="18"/>
          <w:szCs w:val="18"/>
          <w:shd w:val="clear" w:color="auto" w:fill="FFFFFF"/>
        </w:rPr>
        <w:t>colposuspension</w:t>
      </w:r>
      <w:proofErr w:type="spellEnd"/>
      <w:r w:rsidRPr="00D13EBB">
        <w:rPr>
          <w:sz w:val="18"/>
          <w:szCs w:val="18"/>
          <w:shd w:val="clear" w:color="auto" w:fill="FFFFFF"/>
        </w:rPr>
        <w:t xml:space="preserve"> versus vaginal </w:t>
      </w:r>
      <w:proofErr w:type="spellStart"/>
      <w:r w:rsidRPr="00D13EBB">
        <w:rPr>
          <w:sz w:val="18"/>
          <w:szCs w:val="18"/>
          <w:shd w:val="clear" w:color="auto" w:fill="FFFFFF"/>
        </w:rPr>
        <w:t>suburethral</w:t>
      </w:r>
      <w:proofErr w:type="spellEnd"/>
      <w:r w:rsidRPr="00D13EBB">
        <w:rPr>
          <w:sz w:val="18"/>
          <w:szCs w:val="18"/>
          <w:shd w:val="clear" w:color="auto" w:fill="FFFFFF"/>
        </w:rPr>
        <w:t xml:space="preserve"> </w:t>
      </w:r>
      <w:proofErr w:type="spellStart"/>
      <w:r w:rsidRPr="00D13EBB">
        <w:rPr>
          <w:sz w:val="18"/>
          <w:szCs w:val="18"/>
          <w:shd w:val="clear" w:color="auto" w:fill="FFFFFF"/>
        </w:rPr>
        <w:t>slingplasty</w:t>
      </w:r>
      <w:proofErr w:type="spellEnd"/>
      <w:r w:rsidRPr="00D13EBB">
        <w:rPr>
          <w:sz w:val="18"/>
          <w:szCs w:val="18"/>
          <w:shd w:val="clear" w:color="auto" w:fill="FFFFFF"/>
        </w:rPr>
        <w:t>: a randomised prospective trial, Australian and New Zealand Journal of Obstetrics and Gynaecology, 46, 517-520, 2006</w:t>
      </w:r>
    </w:p>
    <w:p w14:paraId="405DF657" w14:textId="247E9BDF" w:rsidR="006A27B3" w:rsidRPr="00D13EBB" w:rsidRDefault="006A27B3" w:rsidP="00D13EBB">
      <w:pPr>
        <w:pStyle w:val="BodyText"/>
        <w:spacing w:after="200" w:line="240" w:lineRule="auto"/>
        <w:rPr>
          <w:sz w:val="18"/>
          <w:szCs w:val="18"/>
          <w:shd w:val="clear" w:color="auto" w:fill="FFFFFF"/>
        </w:rPr>
      </w:pPr>
      <w:r w:rsidRPr="00D13EBB">
        <w:rPr>
          <w:sz w:val="18"/>
          <w:szCs w:val="18"/>
        </w:rPr>
        <w:t>Freeman, R., Holmes, D., Hillard, T., Smith, P., James, M., Sultan, A., Morley, R., Yang, Q., Abrams, P., What patients think: Patient-reported outcomes of retropubic versus trans-obturator mid-urethral slings for urodynamic stress incontinence-a multicentre randomised controlled trial, International urogynecology journal and pelvic floor dysfunction, 22, 279-286, 2011</w:t>
      </w:r>
    </w:p>
    <w:p w14:paraId="2135DAD2" w14:textId="63B25951" w:rsidR="00C1767B" w:rsidRPr="00D13EBB" w:rsidRDefault="00C1767B" w:rsidP="00D13EBB">
      <w:pPr>
        <w:pStyle w:val="BodyText"/>
        <w:spacing w:after="200" w:line="240" w:lineRule="auto"/>
        <w:rPr>
          <w:sz w:val="18"/>
          <w:szCs w:val="18"/>
        </w:rPr>
      </w:pPr>
      <w:r w:rsidRPr="00D13EBB">
        <w:rPr>
          <w:sz w:val="18"/>
          <w:szCs w:val="18"/>
        </w:rPr>
        <w:t xml:space="preserve">Guerrero, K. L., Emery, S. J., Wareham, K., Ismail, S., Watkins, A., Lucas, M. G., A randomised controlled trial comparing TVT, </w:t>
      </w:r>
      <w:proofErr w:type="spellStart"/>
      <w:r w:rsidRPr="00D13EBB">
        <w:rPr>
          <w:sz w:val="18"/>
          <w:szCs w:val="18"/>
        </w:rPr>
        <w:t>Pelvicol</w:t>
      </w:r>
      <w:proofErr w:type="spellEnd"/>
      <w:r w:rsidRPr="00D13EBB">
        <w:rPr>
          <w:sz w:val="18"/>
          <w:szCs w:val="18"/>
        </w:rPr>
        <w:t xml:space="preserve"> and autologous fascial slings for the treatment of stress urinary incontinence in women, BJOG: An International Journal of Obstetrics and Gynaecology, 117, 1493-1502, 2010</w:t>
      </w:r>
    </w:p>
    <w:p w14:paraId="6E5981E6" w14:textId="762C9740" w:rsidR="0064497E" w:rsidRPr="00D13EBB" w:rsidRDefault="0064497E" w:rsidP="00D13EBB">
      <w:pPr>
        <w:pStyle w:val="BodyText"/>
        <w:spacing w:after="200" w:line="240" w:lineRule="auto"/>
        <w:rPr>
          <w:sz w:val="18"/>
          <w:szCs w:val="18"/>
        </w:rPr>
      </w:pPr>
      <w:proofErr w:type="spellStart"/>
      <w:r w:rsidRPr="00D13EBB">
        <w:rPr>
          <w:sz w:val="18"/>
          <w:szCs w:val="18"/>
        </w:rPr>
        <w:t>Jakimiuk</w:t>
      </w:r>
      <w:proofErr w:type="spellEnd"/>
      <w:r w:rsidRPr="00D13EBB">
        <w:rPr>
          <w:sz w:val="18"/>
          <w:szCs w:val="18"/>
        </w:rPr>
        <w:t xml:space="preserve">, A. J., </w:t>
      </w:r>
      <w:proofErr w:type="spellStart"/>
      <w:r w:rsidRPr="00D13EBB">
        <w:rPr>
          <w:sz w:val="18"/>
          <w:szCs w:val="18"/>
        </w:rPr>
        <w:t>Issat</w:t>
      </w:r>
      <w:proofErr w:type="spellEnd"/>
      <w:r w:rsidRPr="00D13EBB">
        <w:rPr>
          <w:sz w:val="18"/>
          <w:szCs w:val="18"/>
        </w:rPr>
        <w:t>, T., Fritz-</w:t>
      </w:r>
      <w:proofErr w:type="spellStart"/>
      <w:r w:rsidRPr="00D13EBB">
        <w:rPr>
          <w:sz w:val="18"/>
          <w:szCs w:val="18"/>
        </w:rPr>
        <w:t>Rdzanek</w:t>
      </w:r>
      <w:proofErr w:type="spellEnd"/>
      <w:r w:rsidRPr="00D13EBB">
        <w:rPr>
          <w:sz w:val="18"/>
          <w:szCs w:val="18"/>
        </w:rPr>
        <w:t xml:space="preserve">, A., Maciejewski, T., Rogowski, A., Baranowski, W., Is there any difference? A prospective, </w:t>
      </w:r>
      <w:proofErr w:type="spellStart"/>
      <w:r w:rsidRPr="00D13EBB">
        <w:rPr>
          <w:sz w:val="18"/>
          <w:szCs w:val="18"/>
        </w:rPr>
        <w:t>multicenter</w:t>
      </w:r>
      <w:proofErr w:type="spellEnd"/>
      <w:r w:rsidRPr="00D13EBB">
        <w:rPr>
          <w:sz w:val="18"/>
          <w:szCs w:val="18"/>
        </w:rPr>
        <w:t xml:space="preserve">, randomized, single blinded clinical trial, comparing TVT with TVT-O (POLTOS study) in management of stress urinary incontinence. Short-term outcomes, </w:t>
      </w:r>
      <w:proofErr w:type="spellStart"/>
      <w:r w:rsidRPr="00D13EBB">
        <w:rPr>
          <w:sz w:val="18"/>
          <w:szCs w:val="18"/>
        </w:rPr>
        <w:t>Pelviperineology</w:t>
      </w:r>
      <w:proofErr w:type="spellEnd"/>
      <w:r w:rsidRPr="00D13EBB">
        <w:rPr>
          <w:sz w:val="18"/>
          <w:szCs w:val="18"/>
        </w:rPr>
        <w:t>, 31, 5-9, 2012</w:t>
      </w:r>
    </w:p>
    <w:p w14:paraId="0DD10D1A" w14:textId="77777777" w:rsidR="00BC71CE" w:rsidRPr="00D13EBB" w:rsidRDefault="00BC71CE" w:rsidP="00D13EBB">
      <w:pPr>
        <w:pStyle w:val="BodyText"/>
        <w:spacing w:after="200" w:line="240" w:lineRule="auto"/>
        <w:rPr>
          <w:sz w:val="18"/>
          <w:szCs w:val="18"/>
          <w:shd w:val="clear" w:color="auto" w:fill="FFFFFF"/>
        </w:rPr>
      </w:pPr>
      <w:proofErr w:type="spellStart"/>
      <w:r w:rsidRPr="00D13EBB">
        <w:rPr>
          <w:sz w:val="18"/>
          <w:szCs w:val="18"/>
          <w:shd w:val="clear" w:color="auto" w:fill="FFFFFF"/>
        </w:rPr>
        <w:t>Jelovsek</w:t>
      </w:r>
      <w:proofErr w:type="spellEnd"/>
      <w:r w:rsidRPr="00D13EBB">
        <w:rPr>
          <w:sz w:val="18"/>
          <w:szCs w:val="18"/>
          <w:shd w:val="clear" w:color="auto" w:fill="FFFFFF"/>
        </w:rPr>
        <w:t xml:space="preserve">, J. E., Barber, M. D., Karram, M. M., Walters, M. D., Paraiso, M. F. R., Randomised trial of laparoscopic Burch </w:t>
      </w:r>
      <w:proofErr w:type="spellStart"/>
      <w:r w:rsidRPr="00D13EBB">
        <w:rPr>
          <w:sz w:val="18"/>
          <w:szCs w:val="18"/>
          <w:shd w:val="clear" w:color="auto" w:fill="FFFFFF"/>
        </w:rPr>
        <w:t>colposuspension</w:t>
      </w:r>
      <w:proofErr w:type="spellEnd"/>
      <w:r w:rsidRPr="00D13EBB">
        <w:rPr>
          <w:sz w:val="18"/>
          <w:szCs w:val="18"/>
          <w:shd w:val="clear" w:color="auto" w:fill="FFFFFF"/>
        </w:rPr>
        <w:t xml:space="preserve"> versus tension-free vaginal tape: Long-term follow up, BJOG: An International Journal of Obstetrics and Gynaecology, 115, 219-225, 2008</w:t>
      </w:r>
    </w:p>
    <w:p w14:paraId="55A1ACDC" w14:textId="76654DC8" w:rsidR="003B4623" w:rsidRPr="00D13EBB" w:rsidRDefault="003B4623" w:rsidP="00D13EBB">
      <w:pPr>
        <w:pStyle w:val="BodyText"/>
        <w:spacing w:after="200" w:line="240" w:lineRule="auto"/>
        <w:rPr>
          <w:sz w:val="18"/>
          <w:szCs w:val="18"/>
        </w:rPr>
      </w:pPr>
      <w:proofErr w:type="spellStart"/>
      <w:r w:rsidRPr="00D13EBB">
        <w:rPr>
          <w:sz w:val="18"/>
          <w:szCs w:val="18"/>
        </w:rPr>
        <w:t>Karateke</w:t>
      </w:r>
      <w:proofErr w:type="spellEnd"/>
      <w:r w:rsidRPr="00D13EBB">
        <w:rPr>
          <w:sz w:val="18"/>
          <w:szCs w:val="18"/>
        </w:rPr>
        <w:t xml:space="preserve">, A., </w:t>
      </w:r>
      <w:proofErr w:type="spellStart"/>
      <w:r w:rsidRPr="00D13EBB">
        <w:rPr>
          <w:sz w:val="18"/>
          <w:szCs w:val="18"/>
        </w:rPr>
        <w:t>Haliloglu</w:t>
      </w:r>
      <w:proofErr w:type="spellEnd"/>
      <w:r w:rsidRPr="00D13EBB">
        <w:rPr>
          <w:sz w:val="18"/>
          <w:szCs w:val="18"/>
        </w:rPr>
        <w:t>, B., Cam, C., Sakalli, M., Comparison of TVT and TVT-O in patients with stress urinary incontinence: short-term cure rates and factors influencing the outcome. A prospective randomised study, Australian and New Zealand Journal of Obstetrics and Gynaecology, 49, 99-105, 2009</w:t>
      </w:r>
    </w:p>
    <w:p w14:paraId="0F406998" w14:textId="0F9709C9" w:rsidR="0000294A" w:rsidRPr="00D13EBB" w:rsidRDefault="0000294A" w:rsidP="00D13EBB">
      <w:pPr>
        <w:pStyle w:val="BodyText"/>
        <w:spacing w:after="200" w:line="240" w:lineRule="auto"/>
        <w:rPr>
          <w:sz w:val="18"/>
          <w:szCs w:val="18"/>
        </w:rPr>
      </w:pPr>
      <w:r w:rsidRPr="00D13EBB">
        <w:rPr>
          <w:sz w:val="18"/>
          <w:szCs w:val="18"/>
        </w:rPr>
        <w:t xml:space="preserve">Kenton, K., Stoddard, A. M., </w:t>
      </w:r>
      <w:proofErr w:type="spellStart"/>
      <w:r w:rsidRPr="00D13EBB">
        <w:rPr>
          <w:sz w:val="18"/>
          <w:szCs w:val="18"/>
        </w:rPr>
        <w:t>Zyczynski</w:t>
      </w:r>
      <w:proofErr w:type="spellEnd"/>
      <w:r w:rsidRPr="00D13EBB">
        <w:rPr>
          <w:sz w:val="18"/>
          <w:szCs w:val="18"/>
        </w:rPr>
        <w:t xml:space="preserve">, H., Albo, M., Rickey, L., Norton, P., Wai, C., Kraus, S. R., Sirls, L. T., Kusek, J. W., Litman, H. J., Chang, R. P., Richter, H. E., 5- year longitudinal </w:t>
      </w:r>
      <w:proofErr w:type="spellStart"/>
      <w:r w:rsidRPr="00D13EBB">
        <w:rPr>
          <w:sz w:val="18"/>
          <w:szCs w:val="18"/>
        </w:rPr>
        <w:t>followup</w:t>
      </w:r>
      <w:proofErr w:type="spellEnd"/>
      <w:r w:rsidRPr="00D13EBB">
        <w:rPr>
          <w:sz w:val="18"/>
          <w:szCs w:val="18"/>
        </w:rPr>
        <w:t xml:space="preserve"> after retropubic and </w:t>
      </w:r>
      <w:proofErr w:type="spellStart"/>
      <w:r w:rsidRPr="00D13EBB">
        <w:rPr>
          <w:sz w:val="18"/>
          <w:szCs w:val="18"/>
        </w:rPr>
        <w:t>transobturator</w:t>
      </w:r>
      <w:proofErr w:type="spellEnd"/>
      <w:r w:rsidRPr="00D13EBB">
        <w:rPr>
          <w:sz w:val="18"/>
          <w:szCs w:val="18"/>
        </w:rPr>
        <w:t xml:space="preserve"> mid urethral slings, Journal of Urology, 193, 203-10, 2015</w:t>
      </w:r>
    </w:p>
    <w:p w14:paraId="14B2163D" w14:textId="3ADB6F0F" w:rsidR="00BC3383" w:rsidRPr="00D13EBB" w:rsidRDefault="00BC3383" w:rsidP="00D13EBB">
      <w:pPr>
        <w:pStyle w:val="BodyText"/>
        <w:spacing w:after="200" w:line="240" w:lineRule="auto"/>
        <w:rPr>
          <w:sz w:val="18"/>
          <w:szCs w:val="18"/>
        </w:rPr>
      </w:pPr>
      <w:r w:rsidRPr="00D13EBB">
        <w:rPr>
          <w:sz w:val="18"/>
          <w:szCs w:val="18"/>
        </w:rPr>
        <w:t xml:space="preserve">Khan, Z. A., Nambiar, A., Morley, R., Chapple, C. R., Emery, S. J., Lucas, M. G., Long-term follow-up of a multicentre randomised controlled trial comparing </w:t>
      </w:r>
      <w:proofErr w:type="spellStart"/>
      <w:r w:rsidRPr="00D13EBB">
        <w:rPr>
          <w:sz w:val="18"/>
          <w:szCs w:val="18"/>
        </w:rPr>
        <w:t>tensionfree</w:t>
      </w:r>
      <w:proofErr w:type="spellEnd"/>
      <w:r w:rsidRPr="00D13EBB">
        <w:rPr>
          <w:sz w:val="18"/>
          <w:szCs w:val="18"/>
        </w:rPr>
        <w:t xml:space="preserve"> vaginal tape, </w:t>
      </w:r>
      <w:proofErr w:type="gramStart"/>
      <w:r w:rsidRPr="00D13EBB">
        <w:rPr>
          <w:sz w:val="18"/>
          <w:szCs w:val="18"/>
        </w:rPr>
        <w:t>xenograft</w:t>
      </w:r>
      <w:proofErr w:type="gramEnd"/>
      <w:r w:rsidRPr="00D13EBB">
        <w:rPr>
          <w:sz w:val="18"/>
          <w:szCs w:val="18"/>
        </w:rPr>
        <w:t xml:space="preserve"> and autologous fascial slings for the treatment of stress urinary incontinence in women, BJU International, 115, 968-77, 2015</w:t>
      </w:r>
    </w:p>
    <w:p w14:paraId="23D84822" w14:textId="284B28E9" w:rsidR="00E46D19" w:rsidRPr="00D13EBB" w:rsidRDefault="00E46D19" w:rsidP="00D13EBB">
      <w:pPr>
        <w:pStyle w:val="BodyText"/>
        <w:spacing w:after="200" w:line="240" w:lineRule="auto"/>
        <w:rPr>
          <w:sz w:val="18"/>
          <w:szCs w:val="18"/>
          <w:shd w:val="clear" w:color="auto" w:fill="FFFFFF"/>
        </w:rPr>
      </w:pPr>
      <w:r w:rsidRPr="00D13EBB">
        <w:rPr>
          <w:sz w:val="18"/>
          <w:szCs w:val="18"/>
        </w:rPr>
        <w:t xml:space="preserve">Krofta, L., </w:t>
      </w:r>
      <w:proofErr w:type="spellStart"/>
      <w:r w:rsidRPr="00D13EBB">
        <w:rPr>
          <w:sz w:val="18"/>
          <w:szCs w:val="18"/>
        </w:rPr>
        <w:t>Feyereisl</w:t>
      </w:r>
      <w:proofErr w:type="spellEnd"/>
      <w:r w:rsidRPr="00D13EBB">
        <w:rPr>
          <w:sz w:val="18"/>
          <w:szCs w:val="18"/>
        </w:rPr>
        <w:t xml:space="preserve">, J., </w:t>
      </w:r>
      <w:proofErr w:type="spellStart"/>
      <w:r w:rsidRPr="00D13EBB">
        <w:rPr>
          <w:sz w:val="18"/>
          <w:szCs w:val="18"/>
        </w:rPr>
        <w:t>Otcenasek</w:t>
      </w:r>
      <w:proofErr w:type="spellEnd"/>
      <w:r w:rsidRPr="00D13EBB">
        <w:rPr>
          <w:sz w:val="18"/>
          <w:szCs w:val="18"/>
        </w:rPr>
        <w:t xml:space="preserve">, M., </w:t>
      </w:r>
      <w:proofErr w:type="spellStart"/>
      <w:r w:rsidRPr="00D13EBB">
        <w:rPr>
          <w:sz w:val="18"/>
          <w:szCs w:val="18"/>
        </w:rPr>
        <w:t>Velebil</w:t>
      </w:r>
      <w:proofErr w:type="spellEnd"/>
      <w:r w:rsidRPr="00D13EBB">
        <w:rPr>
          <w:sz w:val="18"/>
          <w:szCs w:val="18"/>
        </w:rPr>
        <w:t>, P., Kasikova, E., Krcmar, M., TVT and TVT-O for surgical treatment of primary stress urinary incontinence: prospective randomized trial, International Urogynecology Journal, 21, 141-148, 2010</w:t>
      </w:r>
    </w:p>
    <w:p w14:paraId="7397AC23" w14:textId="31A6ECF0" w:rsidR="00177690" w:rsidRPr="00D13EBB" w:rsidRDefault="00177690" w:rsidP="00D13EBB">
      <w:pPr>
        <w:pStyle w:val="BodyText"/>
        <w:spacing w:after="200" w:line="240" w:lineRule="auto"/>
        <w:rPr>
          <w:sz w:val="18"/>
          <w:szCs w:val="18"/>
        </w:rPr>
      </w:pPr>
      <w:proofErr w:type="spellStart"/>
      <w:r w:rsidRPr="00D13EBB">
        <w:rPr>
          <w:sz w:val="18"/>
          <w:szCs w:val="18"/>
        </w:rPr>
        <w:t>Laurikainen</w:t>
      </w:r>
      <w:proofErr w:type="spellEnd"/>
      <w:r w:rsidRPr="00D13EBB">
        <w:rPr>
          <w:sz w:val="18"/>
          <w:szCs w:val="18"/>
        </w:rPr>
        <w:t xml:space="preserve">, E., </w:t>
      </w:r>
      <w:proofErr w:type="spellStart"/>
      <w:r w:rsidRPr="00D13EBB">
        <w:rPr>
          <w:sz w:val="18"/>
          <w:szCs w:val="18"/>
        </w:rPr>
        <w:t>Valpas</w:t>
      </w:r>
      <w:proofErr w:type="spellEnd"/>
      <w:r w:rsidRPr="00D13EBB">
        <w:rPr>
          <w:sz w:val="18"/>
          <w:szCs w:val="18"/>
        </w:rPr>
        <w:t xml:space="preserve">, A., Kivela, A., </w:t>
      </w:r>
      <w:proofErr w:type="spellStart"/>
      <w:r w:rsidRPr="00D13EBB">
        <w:rPr>
          <w:sz w:val="18"/>
          <w:szCs w:val="18"/>
        </w:rPr>
        <w:t>Kalliola</w:t>
      </w:r>
      <w:proofErr w:type="spellEnd"/>
      <w:r w:rsidRPr="00D13EBB">
        <w:rPr>
          <w:sz w:val="18"/>
          <w:szCs w:val="18"/>
        </w:rPr>
        <w:t xml:space="preserve">, T., Rinne, K., Takala, T., Nilsson, C. G., Retropubic compared with </w:t>
      </w:r>
      <w:proofErr w:type="spellStart"/>
      <w:r w:rsidRPr="00D13EBB">
        <w:rPr>
          <w:sz w:val="18"/>
          <w:szCs w:val="18"/>
        </w:rPr>
        <w:t>transobturator</w:t>
      </w:r>
      <w:proofErr w:type="spellEnd"/>
      <w:r w:rsidRPr="00D13EBB">
        <w:rPr>
          <w:sz w:val="18"/>
          <w:szCs w:val="18"/>
        </w:rPr>
        <w:t xml:space="preserve"> tape placement in treatment of urinary incontinence: a randomized controlled trial, Obstetrics and </w:t>
      </w:r>
      <w:proofErr w:type="spellStart"/>
      <w:r w:rsidRPr="00D13EBB">
        <w:rPr>
          <w:sz w:val="18"/>
          <w:szCs w:val="18"/>
        </w:rPr>
        <w:t>Gynecology</w:t>
      </w:r>
      <w:proofErr w:type="spellEnd"/>
      <w:r w:rsidRPr="00D13EBB">
        <w:rPr>
          <w:sz w:val="18"/>
          <w:szCs w:val="18"/>
        </w:rPr>
        <w:t>, 109, 4-11, 2007</w:t>
      </w:r>
    </w:p>
    <w:p w14:paraId="5F399CFC" w14:textId="4C137638" w:rsidR="002C0E66" w:rsidRPr="00D13EBB" w:rsidRDefault="002C0E66" w:rsidP="00D13EBB">
      <w:pPr>
        <w:pStyle w:val="BodyText"/>
        <w:spacing w:after="200" w:line="240" w:lineRule="auto"/>
        <w:rPr>
          <w:sz w:val="18"/>
          <w:szCs w:val="18"/>
          <w:shd w:val="clear" w:color="auto" w:fill="FFFFFF"/>
        </w:rPr>
      </w:pPr>
      <w:proofErr w:type="spellStart"/>
      <w:r w:rsidRPr="00D13EBB">
        <w:rPr>
          <w:sz w:val="18"/>
          <w:szCs w:val="18"/>
        </w:rPr>
        <w:t>Laurikainen</w:t>
      </w:r>
      <w:proofErr w:type="spellEnd"/>
      <w:r w:rsidRPr="00D13EBB">
        <w:rPr>
          <w:sz w:val="18"/>
          <w:szCs w:val="18"/>
        </w:rPr>
        <w:t xml:space="preserve">, E., </w:t>
      </w:r>
      <w:proofErr w:type="spellStart"/>
      <w:r w:rsidRPr="00D13EBB">
        <w:rPr>
          <w:sz w:val="18"/>
          <w:szCs w:val="18"/>
        </w:rPr>
        <w:t>Valpas</w:t>
      </w:r>
      <w:proofErr w:type="spellEnd"/>
      <w:r w:rsidRPr="00D13EBB">
        <w:rPr>
          <w:sz w:val="18"/>
          <w:szCs w:val="18"/>
        </w:rPr>
        <w:t xml:space="preserve">, A., </w:t>
      </w:r>
      <w:proofErr w:type="spellStart"/>
      <w:r w:rsidRPr="00D13EBB">
        <w:rPr>
          <w:sz w:val="18"/>
          <w:szCs w:val="18"/>
        </w:rPr>
        <w:t>Aukee</w:t>
      </w:r>
      <w:proofErr w:type="spellEnd"/>
      <w:r w:rsidRPr="00D13EBB">
        <w:rPr>
          <w:sz w:val="18"/>
          <w:szCs w:val="18"/>
        </w:rPr>
        <w:t xml:space="preserve">, P., Kivela, A., Rinne, K., Takala, T., Nilsson, C. G., Five-year results of a randomized trial comparing retropubic and </w:t>
      </w:r>
      <w:proofErr w:type="spellStart"/>
      <w:r w:rsidRPr="00D13EBB">
        <w:rPr>
          <w:sz w:val="18"/>
          <w:szCs w:val="18"/>
        </w:rPr>
        <w:t>transobturator</w:t>
      </w:r>
      <w:proofErr w:type="spellEnd"/>
      <w:r w:rsidRPr="00D13EBB">
        <w:rPr>
          <w:sz w:val="18"/>
          <w:szCs w:val="18"/>
        </w:rPr>
        <w:t xml:space="preserve"> </w:t>
      </w:r>
      <w:proofErr w:type="spellStart"/>
      <w:r w:rsidRPr="00D13EBB">
        <w:rPr>
          <w:sz w:val="18"/>
          <w:szCs w:val="18"/>
        </w:rPr>
        <w:t>midurethral</w:t>
      </w:r>
      <w:proofErr w:type="spellEnd"/>
      <w:r w:rsidRPr="00D13EBB">
        <w:rPr>
          <w:sz w:val="18"/>
          <w:szCs w:val="18"/>
        </w:rPr>
        <w:t xml:space="preserve"> slings for stress incontinence, European Urology, 65, 1109-14, 2014</w:t>
      </w:r>
    </w:p>
    <w:p w14:paraId="65B28F13" w14:textId="47C53539" w:rsidR="00915906" w:rsidRPr="00D13EBB" w:rsidRDefault="00B91D4B" w:rsidP="00D13EBB">
      <w:pPr>
        <w:pStyle w:val="BodyText"/>
        <w:spacing w:after="200" w:line="240" w:lineRule="auto"/>
        <w:rPr>
          <w:sz w:val="18"/>
          <w:szCs w:val="18"/>
          <w:shd w:val="clear" w:color="auto" w:fill="FFFFFF"/>
        </w:rPr>
      </w:pPr>
      <w:r w:rsidRPr="00D13EBB">
        <w:rPr>
          <w:sz w:val="18"/>
          <w:szCs w:val="18"/>
          <w:shd w:val="clear" w:color="auto" w:fill="FFFFFF"/>
        </w:rPr>
        <w:t xml:space="preserve">Liapis, A., Bakas, P., </w:t>
      </w:r>
      <w:proofErr w:type="spellStart"/>
      <w:r w:rsidRPr="00D13EBB">
        <w:rPr>
          <w:sz w:val="18"/>
          <w:szCs w:val="18"/>
          <w:shd w:val="clear" w:color="auto" w:fill="FFFFFF"/>
        </w:rPr>
        <w:t>Creatsas,G</w:t>
      </w:r>
      <w:proofErr w:type="spellEnd"/>
      <w:r w:rsidRPr="00D13EBB">
        <w:rPr>
          <w:sz w:val="18"/>
          <w:szCs w:val="18"/>
          <w:shd w:val="clear" w:color="auto" w:fill="FFFFFF"/>
        </w:rPr>
        <w:t xml:space="preserve">., Burch </w:t>
      </w:r>
      <w:proofErr w:type="spellStart"/>
      <w:r w:rsidRPr="00D13EBB">
        <w:rPr>
          <w:sz w:val="18"/>
          <w:szCs w:val="18"/>
          <w:shd w:val="clear" w:color="auto" w:fill="FFFFFF"/>
        </w:rPr>
        <w:t>colposuspension</w:t>
      </w:r>
      <w:proofErr w:type="spellEnd"/>
      <w:r w:rsidRPr="00D13EBB">
        <w:rPr>
          <w:sz w:val="18"/>
          <w:szCs w:val="18"/>
          <w:shd w:val="clear" w:color="auto" w:fill="FFFFFF"/>
        </w:rPr>
        <w:t xml:space="preserve"> and tension-free vaginal</w:t>
      </w:r>
      <w:r w:rsidR="00462C3D" w:rsidRPr="00D13EBB">
        <w:rPr>
          <w:sz w:val="18"/>
          <w:szCs w:val="18"/>
          <w:shd w:val="clear" w:color="auto" w:fill="FFFFFF"/>
        </w:rPr>
        <w:t xml:space="preserve"> </w:t>
      </w:r>
      <w:r w:rsidRPr="00D13EBB">
        <w:rPr>
          <w:sz w:val="18"/>
          <w:szCs w:val="18"/>
          <w:shd w:val="clear" w:color="auto" w:fill="FFFFFF"/>
        </w:rPr>
        <w:t>tape in the management of stress urinary incontinence in women, European Urology,</w:t>
      </w:r>
      <w:r w:rsidR="00462C3D" w:rsidRPr="00D13EBB">
        <w:rPr>
          <w:sz w:val="18"/>
          <w:szCs w:val="18"/>
          <w:shd w:val="clear" w:color="auto" w:fill="FFFFFF"/>
        </w:rPr>
        <w:t xml:space="preserve"> </w:t>
      </w:r>
      <w:r w:rsidRPr="00D13EBB">
        <w:rPr>
          <w:sz w:val="18"/>
          <w:szCs w:val="18"/>
          <w:shd w:val="clear" w:color="auto" w:fill="FFFFFF"/>
        </w:rPr>
        <w:t>41, 469-473, 2002</w:t>
      </w:r>
      <w:r w:rsidR="00462C3D" w:rsidRPr="00D13EBB">
        <w:rPr>
          <w:sz w:val="18"/>
          <w:szCs w:val="18"/>
          <w:shd w:val="clear" w:color="auto" w:fill="FFFFFF"/>
        </w:rPr>
        <w:t xml:space="preserve"> </w:t>
      </w:r>
    </w:p>
    <w:p w14:paraId="28D634F1" w14:textId="52DC0CD2" w:rsidR="005075FB" w:rsidRPr="00D13EBB" w:rsidRDefault="003C088A" w:rsidP="00D13EBB">
      <w:pPr>
        <w:pStyle w:val="BodyText"/>
        <w:spacing w:after="200" w:line="240" w:lineRule="auto"/>
        <w:rPr>
          <w:sz w:val="18"/>
          <w:szCs w:val="18"/>
        </w:rPr>
      </w:pPr>
      <w:proofErr w:type="spellStart"/>
      <w:r w:rsidRPr="00D13EBB">
        <w:rPr>
          <w:sz w:val="18"/>
          <w:szCs w:val="18"/>
        </w:rPr>
        <w:t>Liapis,A</w:t>
      </w:r>
      <w:proofErr w:type="spellEnd"/>
      <w:r w:rsidRPr="00D13EBB">
        <w:rPr>
          <w:sz w:val="18"/>
          <w:szCs w:val="18"/>
        </w:rPr>
        <w:t xml:space="preserve">., </w:t>
      </w:r>
      <w:proofErr w:type="spellStart"/>
      <w:r w:rsidRPr="00D13EBB">
        <w:rPr>
          <w:sz w:val="18"/>
          <w:szCs w:val="18"/>
        </w:rPr>
        <w:t>Bakas,P</w:t>
      </w:r>
      <w:proofErr w:type="spellEnd"/>
      <w:r w:rsidRPr="00D13EBB">
        <w:rPr>
          <w:sz w:val="18"/>
          <w:szCs w:val="18"/>
        </w:rPr>
        <w:t xml:space="preserve">., </w:t>
      </w:r>
      <w:proofErr w:type="spellStart"/>
      <w:r w:rsidRPr="00D13EBB">
        <w:rPr>
          <w:sz w:val="18"/>
          <w:szCs w:val="18"/>
        </w:rPr>
        <w:t>Giner,M</w:t>
      </w:r>
      <w:proofErr w:type="spellEnd"/>
      <w:r w:rsidRPr="00D13EBB">
        <w:rPr>
          <w:sz w:val="18"/>
          <w:szCs w:val="18"/>
        </w:rPr>
        <w:t xml:space="preserve">., </w:t>
      </w:r>
      <w:proofErr w:type="spellStart"/>
      <w:r w:rsidRPr="00D13EBB">
        <w:rPr>
          <w:sz w:val="18"/>
          <w:szCs w:val="18"/>
        </w:rPr>
        <w:t>Creatsas,G</w:t>
      </w:r>
      <w:proofErr w:type="spellEnd"/>
      <w:r w:rsidRPr="00D13EBB">
        <w:rPr>
          <w:sz w:val="18"/>
          <w:szCs w:val="18"/>
        </w:rPr>
        <w:t xml:space="preserve">., Tension-free vaginal tape versus </w:t>
      </w:r>
      <w:proofErr w:type="spellStart"/>
      <w:r w:rsidRPr="00D13EBB">
        <w:rPr>
          <w:sz w:val="18"/>
          <w:szCs w:val="18"/>
        </w:rPr>
        <w:t>tensionfree</w:t>
      </w:r>
      <w:proofErr w:type="spellEnd"/>
      <w:r w:rsidRPr="00D13EBB">
        <w:rPr>
          <w:sz w:val="18"/>
          <w:szCs w:val="18"/>
        </w:rPr>
        <w:t xml:space="preserve"> vaginal tape obturator in women with stress urinary incontinence, </w:t>
      </w:r>
      <w:proofErr w:type="spellStart"/>
      <w:r w:rsidRPr="00D13EBB">
        <w:rPr>
          <w:sz w:val="18"/>
          <w:szCs w:val="18"/>
        </w:rPr>
        <w:t>Gynecologic</w:t>
      </w:r>
      <w:proofErr w:type="spellEnd"/>
      <w:r w:rsidRPr="00D13EBB">
        <w:rPr>
          <w:sz w:val="18"/>
          <w:szCs w:val="18"/>
        </w:rPr>
        <w:t xml:space="preserve"> and Obstetric Investigation, 62, 160-164, 2006</w:t>
      </w:r>
    </w:p>
    <w:p w14:paraId="4AA4E8F3" w14:textId="290AFF15" w:rsidR="00C051E6" w:rsidRPr="00D13EBB" w:rsidRDefault="00C051E6" w:rsidP="00D13EBB">
      <w:pPr>
        <w:pStyle w:val="BodyText"/>
        <w:spacing w:after="200" w:line="240" w:lineRule="auto"/>
        <w:rPr>
          <w:sz w:val="18"/>
          <w:szCs w:val="18"/>
        </w:rPr>
      </w:pPr>
      <w:r w:rsidRPr="00D13EBB">
        <w:rPr>
          <w:sz w:val="18"/>
          <w:szCs w:val="18"/>
        </w:rPr>
        <w:t xml:space="preserve">Meschia, M., Bertozzi, R., </w:t>
      </w:r>
      <w:proofErr w:type="spellStart"/>
      <w:r w:rsidRPr="00D13EBB">
        <w:rPr>
          <w:sz w:val="18"/>
          <w:szCs w:val="18"/>
        </w:rPr>
        <w:t>Pifarotti</w:t>
      </w:r>
      <w:proofErr w:type="spellEnd"/>
      <w:r w:rsidRPr="00D13EBB">
        <w:rPr>
          <w:sz w:val="18"/>
          <w:szCs w:val="18"/>
        </w:rPr>
        <w:t xml:space="preserve">, P., </w:t>
      </w:r>
      <w:proofErr w:type="spellStart"/>
      <w:r w:rsidRPr="00D13EBB">
        <w:rPr>
          <w:sz w:val="18"/>
          <w:szCs w:val="18"/>
        </w:rPr>
        <w:t>Baccichet</w:t>
      </w:r>
      <w:proofErr w:type="spellEnd"/>
      <w:r w:rsidRPr="00D13EBB">
        <w:rPr>
          <w:sz w:val="18"/>
          <w:szCs w:val="18"/>
        </w:rPr>
        <w:t xml:space="preserve">, R., Bernasconi, F., Guercio, E., </w:t>
      </w:r>
      <w:proofErr w:type="spellStart"/>
      <w:r w:rsidRPr="00D13EBB">
        <w:rPr>
          <w:sz w:val="18"/>
          <w:szCs w:val="18"/>
        </w:rPr>
        <w:t>Magatti</w:t>
      </w:r>
      <w:proofErr w:type="spellEnd"/>
      <w:r w:rsidRPr="00D13EBB">
        <w:rPr>
          <w:sz w:val="18"/>
          <w:szCs w:val="18"/>
        </w:rPr>
        <w:t xml:space="preserve">, F., </w:t>
      </w:r>
      <w:proofErr w:type="spellStart"/>
      <w:r w:rsidRPr="00D13EBB">
        <w:rPr>
          <w:sz w:val="18"/>
          <w:szCs w:val="18"/>
        </w:rPr>
        <w:t>Minini</w:t>
      </w:r>
      <w:proofErr w:type="spellEnd"/>
      <w:r w:rsidRPr="00D13EBB">
        <w:rPr>
          <w:sz w:val="18"/>
          <w:szCs w:val="18"/>
        </w:rPr>
        <w:t>, G., Peri-operative morbidity and early results of a randomised trial comparing TVT and TVT-O, International Urogynecology Journal, , 1257-1261, 2007</w:t>
      </w:r>
    </w:p>
    <w:p w14:paraId="06750275" w14:textId="3BFFD94E" w:rsidR="006C2DC3" w:rsidRPr="00D13EBB" w:rsidRDefault="006C2DC3" w:rsidP="00D13EBB">
      <w:pPr>
        <w:pStyle w:val="BodyText"/>
        <w:spacing w:after="200" w:line="240" w:lineRule="auto"/>
        <w:rPr>
          <w:sz w:val="18"/>
          <w:szCs w:val="18"/>
          <w:shd w:val="clear" w:color="auto" w:fill="FFFFFF"/>
        </w:rPr>
      </w:pPr>
      <w:proofErr w:type="spellStart"/>
      <w:r w:rsidRPr="00D13EBB">
        <w:rPr>
          <w:sz w:val="18"/>
          <w:szCs w:val="18"/>
        </w:rPr>
        <w:lastRenderedPageBreak/>
        <w:t>Nyyssonen</w:t>
      </w:r>
      <w:proofErr w:type="spellEnd"/>
      <w:r w:rsidRPr="00D13EBB">
        <w:rPr>
          <w:sz w:val="18"/>
          <w:szCs w:val="18"/>
        </w:rPr>
        <w:t xml:space="preserve">, V., </w:t>
      </w:r>
      <w:proofErr w:type="spellStart"/>
      <w:r w:rsidRPr="00D13EBB">
        <w:rPr>
          <w:sz w:val="18"/>
          <w:szCs w:val="18"/>
        </w:rPr>
        <w:t>Talvensaari</w:t>
      </w:r>
      <w:proofErr w:type="spellEnd"/>
      <w:r w:rsidRPr="00D13EBB">
        <w:rPr>
          <w:sz w:val="18"/>
          <w:szCs w:val="18"/>
        </w:rPr>
        <w:t xml:space="preserve">-Mattila, A., Santala, M., A prospective randomized trial comparing tension-free vaginal tape versus </w:t>
      </w:r>
      <w:proofErr w:type="spellStart"/>
      <w:r w:rsidRPr="00D13EBB">
        <w:rPr>
          <w:sz w:val="18"/>
          <w:szCs w:val="18"/>
        </w:rPr>
        <w:t>transobturator</w:t>
      </w:r>
      <w:proofErr w:type="spellEnd"/>
      <w:r w:rsidRPr="00D13EBB">
        <w:rPr>
          <w:sz w:val="18"/>
          <w:szCs w:val="18"/>
        </w:rPr>
        <w:t xml:space="preserve"> tape in patients with stress or mixed urinary incontinence: subjective cure rate and satisfaction in median </w:t>
      </w:r>
      <w:proofErr w:type="spellStart"/>
      <w:r w:rsidRPr="00D13EBB">
        <w:rPr>
          <w:sz w:val="18"/>
          <w:szCs w:val="18"/>
        </w:rPr>
        <w:t>followup</w:t>
      </w:r>
      <w:proofErr w:type="spellEnd"/>
      <w:r w:rsidRPr="00D13EBB">
        <w:rPr>
          <w:sz w:val="18"/>
          <w:szCs w:val="18"/>
        </w:rPr>
        <w:t xml:space="preserve"> of 46 months, Scandinavian Journal of Urology, 48, 309-15, 2014</w:t>
      </w:r>
    </w:p>
    <w:p w14:paraId="28379832" w14:textId="74E88E4F" w:rsidR="00D429A1" w:rsidRPr="00D13EBB" w:rsidRDefault="00D429A1" w:rsidP="00D13EBB">
      <w:pPr>
        <w:pStyle w:val="BodyText"/>
        <w:spacing w:after="200" w:line="240" w:lineRule="auto"/>
        <w:rPr>
          <w:sz w:val="18"/>
          <w:szCs w:val="18"/>
          <w:shd w:val="clear" w:color="auto" w:fill="FFFFFF"/>
        </w:rPr>
      </w:pPr>
      <w:r w:rsidRPr="00D13EBB">
        <w:rPr>
          <w:sz w:val="18"/>
          <w:szCs w:val="18"/>
        </w:rPr>
        <w:t xml:space="preserve">Palos, C. C., Maturana, A. P., </w:t>
      </w:r>
      <w:proofErr w:type="spellStart"/>
      <w:r w:rsidRPr="00D13EBB">
        <w:rPr>
          <w:sz w:val="18"/>
          <w:szCs w:val="18"/>
        </w:rPr>
        <w:t>Ghersel</w:t>
      </w:r>
      <w:proofErr w:type="spellEnd"/>
      <w:r w:rsidRPr="00D13EBB">
        <w:rPr>
          <w:sz w:val="18"/>
          <w:szCs w:val="18"/>
        </w:rPr>
        <w:t xml:space="preserve">, F. R., Fernandes, C. E., Oliveira, E., Prospective and randomized clinical trial comparing </w:t>
      </w:r>
      <w:proofErr w:type="spellStart"/>
      <w:r w:rsidRPr="00D13EBB">
        <w:rPr>
          <w:sz w:val="18"/>
          <w:szCs w:val="18"/>
        </w:rPr>
        <w:t>transobturator</w:t>
      </w:r>
      <w:proofErr w:type="spellEnd"/>
      <w:r w:rsidRPr="00D13EBB">
        <w:rPr>
          <w:sz w:val="18"/>
          <w:szCs w:val="18"/>
        </w:rPr>
        <w:t xml:space="preserve"> versus retropubic sling in terms of efficacy and safety, International urogynecology journal, 29, 29-35, 2018</w:t>
      </w:r>
    </w:p>
    <w:p w14:paraId="0CFAAD16" w14:textId="4DDCBC7B" w:rsidR="00927C35" w:rsidRPr="00D13EBB" w:rsidRDefault="00D31586" w:rsidP="00D13EBB">
      <w:pPr>
        <w:pStyle w:val="BodyText"/>
        <w:spacing w:after="200" w:line="240" w:lineRule="auto"/>
        <w:rPr>
          <w:sz w:val="18"/>
          <w:szCs w:val="18"/>
          <w:shd w:val="clear" w:color="auto" w:fill="FFFFFF"/>
        </w:rPr>
      </w:pPr>
      <w:r w:rsidRPr="00D13EBB">
        <w:rPr>
          <w:sz w:val="18"/>
          <w:szCs w:val="18"/>
          <w:shd w:val="clear" w:color="auto" w:fill="FFFFFF"/>
        </w:rPr>
        <w:t>Paraiso, M. F. R., Walters, M. D., Karram, M. M., Barber, M. D., Laparoscopic Burch</w:t>
      </w:r>
      <w:r w:rsidR="00915906" w:rsidRPr="00D13EBB">
        <w:rPr>
          <w:sz w:val="18"/>
          <w:szCs w:val="18"/>
          <w:shd w:val="clear" w:color="auto" w:fill="FFFFFF"/>
        </w:rPr>
        <w:t xml:space="preserve"> </w:t>
      </w:r>
      <w:proofErr w:type="spellStart"/>
      <w:r w:rsidRPr="00D13EBB">
        <w:rPr>
          <w:sz w:val="18"/>
          <w:szCs w:val="18"/>
          <w:shd w:val="clear" w:color="auto" w:fill="FFFFFF"/>
        </w:rPr>
        <w:t>colposuspension</w:t>
      </w:r>
      <w:proofErr w:type="spellEnd"/>
      <w:r w:rsidRPr="00D13EBB">
        <w:rPr>
          <w:sz w:val="18"/>
          <w:szCs w:val="18"/>
          <w:shd w:val="clear" w:color="auto" w:fill="FFFFFF"/>
        </w:rPr>
        <w:t xml:space="preserve"> versus tension-free vaginal tape: A randomized trial, Obstetrics and</w:t>
      </w:r>
      <w:r w:rsidR="00915906" w:rsidRPr="00D13EBB">
        <w:rPr>
          <w:sz w:val="18"/>
          <w:szCs w:val="18"/>
          <w:shd w:val="clear" w:color="auto" w:fill="FFFFFF"/>
        </w:rPr>
        <w:t xml:space="preserve"> </w:t>
      </w:r>
      <w:proofErr w:type="spellStart"/>
      <w:r w:rsidRPr="00D13EBB">
        <w:rPr>
          <w:sz w:val="18"/>
          <w:szCs w:val="18"/>
          <w:shd w:val="clear" w:color="auto" w:fill="FFFFFF"/>
        </w:rPr>
        <w:t>Gynecology</w:t>
      </w:r>
      <w:proofErr w:type="spellEnd"/>
      <w:r w:rsidRPr="00D13EBB">
        <w:rPr>
          <w:sz w:val="18"/>
          <w:szCs w:val="18"/>
          <w:shd w:val="clear" w:color="auto" w:fill="FFFFFF"/>
        </w:rPr>
        <w:t>, 104, 1249-1258, 2004</w:t>
      </w:r>
    </w:p>
    <w:p w14:paraId="02C67D45" w14:textId="77777777" w:rsidR="00BF44D7" w:rsidRPr="00D13EBB" w:rsidRDefault="00BF44D7" w:rsidP="00D13EBB">
      <w:pPr>
        <w:pStyle w:val="BodyText"/>
        <w:spacing w:after="200" w:line="240" w:lineRule="auto"/>
        <w:rPr>
          <w:sz w:val="18"/>
          <w:szCs w:val="18"/>
          <w:shd w:val="clear" w:color="auto" w:fill="FFFFFF"/>
        </w:rPr>
      </w:pPr>
      <w:r w:rsidRPr="00D13EBB">
        <w:rPr>
          <w:sz w:val="18"/>
          <w:szCs w:val="18"/>
          <w:shd w:val="clear" w:color="auto" w:fill="FFFFFF"/>
        </w:rPr>
        <w:t>Persson, J., Teleman, P., Eten-Bergquist, C., Wolner-Hanssen, P., Cost-</w:t>
      </w:r>
      <w:proofErr w:type="spellStart"/>
      <w:r w:rsidRPr="00D13EBB">
        <w:rPr>
          <w:sz w:val="18"/>
          <w:szCs w:val="18"/>
          <w:shd w:val="clear" w:color="auto" w:fill="FFFFFF"/>
        </w:rPr>
        <w:t>analyzes</w:t>
      </w:r>
      <w:proofErr w:type="spellEnd"/>
      <w:r w:rsidRPr="00D13EBB">
        <w:rPr>
          <w:sz w:val="18"/>
          <w:szCs w:val="18"/>
          <w:shd w:val="clear" w:color="auto" w:fill="FFFFFF"/>
        </w:rPr>
        <w:t xml:space="preserve"> based on a prospective, randomized study comparing laparoscopic </w:t>
      </w:r>
      <w:proofErr w:type="spellStart"/>
      <w:r w:rsidRPr="00D13EBB">
        <w:rPr>
          <w:sz w:val="18"/>
          <w:szCs w:val="18"/>
          <w:shd w:val="clear" w:color="auto" w:fill="FFFFFF"/>
        </w:rPr>
        <w:t>colposuspension</w:t>
      </w:r>
      <w:proofErr w:type="spellEnd"/>
      <w:r w:rsidRPr="00D13EBB">
        <w:rPr>
          <w:sz w:val="18"/>
          <w:szCs w:val="18"/>
          <w:shd w:val="clear" w:color="auto" w:fill="FFFFFF"/>
        </w:rPr>
        <w:t xml:space="preserve"> with a tension-free vaginal tape procedure, Acta </w:t>
      </w:r>
      <w:proofErr w:type="spellStart"/>
      <w:r w:rsidRPr="00D13EBB">
        <w:rPr>
          <w:sz w:val="18"/>
          <w:szCs w:val="18"/>
          <w:shd w:val="clear" w:color="auto" w:fill="FFFFFF"/>
        </w:rPr>
        <w:t>obstetricia</w:t>
      </w:r>
      <w:proofErr w:type="spellEnd"/>
      <w:r w:rsidRPr="00D13EBB">
        <w:rPr>
          <w:sz w:val="18"/>
          <w:szCs w:val="18"/>
          <w:shd w:val="clear" w:color="auto" w:fill="FFFFFF"/>
        </w:rPr>
        <w:t xml:space="preserve"> ET </w:t>
      </w:r>
      <w:proofErr w:type="spellStart"/>
      <w:r w:rsidRPr="00D13EBB">
        <w:rPr>
          <w:sz w:val="18"/>
          <w:szCs w:val="18"/>
          <w:shd w:val="clear" w:color="auto" w:fill="FFFFFF"/>
        </w:rPr>
        <w:t>gynecologica</w:t>
      </w:r>
      <w:proofErr w:type="spellEnd"/>
      <w:r w:rsidRPr="00D13EBB">
        <w:rPr>
          <w:sz w:val="18"/>
          <w:szCs w:val="18"/>
          <w:shd w:val="clear" w:color="auto" w:fill="FFFFFF"/>
        </w:rPr>
        <w:t xml:space="preserve"> </w:t>
      </w:r>
      <w:proofErr w:type="spellStart"/>
      <w:r w:rsidRPr="00D13EBB">
        <w:rPr>
          <w:sz w:val="18"/>
          <w:szCs w:val="18"/>
          <w:shd w:val="clear" w:color="auto" w:fill="FFFFFF"/>
        </w:rPr>
        <w:t>scandinavica</w:t>
      </w:r>
      <w:proofErr w:type="spellEnd"/>
      <w:r w:rsidRPr="00D13EBB">
        <w:rPr>
          <w:sz w:val="18"/>
          <w:szCs w:val="18"/>
          <w:shd w:val="clear" w:color="auto" w:fill="FFFFFF"/>
        </w:rPr>
        <w:t>, 81, 1066-1073, 2002</w:t>
      </w:r>
    </w:p>
    <w:p w14:paraId="1D2F0036" w14:textId="36528231" w:rsidR="00B125C1" w:rsidRPr="00D13EBB" w:rsidRDefault="00B125C1" w:rsidP="00D13EBB">
      <w:pPr>
        <w:pStyle w:val="BodyText"/>
        <w:spacing w:after="200" w:line="240" w:lineRule="auto"/>
        <w:rPr>
          <w:sz w:val="18"/>
          <w:szCs w:val="18"/>
          <w:shd w:val="clear" w:color="auto" w:fill="FFFFFF"/>
        </w:rPr>
      </w:pPr>
      <w:proofErr w:type="spellStart"/>
      <w:r w:rsidRPr="00D13EBB">
        <w:rPr>
          <w:sz w:val="18"/>
          <w:szCs w:val="18"/>
        </w:rPr>
        <w:t>Porena</w:t>
      </w:r>
      <w:proofErr w:type="spellEnd"/>
      <w:r w:rsidRPr="00D13EBB">
        <w:rPr>
          <w:sz w:val="18"/>
          <w:szCs w:val="18"/>
        </w:rPr>
        <w:t xml:space="preserve">, M., Costantini, E., Frea, B., </w:t>
      </w:r>
      <w:proofErr w:type="spellStart"/>
      <w:r w:rsidRPr="00D13EBB">
        <w:rPr>
          <w:sz w:val="18"/>
          <w:szCs w:val="18"/>
        </w:rPr>
        <w:t>Giannantoni</w:t>
      </w:r>
      <w:proofErr w:type="spellEnd"/>
      <w:r w:rsidRPr="00D13EBB">
        <w:rPr>
          <w:sz w:val="18"/>
          <w:szCs w:val="18"/>
        </w:rPr>
        <w:t xml:space="preserve">, A., </w:t>
      </w:r>
      <w:proofErr w:type="spellStart"/>
      <w:r w:rsidRPr="00D13EBB">
        <w:rPr>
          <w:sz w:val="18"/>
          <w:szCs w:val="18"/>
        </w:rPr>
        <w:t>Ranzoni</w:t>
      </w:r>
      <w:proofErr w:type="spellEnd"/>
      <w:r w:rsidRPr="00D13EBB">
        <w:rPr>
          <w:sz w:val="18"/>
          <w:szCs w:val="18"/>
        </w:rPr>
        <w:t xml:space="preserve">, S., </w:t>
      </w:r>
      <w:proofErr w:type="spellStart"/>
      <w:r w:rsidRPr="00D13EBB">
        <w:rPr>
          <w:sz w:val="18"/>
          <w:szCs w:val="18"/>
        </w:rPr>
        <w:t>Mearini</w:t>
      </w:r>
      <w:proofErr w:type="spellEnd"/>
      <w:r w:rsidRPr="00D13EBB">
        <w:rPr>
          <w:sz w:val="18"/>
          <w:szCs w:val="18"/>
        </w:rPr>
        <w:t xml:space="preserve">, L., Bini, V., </w:t>
      </w:r>
      <w:proofErr w:type="spellStart"/>
      <w:r w:rsidRPr="00D13EBB">
        <w:rPr>
          <w:sz w:val="18"/>
          <w:szCs w:val="18"/>
        </w:rPr>
        <w:t>Kocjancic</w:t>
      </w:r>
      <w:proofErr w:type="spellEnd"/>
      <w:r w:rsidRPr="00D13EBB">
        <w:rPr>
          <w:sz w:val="18"/>
          <w:szCs w:val="18"/>
        </w:rPr>
        <w:t xml:space="preserve">, E., Tension-free vaginal tape versus </w:t>
      </w:r>
      <w:proofErr w:type="spellStart"/>
      <w:r w:rsidRPr="00D13EBB">
        <w:rPr>
          <w:sz w:val="18"/>
          <w:szCs w:val="18"/>
        </w:rPr>
        <w:t>transobturator</w:t>
      </w:r>
      <w:proofErr w:type="spellEnd"/>
      <w:r w:rsidRPr="00D13EBB">
        <w:rPr>
          <w:sz w:val="18"/>
          <w:szCs w:val="18"/>
        </w:rPr>
        <w:t xml:space="preserve"> tape as surgery for stress urinary incontinence: results of a multicentre randomised trial, European Urology, 52, 1481-1490, 2007</w:t>
      </w:r>
    </w:p>
    <w:p w14:paraId="72445680" w14:textId="0D59DA14" w:rsidR="00CD433B" w:rsidRPr="00D13EBB" w:rsidRDefault="00CD433B" w:rsidP="00D13EBB">
      <w:pPr>
        <w:pStyle w:val="BodyText"/>
        <w:spacing w:after="200" w:line="240" w:lineRule="auto"/>
        <w:rPr>
          <w:sz w:val="18"/>
          <w:szCs w:val="18"/>
        </w:rPr>
      </w:pPr>
      <w:proofErr w:type="spellStart"/>
      <w:r w:rsidRPr="00D13EBB">
        <w:rPr>
          <w:sz w:val="18"/>
          <w:szCs w:val="18"/>
        </w:rPr>
        <w:t>Rechberger</w:t>
      </w:r>
      <w:proofErr w:type="spellEnd"/>
      <w:r w:rsidRPr="00D13EBB">
        <w:rPr>
          <w:sz w:val="18"/>
          <w:szCs w:val="18"/>
        </w:rPr>
        <w:t xml:space="preserve">, T., </w:t>
      </w:r>
      <w:proofErr w:type="spellStart"/>
      <w:r w:rsidRPr="00D13EBB">
        <w:rPr>
          <w:sz w:val="18"/>
          <w:szCs w:val="18"/>
        </w:rPr>
        <w:t>Futyma</w:t>
      </w:r>
      <w:proofErr w:type="spellEnd"/>
      <w:r w:rsidRPr="00D13EBB">
        <w:rPr>
          <w:sz w:val="18"/>
          <w:szCs w:val="18"/>
        </w:rPr>
        <w:t xml:space="preserve">, K., Jankiewicz, K., Adamiak, A., Skorupski, P., The clinical effectiveness of retropubic (IVS-02) and </w:t>
      </w:r>
      <w:proofErr w:type="spellStart"/>
      <w:r w:rsidRPr="00D13EBB">
        <w:rPr>
          <w:sz w:val="18"/>
          <w:szCs w:val="18"/>
        </w:rPr>
        <w:t>transobturator</w:t>
      </w:r>
      <w:proofErr w:type="spellEnd"/>
      <w:r w:rsidRPr="00D13EBB">
        <w:rPr>
          <w:sz w:val="18"/>
          <w:szCs w:val="18"/>
        </w:rPr>
        <w:t xml:space="preserve"> (IVS-04) </w:t>
      </w:r>
      <w:proofErr w:type="spellStart"/>
      <w:r w:rsidRPr="00D13EBB">
        <w:rPr>
          <w:sz w:val="18"/>
          <w:szCs w:val="18"/>
        </w:rPr>
        <w:t>midurethral</w:t>
      </w:r>
      <w:proofErr w:type="spellEnd"/>
      <w:r w:rsidRPr="00D13EBB">
        <w:rPr>
          <w:sz w:val="18"/>
          <w:szCs w:val="18"/>
        </w:rPr>
        <w:t xml:space="preserve"> slings: randomized trial, European Urology, 56, 24-30, 2009</w:t>
      </w:r>
    </w:p>
    <w:p w14:paraId="29AFC1B7" w14:textId="52B818BB" w:rsidR="00FF786F" w:rsidRPr="00D13EBB" w:rsidRDefault="00FF786F" w:rsidP="00D13EBB">
      <w:pPr>
        <w:pStyle w:val="BodyText"/>
        <w:spacing w:after="200" w:line="240" w:lineRule="auto"/>
        <w:rPr>
          <w:sz w:val="18"/>
          <w:szCs w:val="18"/>
        </w:rPr>
      </w:pPr>
      <w:r w:rsidRPr="00D13EBB">
        <w:rPr>
          <w:sz w:val="18"/>
          <w:szCs w:val="18"/>
        </w:rPr>
        <w:t xml:space="preserve">Richter, H. E., Albo, M. E., </w:t>
      </w:r>
      <w:proofErr w:type="spellStart"/>
      <w:r w:rsidRPr="00D13EBB">
        <w:rPr>
          <w:sz w:val="18"/>
          <w:szCs w:val="18"/>
        </w:rPr>
        <w:t>Zyczynski</w:t>
      </w:r>
      <w:proofErr w:type="spellEnd"/>
      <w:r w:rsidRPr="00D13EBB">
        <w:rPr>
          <w:sz w:val="18"/>
          <w:szCs w:val="18"/>
        </w:rPr>
        <w:t xml:space="preserve">, H. M., Kenton, K., Norton, P. A., Sirls, L. T., Kraus, S. R., Chai, T. C., </w:t>
      </w:r>
      <w:proofErr w:type="spellStart"/>
      <w:r w:rsidRPr="00D13EBB">
        <w:rPr>
          <w:sz w:val="18"/>
          <w:szCs w:val="18"/>
        </w:rPr>
        <w:t>Lemack</w:t>
      </w:r>
      <w:proofErr w:type="spellEnd"/>
      <w:r w:rsidRPr="00D13EBB">
        <w:rPr>
          <w:sz w:val="18"/>
          <w:szCs w:val="18"/>
        </w:rPr>
        <w:t xml:space="preserve">, G. E., </w:t>
      </w:r>
      <w:proofErr w:type="spellStart"/>
      <w:r w:rsidRPr="00D13EBB">
        <w:rPr>
          <w:sz w:val="18"/>
          <w:szCs w:val="18"/>
        </w:rPr>
        <w:t>Dandreo</w:t>
      </w:r>
      <w:proofErr w:type="spellEnd"/>
      <w:r w:rsidRPr="00D13EBB">
        <w:rPr>
          <w:sz w:val="18"/>
          <w:szCs w:val="18"/>
        </w:rPr>
        <w:t xml:space="preserve">, K. J., Varner, R. E., Menefee, S., </w:t>
      </w:r>
      <w:proofErr w:type="spellStart"/>
      <w:r w:rsidRPr="00D13EBB">
        <w:rPr>
          <w:sz w:val="18"/>
          <w:szCs w:val="18"/>
        </w:rPr>
        <w:t>Ghetti</w:t>
      </w:r>
      <w:proofErr w:type="spellEnd"/>
      <w:r w:rsidRPr="00D13EBB">
        <w:rPr>
          <w:sz w:val="18"/>
          <w:szCs w:val="18"/>
        </w:rPr>
        <w:t xml:space="preserve">, C., Brubaker, L., Nygaard, I., </w:t>
      </w:r>
      <w:proofErr w:type="spellStart"/>
      <w:r w:rsidRPr="00D13EBB">
        <w:rPr>
          <w:sz w:val="18"/>
          <w:szCs w:val="18"/>
        </w:rPr>
        <w:t>Khandwala</w:t>
      </w:r>
      <w:proofErr w:type="spellEnd"/>
      <w:r w:rsidRPr="00D13EBB">
        <w:rPr>
          <w:sz w:val="18"/>
          <w:szCs w:val="18"/>
        </w:rPr>
        <w:t xml:space="preserve">, S., Rozanski, T. A., Johnson, H., Schaffer, J., Stoddard, A. M., Holley, R. L., Nager, C. W., </w:t>
      </w:r>
      <w:proofErr w:type="spellStart"/>
      <w:r w:rsidRPr="00D13EBB">
        <w:rPr>
          <w:sz w:val="18"/>
          <w:szCs w:val="18"/>
        </w:rPr>
        <w:t>Moalli</w:t>
      </w:r>
      <w:proofErr w:type="spellEnd"/>
      <w:r w:rsidRPr="00D13EBB">
        <w:rPr>
          <w:sz w:val="18"/>
          <w:szCs w:val="18"/>
        </w:rPr>
        <w:t xml:space="preserve">, P., Mueller, E., </w:t>
      </w:r>
      <w:proofErr w:type="spellStart"/>
      <w:r w:rsidRPr="00D13EBB">
        <w:rPr>
          <w:sz w:val="18"/>
          <w:szCs w:val="18"/>
        </w:rPr>
        <w:t>Arisco</w:t>
      </w:r>
      <w:proofErr w:type="spellEnd"/>
      <w:r w:rsidRPr="00D13EBB">
        <w:rPr>
          <w:sz w:val="18"/>
          <w:szCs w:val="18"/>
        </w:rPr>
        <w:t xml:space="preserve">, A. M., Corton, M., </w:t>
      </w:r>
      <w:proofErr w:type="spellStart"/>
      <w:r w:rsidRPr="00D13EBB">
        <w:rPr>
          <w:sz w:val="18"/>
          <w:szCs w:val="18"/>
        </w:rPr>
        <w:t>Tennstedt</w:t>
      </w:r>
      <w:proofErr w:type="spellEnd"/>
      <w:r w:rsidRPr="00D13EBB">
        <w:rPr>
          <w:sz w:val="18"/>
          <w:szCs w:val="18"/>
        </w:rPr>
        <w:t xml:space="preserve">, S., Chang, T. D., Gormley, E. A., Litman, H. J., Retropubic versus </w:t>
      </w:r>
      <w:proofErr w:type="spellStart"/>
      <w:r w:rsidRPr="00D13EBB">
        <w:rPr>
          <w:sz w:val="18"/>
          <w:szCs w:val="18"/>
        </w:rPr>
        <w:t>Transobturator</w:t>
      </w:r>
      <w:proofErr w:type="spellEnd"/>
      <w:r w:rsidRPr="00D13EBB">
        <w:rPr>
          <w:sz w:val="18"/>
          <w:szCs w:val="18"/>
        </w:rPr>
        <w:t xml:space="preserve"> </w:t>
      </w:r>
      <w:proofErr w:type="spellStart"/>
      <w:r w:rsidRPr="00D13EBB">
        <w:rPr>
          <w:sz w:val="18"/>
          <w:szCs w:val="18"/>
        </w:rPr>
        <w:t>Midurethral</w:t>
      </w:r>
      <w:proofErr w:type="spellEnd"/>
      <w:r w:rsidRPr="00D13EBB">
        <w:rPr>
          <w:sz w:val="18"/>
          <w:szCs w:val="18"/>
        </w:rPr>
        <w:t xml:space="preserve"> Slings for Stress Incontinence, New England Journal of Medicine, 362, 2066-2076, 2010</w:t>
      </w:r>
    </w:p>
    <w:p w14:paraId="02789AF6" w14:textId="1B871EA8" w:rsidR="005075FB" w:rsidRPr="00D13EBB" w:rsidRDefault="005075FB" w:rsidP="00D13EBB">
      <w:pPr>
        <w:pStyle w:val="BodyText"/>
        <w:spacing w:after="200" w:line="240" w:lineRule="auto"/>
        <w:rPr>
          <w:sz w:val="18"/>
          <w:szCs w:val="18"/>
          <w:shd w:val="clear" w:color="auto" w:fill="FFFFFF"/>
        </w:rPr>
      </w:pPr>
      <w:r w:rsidRPr="00D13EBB">
        <w:rPr>
          <w:sz w:val="18"/>
          <w:szCs w:val="18"/>
        </w:rPr>
        <w:t xml:space="preserve">Rinne, K., </w:t>
      </w:r>
      <w:proofErr w:type="spellStart"/>
      <w:r w:rsidRPr="00D13EBB">
        <w:rPr>
          <w:sz w:val="18"/>
          <w:szCs w:val="18"/>
        </w:rPr>
        <w:t>Laurikainen</w:t>
      </w:r>
      <w:proofErr w:type="spellEnd"/>
      <w:r w:rsidRPr="00D13EBB">
        <w:rPr>
          <w:sz w:val="18"/>
          <w:szCs w:val="18"/>
        </w:rPr>
        <w:t xml:space="preserve">, E., Kivela, A., </w:t>
      </w:r>
      <w:proofErr w:type="spellStart"/>
      <w:r w:rsidRPr="00D13EBB">
        <w:rPr>
          <w:sz w:val="18"/>
          <w:szCs w:val="18"/>
        </w:rPr>
        <w:t>Aukee</w:t>
      </w:r>
      <w:proofErr w:type="spellEnd"/>
      <w:r w:rsidRPr="00D13EBB">
        <w:rPr>
          <w:sz w:val="18"/>
          <w:szCs w:val="18"/>
        </w:rPr>
        <w:t xml:space="preserve">, P., Takala, T., </w:t>
      </w:r>
      <w:proofErr w:type="spellStart"/>
      <w:r w:rsidRPr="00D13EBB">
        <w:rPr>
          <w:sz w:val="18"/>
          <w:szCs w:val="18"/>
        </w:rPr>
        <w:t>Valpas</w:t>
      </w:r>
      <w:proofErr w:type="spellEnd"/>
      <w:r w:rsidRPr="00D13EBB">
        <w:rPr>
          <w:sz w:val="18"/>
          <w:szCs w:val="18"/>
        </w:rPr>
        <w:t>, A., Nilsson, C. G., A randomized trial comparing TVT with TVT-O: 12-month results, International Urogynecology Journal, 19, 1049-1054, 2008</w:t>
      </w:r>
    </w:p>
    <w:p w14:paraId="6B0171F4" w14:textId="16C3AD7F" w:rsidR="00592DFA" w:rsidRPr="00D13EBB" w:rsidRDefault="00592DFA" w:rsidP="00D13EBB">
      <w:pPr>
        <w:pStyle w:val="BodyText"/>
        <w:spacing w:after="200" w:line="240" w:lineRule="auto"/>
        <w:rPr>
          <w:sz w:val="18"/>
          <w:szCs w:val="18"/>
        </w:rPr>
      </w:pPr>
      <w:r w:rsidRPr="00D13EBB">
        <w:rPr>
          <w:sz w:val="18"/>
          <w:szCs w:val="18"/>
        </w:rPr>
        <w:t xml:space="preserve">Ross, S., Robert, M., Swaby, C., Dederer, L., Lier, D., Tang, S., Brasher, P., Birch, C., </w:t>
      </w:r>
      <w:proofErr w:type="spellStart"/>
      <w:r w:rsidRPr="00D13EBB">
        <w:rPr>
          <w:sz w:val="18"/>
          <w:szCs w:val="18"/>
        </w:rPr>
        <w:t>Cenaiko</w:t>
      </w:r>
      <w:proofErr w:type="spellEnd"/>
      <w:r w:rsidRPr="00D13EBB">
        <w:rPr>
          <w:sz w:val="18"/>
          <w:szCs w:val="18"/>
        </w:rPr>
        <w:t xml:space="preserve">, D., Mainprize, T., Murphy, M., Carlson, K., Baverstock, R., Jacobs, P., Williamson, T., </w:t>
      </w:r>
      <w:proofErr w:type="spellStart"/>
      <w:r w:rsidRPr="00D13EBB">
        <w:rPr>
          <w:sz w:val="18"/>
          <w:szCs w:val="18"/>
        </w:rPr>
        <w:t>Transobturator</w:t>
      </w:r>
      <w:proofErr w:type="spellEnd"/>
      <w:r w:rsidRPr="00D13EBB">
        <w:rPr>
          <w:sz w:val="18"/>
          <w:szCs w:val="18"/>
        </w:rPr>
        <w:t xml:space="preserve"> tape compared with tension-free vaginal tape for stress incontinence: a randomized controlled trial, Obstetrics and </w:t>
      </w:r>
      <w:proofErr w:type="spellStart"/>
      <w:r w:rsidRPr="00D13EBB">
        <w:rPr>
          <w:sz w:val="18"/>
          <w:szCs w:val="18"/>
        </w:rPr>
        <w:t>Gynecology</w:t>
      </w:r>
      <w:proofErr w:type="spellEnd"/>
      <w:r w:rsidRPr="00D13EBB">
        <w:rPr>
          <w:sz w:val="18"/>
          <w:szCs w:val="18"/>
        </w:rPr>
        <w:t>, 114, 1287-1294, 2009</w:t>
      </w:r>
    </w:p>
    <w:p w14:paraId="397AF98A" w14:textId="1E7D4A03" w:rsidR="00AC5AC3" w:rsidRPr="00D13EBB" w:rsidRDefault="00AC5AC3" w:rsidP="00D13EBB">
      <w:pPr>
        <w:pStyle w:val="BodyText"/>
        <w:spacing w:after="200" w:line="240" w:lineRule="auto"/>
        <w:rPr>
          <w:sz w:val="18"/>
          <w:szCs w:val="18"/>
          <w:shd w:val="clear" w:color="auto" w:fill="FFFFFF"/>
        </w:rPr>
      </w:pPr>
      <w:r w:rsidRPr="00D13EBB">
        <w:rPr>
          <w:sz w:val="18"/>
          <w:szCs w:val="18"/>
        </w:rPr>
        <w:t xml:space="preserve">Ross, S., Tang, S., </w:t>
      </w:r>
      <w:proofErr w:type="spellStart"/>
      <w:r w:rsidRPr="00D13EBB">
        <w:rPr>
          <w:sz w:val="18"/>
          <w:szCs w:val="18"/>
        </w:rPr>
        <w:t>Eliasziw</w:t>
      </w:r>
      <w:proofErr w:type="spellEnd"/>
      <w:r w:rsidRPr="00D13EBB">
        <w:rPr>
          <w:sz w:val="18"/>
          <w:szCs w:val="18"/>
        </w:rPr>
        <w:t xml:space="preserve">, M., Lier, D., Girard, I., Brennand, E., Dederer, L., Jacobs, P., Robert, M., </w:t>
      </w:r>
      <w:proofErr w:type="spellStart"/>
      <w:r w:rsidRPr="00D13EBB">
        <w:rPr>
          <w:sz w:val="18"/>
          <w:szCs w:val="18"/>
        </w:rPr>
        <w:t>Transobturator</w:t>
      </w:r>
      <w:proofErr w:type="spellEnd"/>
      <w:r w:rsidRPr="00D13EBB">
        <w:rPr>
          <w:sz w:val="18"/>
          <w:szCs w:val="18"/>
        </w:rPr>
        <w:t xml:space="preserve"> tape versus retropubic tension-free vaginal tape for stress urinary incontinence: 5-year safety and effectiveness outcomes following a randomised trial, International Urogynecology Journal, 27, 879-86, 2016</w:t>
      </w:r>
    </w:p>
    <w:p w14:paraId="6351F645" w14:textId="4F17973F" w:rsidR="009F5F49" w:rsidRPr="00D13EBB" w:rsidRDefault="009F5F49" w:rsidP="00D13EBB">
      <w:pPr>
        <w:pStyle w:val="BodyText"/>
        <w:spacing w:after="200" w:line="240" w:lineRule="auto"/>
        <w:rPr>
          <w:sz w:val="18"/>
          <w:szCs w:val="18"/>
        </w:rPr>
      </w:pPr>
      <w:r w:rsidRPr="00D13EBB">
        <w:rPr>
          <w:sz w:val="18"/>
          <w:szCs w:val="18"/>
        </w:rPr>
        <w:t xml:space="preserve">Scheiner, D. A., Betschart, C., Wiederkehr, S., Seifert, B., Fink, D., </w:t>
      </w:r>
      <w:proofErr w:type="spellStart"/>
      <w:r w:rsidRPr="00D13EBB">
        <w:rPr>
          <w:sz w:val="18"/>
          <w:szCs w:val="18"/>
        </w:rPr>
        <w:t>Perucchini</w:t>
      </w:r>
      <w:proofErr w:type="spellEnd"/>
      <w:r w:rsidRPr="00D13EBB">
        <w:rPr>
          <w:sz w:val="18"/>
          <w:szCs w:val="18"/>
        </w:rPr>
        <w:t xml:space="preserve">, D., Twelve months effect on voiding function of retropubic compared with outside-in and inside-out </w:t>
      </w:r>
      <w:proofErr w:type="spellStart"/>
      <w:r w:rsidRPr="00D13EBB">
        <w:rPr>
          <w:sz w:val="18"/>
          <w:szCs w:val="18"/>
        </w:rPr>
        <w:t>transobturator</w:t>
      </w:r>
      <w:proofErr w:type="spellEnd"/>
      <w:r w:rsidRPr="00D13EBB">
        <w:rPr>
          <w:sz w:val="18"/>
          <w:szCs w:val="18"/>
        </w:rPr>
        <w:t xml:space="preserve"> </w:t>
      </w:r>
      <w:proofErr w:type="spellStart"/>
      <w:r w:rsidRPr="00D13EBB">
        <w:rPr>
          <w:sz w:val="18"/>
          <w:szCs w:val="18"/>
        </w:rPr>
        <w:t>midurethral</w:t>
      </w:r>
      <w:proofErr w:type="spellEnd"/>
      <w:r w:rsidRPr="00D13EBB">
        <w:rPr>
          <w:sz w:val="18"/>
          <w:szCs w:val="18"/>
        </w:rPr>
        <w:t xml:space="preserve"> slings, International urogynecology journal and pelvic floor dysfunction, 23, 197-206, 2012</w:t>
      </w:r>
    </w:p>
    <w:p w14:paraId="226C1CE9" w14:textId="09B7DD97" w:rsidR="004C460F" w:rsidRPr="00D13EBB" w:rsidRDefault="004C460F" w:rsidP="00D13EBB">
      <w:pPr>
        <w:pStyle w:val="BodyText"/>
        <w:spacing w:after="200" w:line="240" w:lineRule="auto"/>
        <w:rPr>
          <w:sz w:val="18"/>
          <w:szCs w:val="18"/>
          <w:shd w:val="clear" w:color="auto" w:fill="FFFFFF"/>
        </w:rPr>
      </w:pPr>
      <w:proofErr w:type="spellStart"/>
      <w:r w:rsidRPr="00D13EBB">
        <w:rPr>
          <w:sz w:val="18"/>
          <w:szCs w:val="18"/>
        </w:rPr>
        <w:t>Schierlitz</w:t>
      </w:r>
      <w:proofErr w:type="spellEnd"/>
      <w:r w:rsidRPr="00D13EBB">
        <w:rPr>
          <w:sz w:val="18"/>
          <w:szCs w:val="18"/>
        </w:rPr>
        <w:t xml:space="preserve">, L., Dwyer, P. L., Rosamilia, A., Murray, C., Thomas, E., De Souza, A., Lim, Y. N., Hiscock, R., Effectiveness of tension-free vaginal tape compared with </w:t>
      </w:r>
      <w:proofErr w:type="spellStart"/>
      <w:r w:rsidRPr="00D13EBB">
        <w:rPr>
          <w:sz w:val="18"/>
          <w:szCs w:val="18"/>
        </w:rPr>
        <w:t>transobturator</w:t>
      </w:r>
      <w:proofErr w:type="spellEnd"/>
      <w:r w:rsidRPr="00D13EBB">
        <w:rPr>
          <w:sz w:val="18"/>
          <w:szCs w:val="18"/>
        </w:rPr>
        <w:t xml:space="preserve"> tape in women with stress urinary incontinence and intrinsic sphincter deficiency: a randomized controlled trial, Obstetrics &amp; </w:t>
      </w:r>
      <w:proofErr w:type="spellStart"/>
      <w:r w:rsidRPr="00D13EBB">
        <w:rPr>
          <w:sz w:val="18"/>
          <w:szCs w:val="18"/>
        </w:rPr>
        <w:t>Gynecology</w:t>
      </w:r>
      <w:proofErr w:type="spellEnd"/>
      <w:r w:rsidRPr="00D13EBB">
        <w:rPr>
          <w:sz w:val="18"/>
          <w:szCs w:val="18"/>
        </w:rPr>
        <w:t>, 112, 1253-61, 2008</w:t>
      </w:r>
    </w:p>
    <w:p w14:paraId="0451F7D3" w14:textId="24EA3B09" w:rsidR="009B399B" w:rsidRPr="00D13EBB" w:rsidRDefault="009B399B" w:rsidP="00D13EBB">
      <w:pPr>
        <w:pStyle w:val="BodyText"/>
        <w:spacing w:after="200" w:line="240" w:lineRule="auto"/>
        <w:rPr>
          <w:sz w:val="18"/>
          <w:szCs w:val="18"/>
          <w:shd w:val="clear" w:color="auto" w:fill="FFFFFF"/>
        </w:rPr>
      </w:pPr>
      <w:proofErr w:type="spellStart"/>
      <w:r w:rsidRPr="00D13EBB">
        <w:rPr>
          <w:sz w:val="18"/>
          <w:szCs w:val="18"/>
        </w:rPr>
        <w:t>Schierlitz</w:t>
      </w:r>
      <w:proofErr w:type="spellEnd"/>
      <w:r w:rsidRPr="00D13EBB">
        <w:rPr>
          <w:sz w:val="18"/>
          <w:szCs w:val="18"/>
        </w:rPr>
        <w:t xml:space="preserve">, L., Dwyer, P. L., Rosamilia, A., Murray, C., Thomas, E., De Souza, A., Hiscock, R., Three-year follow-up of tension-free vaginal tape compared with </w:t>
      </w:r>
      <w:proofErr w:type="spellStart"/>
      <w:r w:rsidRPr="00D13EBB">
        <w:rPr>
          <w:sz w:val="18"/>
          <w:szCs w:val="18"/>
        </w:rPr>
        <w:t>transobturator</w:t>
      </w:r>
      <w:proofErr w:type="spellEnd"/>
      <w:r w:rsidRPr="00D13EBB">
        <w:rPr>
          <w:sz w:val="18"/>
          <w:szCs w:val="18"/>
        </w:rPr>
        <w:t xml:space="preserve"> tape in women with stress urinary incontinence and intrinsic sphincter deficiency, Obstetrics &amp; </w:t>
      </w:r>
      <w:proofErr w:type="spellStart"/>
      <w:r w:rsidRPr="00D13EBB">
        <w:rPr>
          <w:sz w:val="18"/>
          <w:szCs w:val="18"/>
        </w:rPr>
        <w:t>Gynecology</w:t>
      </w:r>
      <w:proofErr w:type="spellEnd"/>
      <w:r w:rsidRPr="00D13EBB">
        <w:rPr>
          <w:sz w:val="18"/>
          <w:szCs w:val="18"/>
        </w:rPr>
        <w:t>, 119, 321-7, 2012</w:t>
      </w:r>
    </w:p>
    <w:p w14:paraId="5A775F13" w14:textId="75F67EE2" w:rsidR="00E61C21" w:rsidRPr="00D13EBB" w:rsidRDefault="00E61C21" w:rsidP="00D13EBB">
      <w:pPr>
        <w:pStyle w:val="BodyText"/>
        <w:spacing w:after="200" w:line="240" w:lineRule="auto"/>
        <w:rPr>
          <w:sz w:val="18"/>
          <w:szCs w:val="18"/>
        </w:rPr>
      </w:pPr>
      <w:proofErr w:type="spellStart"/>
      <w:r w:rsidRPr="00D13EBB">
        <w:rPr>
          <w:sz w:val="18"/>
          <w:szCs w:val="18"/>
        </w:rPr>
        <w:t>Sharifiaghdas</w:t>
      </w:r>
      <w:proofErr w:type="spellEnd"/>
      <w:r w:rsidRPr="00D13EBB">
        <w:rPr>
          <w:sz w:val="18"/>
          <w:szCs w:val="18"/>
        </w:rPr>
        <w:t xml:space="preserve">, F., Mortazavi, N., Tension-free vaginal </w:t>
      </w:r>
      <w:proofErr w:type="gramStart"/>
      <w:r w:rsidRPr="00D13EBB">
        <w:rPr>
          <w:sz w:val="18"/>
          <w:szCs w:val="18"/>
        </w:rPr>
        <w:t>tape</w:t>
      </w:r>
      <w:proofErr w:type="gramEnd"/>
      <w:r w:rsidRPr="00D13EBB">
        <w:rPr>
          <w:sz w:val="18"/>
          <w:szCs w:val="18"/>
        </w:rPr>
        <w:t xml:space="preserve"> and autologous rectus fascia pubovaginal sling for the treatment of urinary stress incontinence: a medium</w:t>
      </w:r>
      <w:r w:rsidR="00526672">
        <w:rPr>
          <w:sz w:val="18"/>
          <w:szCs w:val="18"/>
        </w:rPr>
        <w:t>-</w:t>
      </w:r>
      <w:r w:rsidRPr="00D13EBB">
        <w:rPr>
          <w:sz w:val="18"/>
          <w:szCs w:val="18"/>
        </w:rPr>
        <w:t>term follow-up, Medical Principles and Practice, 17, 209-214, 2008</w:t>
      </w:r>
    </w:p>
    <w:p w14:paraId="2EBB8F10" w14:textId="2B3A09BF" w:rsidR="00E61C21" w:rsidRPr="00D13EBB" w:rsidRDefault="00E66F82" w:rsidP="00D13EBB">
      <w:pPr>
        <w:pStyle w:val="BodyText"/>
        <w:spacing w:after="200" w:line="240" w:lineRule="auto"/>
        <w:rPr>
          <w:sz w:val="18"/>
          <w:szCs w:val="18"/>
          <w:shd w:val="clear" w:color="auto" w:fill="FFFFFF"/>
        </w:rPr>
      </w:pPr>
      <w:proofErr w:type="spellStart"/>
      <w:r w:rsidRPr="00D13EBB">
        <w:rPr>
          <w:sz w:val="18"/>
          <w:szCs w:val="18"/>
        </w:rPr>
        <w:t>Sharifiaghdas</w:t>
      </w:r>
      <w:proofErr w:type="spellEnd"/>
      <w:r w:rsidRPr="00D13EBB">
        <w:rPr>
          <w:sz w:val="18"/>
          <w:szCs w:val="18"/>
        </w:rPr>
        <w:t xml:space="preserve">, F., Mirzaei, M., </w:t>
      </w:r>
      <w:proofErr w:type="spellStart"/>
      <w:r w:rsidRPr="00D13EBB">
        <w:rPr>
          <w:sz w:val="18"/>
          <w:szCs w:val="18"/>
        </w:rPr>
        <w:t>Daneshpajooh</w:t>
      </w:r>
      <w:proofErr w:type="spellEnd"/>
      <w:r w:rsidRPr="00D13EBB">
        <w:rPr>
          <w:sz w:val="18"/>
          <w:szCs w:val="18"/>
        </w:rPr>
        <w:t xml:space="preserve">, A., </w:t>
      </w:r>
      <w:proofErr w:type="spellStart"/>
      <w:r w:rsidRPr="00D13EBB">
        <w:rPr>
          <w:sz w:val="18"/>
          <w:szCs w:val="18"/>
        </w:rPr>
        <w:t>Narouie</w:t>
      </w:r>
      <w:proofErr w:type="spellEnd"/>
      <w:r w:rsidRPr="00D13EBB">
        <w:rPr>
          <w:sz w:val="18"/>
          <w:szCs w:val="18"/>
        </w:rPr>
        <w:t xml:space="preserve">, B., Long-term results of tension-free vaginal tape and pubovaginal sling in the treatment of stress urinary incontinence in female patients, Clinical and Experimental Obstetrics and </w:t>
      </w:r>
      <w:proofErr w:type="spellStart"/>
      <w:r w:rsidRPr="00D13EBB">
        <w:rPr>
          <w:sz w:val="18"/>
          <w:szCs w:val="18"/>
        </w:rPr>
        <w:t>Gynecology</w:t>
      </w:r>
      <w:proofErr w:type="spellEnd"/>
      <w:r w:rsidRPr="00D13EBB">
        <w:rPr>
          <w:sz w:val="18"/>
          <w:szCs w:val="18"/>
        </w:rPr>
        <w:t>, 44, 44-47, 2017</w:t>
      </w:r>
    </w:p>
    <w:p w14:paraId="08E39687" w14:textId="6BDDED5F" w:rsidR="002D6669" w:rsidRPr="00D13EBB" w:rsidRDefault="002D6669" w:rsidP="00D13EBB">
      <w:pPr>
        <w:pStyle w:val="BodyText"/>
        <w:spacing w:after="200" w:line="240" w:lineRule="auto"/>
        <w:rPr>
          <w:sz w:val="18"/>
          <w:szCs w:val="18"/>
        </w:rPr>
      </w:pPr>
      <w:r w:rsidRPr="00D13EBB">
        <w:rPr>
          <w:sz w:val="18"/>
          <w:szCs w:val="18"/>
        </w:rPr>
        <w:t xml:space="preserve">Shirvan, M. K., Rahimi, H. R., Darabi Mahboub, M. R., Sheikhi, Z., Tension-free vaginal tape versus </w:t>
      </w:r>
      <w:proofErr w:type="spellStart"/>
      <w:r w:rsidRPr="00D13EBB">
        <w:rPr>
          <w:sz w:val="18"/>
          <w:szCs w:val="18"/>
        </w:rPr>
        <w:t>transobturator</w:t>
      </w:r>
      <w:proofErr w:type="spellEnd"/>
      <w:r w:rsidRPr="00D13EBB">
        <w:rPr>
          <w:sz w:val="18"/>
          <w:szCs w:val="18"/>
        </w:rPr>
        <w:t xml:space="preserve"> tape for treatment of stress urinary incontinence: A comparative randomized clinical trial study, Urological Science, 25, 54-57, 2014</w:t>
      </w:r>
    </w:p>
    <w:p w14:paraId="554AD7AA" w14:textId="77777777" w:rsidR="002D6669" w:rsidRPr="00D13EBB" w:rsidRDefault="002D6669" w:rsidP="00D13EBB">
      <w:pPr>
        <w:pStyle w:val="BodyText"/>
        <w:spacing w:after="200" w:line="240" w:lineRule="auto"/>
        <w:rPr>
          <w:sz w:val="18"/>
          <w:szCs w:val="18"/>
          <w:shd w:val="clear" w:color="auto" w:fill="FFFFFF"/>
        </w:rPr>
      </w:pPr>
      <w:proofErr w:type="spellStart"/>
      <w:r w:rsidRPr="00D13EBB">
        <w:rPr>
          <w:sz w:val="18"/>
          <w:szCs w:val="18"/>
          <w:shd w:val="clear" w:color="auto" w:fill="FFFFFF"/>
        </w:rPr>
        <w:t>Sivaslioglu</w:t>
      </w:r>
      <w:proofErr w:type="spellEnd"/>
      <w:r w:rsidRPr="00D13EBB">
        <w:rPr>
          <w:sz w:val="18"/>
          <w:szCs w:val="18"/>
          <w:shd w:val="clear" w:color="auto" w:fill="FFFFFF"/>
        </w:rPr>
        <w:t xml:space="preserve">, A. A., Caliskan, E., Dolen, I., </w:t>
      </w:r>
      <w:proofErr w:type="spellStart"/>
      <w:r w:rsidRPr="00D13EBB">
        <w:rPr>
          <w:sz w:val="18"/>
          <w:szCs w:val="18"/>
          <w:shd w:val="clear" w:color="auto" w:fill="FFFFFF"/>
        </w:rPr>
        <w:t>Haberal</w:t>
      </w:r>
      <w:proofErr w:type="spellEnd"/>
      <w:r w:rsidRPr="00D13EBB">
        <w:rPr>
          <w:sz w:val="18"/>
          <w:szCs w:val="18"/>
          <w:shd w:val="clear" w:color="auto" w:fill="FFFFFF"/>
        </w:rPr>
        <w:t xml:space="preserve">, A., A randomized comparison of </w:t>
      </w:r>
      <w:proofErr w:type="spellStart"/>
      <w:r w:rsidRPr="00D13EBB">
        <w:rPr>
          <w:sz w:val="18"/>
          <w:szCs w:val="18"/>
          <w:shd w:val="clear" w:color="auto" w:fill="FFFFFF"/>
        </w:rPr>
        <w:t>transobturator</w:t>
      </w:r>
      <w:proofErr w:type="spellEnd"/>
      <w:r w:rsidRPr="00D13EBB">
        <w:rPr>
          <w:sz w:val="18"/>
          <w:szCs w:val="18"/>
          <w:shd w:val="clear" w:color="auto" w:fill="FFFFFF"/>
        </w:rPr>
        <w:t xml:space="preserve"> tape and Burch </w:t>
      </w:r>
      <w:proofErr w:type="spellStart"/>
      <w:r w:rsidRPr="00D13EBB">
        <w:rPr>
          <w:sz w:val="18"/>
          <w:szCs w:val="18"/>
          <w:shd w:val="clear" w:color="auto" w:fill="FFFFFF"/>
        </w:rPr>
        <w:t>colposuspension</w:t>
      </w:r>
      <w:proofErr w:type="spellEnd"/>
      <w:r w:rsidRPr="00D13EBB">
        <w:rPr>
          <w:sz w:val="18"/>
          <w:szCs w:val="18"/>
          <w:shd w:val="clear" w:color="auto" w:fill="FFFFFF"/>
        </w:rPr>
        <w:t xml:space="preserve"> in the treatment of female stress urinary incontinence, International Urogynecology Journal, 18, 1015-1019, 2007</w:t>
      </w:r>
    </w:p>
    <w:p w14:paraId="5183B3DD" w14:textId="0C6EABA6" w:rsidR="00B27687" w:rsidRPr="00D13EBB" w:rsidRDefault="00B27687" w:rsidP="00D13EBB">
      <w:pPr>
        <w:pStyle w:val="BodyText"/>
        <w:spacing w:after="200" w:line="240" w:lineRule="auto"/>
        <w:rPr>
          <w:sz w:val="18"/>
          <w:szCs w:val="18"/>
        </w:rPr>
      </w:pPr>
      <w:proofErr w:type="spellStart"/>
      <w:r w:rsidRPr="00D13EBB">
        <w:rPr>
          <w:sz w:val="18"/>
          <w:szCs w:val="18"/>
        </w:rPr>
        <w:t>Tammaa</w:t>
      </w:r>
      <w:proofErr w:type="spellEnd"/>
      <w:r w:rsidRPr="00D13EBB">
        <w:rPr>
          <w:sz w:val="18"/>
          <w:szCs w:val="18"/>
        </w:rPr>
        <w:t xml:space="preserve">, A., </w:t>
      </w:r>
      <w:proofErr w:type="spellStart"/>
      <w:r w:rsidRPr="00D13EBB">
        <w:rPr>
          <w:sz w:val="18"/>
          <w:szCs w:val="18"/>
        </w:rPr>
        <w:t>Aigmuller</w:t>
      </w:r>
      <w:proofErr w:type="spellEnd"/>
      <w:r w:rsidRPr="00D13EBB">
        <w:rPr>
          <w:sz w:val="18"/>
          <w:szCs w:val="18"/>
        </w:rPr>
        <w:t xml:space="preserve">, T., Hanzal, E., Umek, W., </w:t>
      </w:r>
      <w:proofErr w:type="spellStart"/>
      <w:r w:rsidRPr="00D13EBB">
        <w:rPr>
          <w:sz w:val="18"/>
          <w:szCs w:val="18"/>
        </w:rPr>
        <w:t>Kropshofer</w:t>
      </w:r>
      <w:proofErr w:type="spellEnd"/>
      <w:r w:rsidRPr="00D13EBB">
        <w:rPr>
          <w:sz w:val="18"/>
          <w:szCs w:val="18"/>
        </w:rPr>
        <w:t xml:space="preserve">, S., Lang, P. F. J., Ralph, G., Riss, P., Koelle, D., Jundt, K., </w:t>
      </w:r>
      <w:proofErr w:type="spellStart"/>
      <w:r w:rsidRPr="00D13EBB">
        <w:rPr>
          <w:sz w:val="18"/>
          <w:szCs w:val="18"/>
        </w:rPr>
        <w:t>Tamussino</w:t>
      </w:r>
      <w:proofErr w:type="spellEnd"/>
      <w:r w:rsidRPr="00D13EBB">
        <w:rPr>
          <w:sz w:val="18"/>
          <w:szCs w:val="18"/>
        </w:rPr>
        <w:t xml:space="preserve">, K., </w:t>
      </w:r>
      <w:proofErr w:type="spellStart"/>
      <w:r w:rsidRPr="00D13EBB">
        <w:rPr>
          <w:sz w:val="18"/>
          <w:szCs w:val="18"/>
        </w:rPr>
        <w:t>Bjelic</w:t>
      </w:r>
      <w:proofErr w:type="spellEnd"/>
      <w:r w:rsidRPr="00D13EBB">
        <w:rPr>
          <w:sz w:val="18"/>
          <w:szCs w:val="18"/>
        </w:rPr>
        <w:t xml:space="preserve">-Radisic, V., Austrian Urogynecology Working, Group, Retropubic versus </w:t>
      </w:r>
      <w:proofErr w:type="spellStart"/>
      <w:r w:rsidRPr="00D13EBB">
        <w:rPr>
          <w:sz w:val="18"/>
          <w:szCs w:val="18"/>
        </w:rPr>
        <w:t>transobturator</w:t>
      </w:r>
      <w:proofErr w:type="spellEnd"/>
      <w:r w:rsidRPr="00D13EBB">
        <w:rPr>
          <w:sz w:val="18"/>
          <w:szCs w:val="18"/>
        </w:rPr>
        <w:t xml:space="preserve"> tension-free vaginal tape (TVT vs TVT-O): Five-year results of the Austrian randomized trial, </w:t>
      </w:r>
      <w:proofErr w:type="spellStart"/>
      <w:r w:rsidRPr="00D13EBB">
        <w:rPr>
          <w:sz w:val="18"/>
          <w:szCs w:val="18"/>
        </w:rPr>
        <w:t>Neurourology</w:t>
      </w:r>
      <w:proofErr w:type="spellEnd"/>
      <w:r w:rsidRPr="00D13EBB">
        <w:rPr>
          <w:sz w:val="18"/>
          <w:szCs w:val="18"/>
        </w:rPr>
        <w:t xml:space="preserve"> &amp; Urodynamics</w:t>
      </w:r>
      <w:r w:rsidR="00526672">
        <w:rPr>
          <w:sz w:val="18"/>
          <w:szCs w:val="18"/>
        </w:rPr>
        <w:t xml:space="preserve"> </w:t>
      </w:r>
      <w:proofErr w:type="spellStart"/>
      <w:r w:rsidRPr="00D13EBB">
        <w:rPr>
          <w:sz w:val="18"/>
          <w:szCs w:val="18"/>
        </w:rPr>
        <w:t>Neurourol</w:t>
      </w:r>
      <w:proofErr w:type="spellEnd"/>
      <w:r w:rsidRPr="00D13EBB">
        <w:rPr>
          <w:sz w:val="18"/>
          <w:szCs w:val="18"/>
        </w:rPr>
        <w:t xml:space="preserve"> </w:t>
      </w:r>
      <w:proofErr w:type="spellStart"/>
      <w:r w:rsidRPr="00D13EBB">
        <w:rPr>
          <w:sz w:val="18"/>
          <w:szCs w:val="18"/>
        </w:rPr>
        <w:t>Urodyn</w:t>
      </w:r>
      <w:proofErr w:type="spellEnd"/>
      <w:r w:rsidRPr="00D13EBB">
        <w:rPr>
          <w:sz w:val="18"/>
          <w:szCs w:val="18"/>
        </w:rPr>
        <w:t>, 02, 02, 2017</w:t>
      </w:r>
    </w:p>
    <w:p w14:paraId="05B1A9BF" w14:textId="0C037F25" w:rsidR="00C77679" w:rsidRPr="00D13EBB" w:rsidRDefault="00C77679" w:rsidP="00D13EBB">
      <w:pPr>
        <w:pStyle w:val="BodyText"/>
        <w:spacing w:after="200" w:line="240" w:lineRule="auto"/>
        <w:rPr>
          <w:sz w:val="18"/>
          <w:szCs w:val="18"/>
        </w:rPr>
      </w:pPr>
      <w:proofErr w:type="spellStart"/>
      <w:r w:rsidRPr="00D13EBB">
        <w:rPr>
          <w:sz w:val="18"/>
          <w:szCs w:val="18"/>
        </w:rPr>
        <w:lastRenderedPageBreak/>
        <w:t>Tanuri</w:t>
      </w:r>
      <w:proofErr w:type="spellEnd"/>
      <w:r w:rsidRPr="00D13EBB">
        <w:rPr>
          <w:sz w:val="18"/>
          <w:szCs w:val="18"/>
        </w:rPr>
        <w:t xml:space="preserve">, A. L., Feldner, P. C., Jr., Bella, Z. I., Castro, R. A., Sartori, M. G., Girao, M. J., [Retropubic and </w:t>
      </w:r>
      <w:proofErr w:type="spellStart"/>
      <w:r w:rsidRPr="00D13EBB">
        <w:rPr>
          <w:sz w:val="18"/>
          <w:szCs w:val="18"/>
        </w:rPr>
        <w:t>transobturator</w:t>
      </w:r>
      <w:proofErr w:type="spellEnd"/>
      <w:r w:rsidRPr="00D13EBB">
        <w:rPr>
          <w:sz w:val="18"/>
          <w:szCs w:val="18"/>
        </w:rPr>
        <w:t xml:space="preserve"> sling in treatment of stress urinary incontinence], </w:t>
      </w:r>
      <w:proofErr w:type="spellStart"/>
      <w:r w:rsidRPr="00D13EBB">
        <w:rPr>
          <w:sz w:val="18"/>
          <w:szCs w:val="18"/>
        </w:rPr>
        <w:t>Revista</w:t>
      </w:r>
      <w:proofErr w:type="spellEnd"/>
      <w:r w:rsidRPr="00D13EBB">
        <w:rPr>
          <w:sz w:val="18"/>
          <w:szCs w:val="18"/>
        </w:rPr>
        <w:t xml:space="preserve"> Da </w:t>
      </w:r>
      <w:proofErr w:type="spellStart"/>
      <w:r w:rsidRPr="00D13EBB">
        <w:rPr>
          <w:sz w:val="18"/>
          <w:szCs w:val="18"/>
        </w:rPr>
        <w:t>Associacao</w:t>
      </w:r>
      <w:proofErr w:type="spellEnd"/>
      <w:r w:rsidRPr="00D13EBB">
        <w:rPr>
          <w:sz w:val="18"/>
          <w:szCs w:val="18"/>
        </w:rPr>
        <w:t xml:space="preserve"> Medica Brasileira, 56, 348-54, 2010</w:t>
      </w:r>
    </w:p>
    <w:p w14:paraId="3530BFED" w14:textId="4A1A65C3" w:rsidR="00416667" w:rsidRPr="00D13EBB" w:rsidRDefault="00416667" w:rsidP="00D13EBB">
      <w:pPr>
        <w:pStyle w:val="BodyText"/>
        <w:spacing w:after="200" w:line="240" w:lineRule="auto"/>
        <w:rPr>
          <w:sz w:val="18"/>
          <w:szCs w:val="18"/>
        </w:rPr>
      </w:pPr>
      <w:proofErr w:type="spellStart"/>
      <w:r w:rsidRPr="00D13EBB">
        <w:rPr>
          <w:sz w:val="18"/>
          <w:szCs w:val="18"/>
        </w:rPr>
        <w:t>Tarcan</w:t>
      </w:r>
      <w:proofErr w:type="spellEnd"/>
      <w:r w:rsidRPr="00D13EBB">
        <w:rPr>
          <w:sz w:val="18"/>
          <w:szCs w:val="18"/>
        </w:rPr>
        <w:t xml:space="preserve">, T., </w:t>
      </w:r>
      <w:proofErr w:type="spellStart"/>
      <w:r w:rsidRPr="00D13EBB">
        <w:rPr>
          <w:sz w:val="18"/>
          <w:szCs w:val="18"/>
        </w:rPr>
        <w:t>Mangir</w:t>
      </w:r>
      <w:proofErr w:type="spellEnd"/>
      <w:r w:rsidRPr="00D13EBB">
        <w:rPr>
          <w:sz w:val="18"/>
          <w:szCs w:val="18"/>
        </w:rPr>
        <w:t xml:space="preserve">, N., Sahan, A., </w:t>
      </w:r>
      <w:proofErr w:type="spellStart"/>
      <w:r w:rsidRPr="00D13EBB">
        <w:rPr>
          <w:sz w:val="18"/>
          <w:szCs w:val="18"/>
        </w:rPr>
        <w:t>Tanidir</w:t>
      </w:r>
      <w:proofErr w:type="spellEnd"/>
      <w:r w:rsidRPr="00D13EBB">
        <w:rPr>
          <w:sz w:val="18"/>
          <w:szCs w:val="18"/>
        </w:rPr>
        <w:t xml:space="preserve">, Y., </w:t>
      </w:r>
      <w:proofErr w:type="spellStart"/>
      <w:r w:rsidRPr="00D13EBB">
        <w:rPr>
          <w:sz w:val="18"/>
          <w:szCs w:val="18"/>
        </w:rPr>
        <w:t>Sulukaya</w:t>
      </w:r>
      <w:proofErr w:type="spellEnd"/>
      <w:r w:rsidRPr="00D13EBB">
        <w:rPr>
          <w:sz w:val="18"/>
          <w:szCs w:val="18"/>
        </w:rPr>
        <w:t xml:space="preserve">, M., Ilker, Y., </w:t>
      </w:r>
      <w:proofErr w:type="gramStart"/>
      <w:r w:rsidRPr="00D13EBB">
        <w:rPr>
          <w:sz w:val="18"/>
          <w:szCs w:val="18"/>
        </w:rPr>
        <w:t>Safety</w:t>
      </w:r>
      <w:proofErr w:type="gramEnd"/>
      <w:r w:rsidRPr="00D13EBB">
        <w:rPr>
          <w:sz w:val="18"/>
          <w:szCs w:val="18"/>
        </w:rPr>
        <w:t xml:space="preserve"> and efficacy of retropubic or </w:t>
      </w:r>
      <w:proofErr w:type="spellStart"/>
      <w:r w:rsidRPr="00D13EBB">
        <w:rPr>
          <w:sz w:val="18"/>
          <w:szCs w:val="18"/>
        </w:rPr>
        <w:t>transobturator</w:t>
      </w:r>
      <w:proofErr w:type="spellEnd"/>
      <w:r w:rsidRPr="00D13EBB">
        <w:rPr>
          <w:sz w:val="18"/>
          <w:szCs w:val="18"/>
        </w:rPr>
        <w:t xml:space="preserve"> </w:t>
      </w:r>
      <w:proofErr w:type="spellStart"/>
      <w:r w:rsidRPr="00D13EBB">
        <w:rPr>
          <w:sz w:val="18"/>
          <w:szCs w:val="18"/>
        </w:rPr>
        <w:t>midurethral</w:t>
      </w:r>
      <w:proofErr w:type="spellEnd"/>
      <w:r w:rsidRPr="00D13EBB">
        <w:rPr>
          <w:sz w:val="18"/>
          <w:szCs w:val="18"/>
        </w:rPr>
        <w:t xml:space="preserve"> slings in a randomized cohort of Turkish women, </w:t>
      </w:r>
      <w:proofErr w:type="spellStart"/>
      <w:r w:rsidRPr="00D13EBB">
        <w:rPr>
          <w:sz w:val="18"/>
          <w:szCs w:val="18"/>
        </w:rPr>
        <w:t>Urologia</w:t>
      </w:r>
      <w:proofErr w:type="spellEnd"/>
      <w:r w:rsidRPr="00D13EBB">
        <w:rPr>
          <w:sz w:val="18"/>
          <w:szCs w:val="18"/>
        </w:rPr>
        <w:t xml:space="preserve"> Internationalis, 93, 449-53, 2014</w:t>
      </w:r>
    </w:p>
    <w:p w14:paraId="59DF4D12" w14:textId="65BCE7E5" w:rsidR="0079058F" w:rsidRPr="00D13EBB" w:rsidRDefault="0079058F" w:rsidP="00D13EBB">
      <w:pPr>
        <w:pStyle w:val="BodyText"/>
        <w:spacing w:after="200" w:line="240" w:lineRule="auto"/>
        <w:rPr>
          <w:sz w:val="18"/>
          <w:szCs w:val="18"/>
          <w:shd w:val="clear" w:color="auto" w:fill="FFFFFF"/>
        </w:rPr>
      </w:pPr>
      <w:proofErr w:type="spellStart"/>
      <w:r w:rsidRPr="00D13EBB">
        <w:rPr>
          <w:sz w:val="18"/>
          <w:szCs w:val="18"/>
        </w:rPr>
        <w:t>Teleb</w:t>
      </w:r>
      <w:proofErr w:type="spellEnd"/>
      <w:r w:rsidRPr="00D13EBB">
        <w:rPr>
          <w:sz w:val="18"/>
          <w:szCs w:val="18"/>
        </w:rPr>
        <w:t xml:space="preserve">, M., Salem, E. A., Naguib, M., Kamel, M., Hasan, U., </w:t>
      </w:r>
      <w:proofErr w:type="spellStart"/>
      <w:r w:rsidRPr="00D13EBB">
        <w:rPr>
          <w:sz w:val="18"/>
          <w:szCs w:val="18"/>
        </w:rPr>
        <w:t>Elfayoumi</w:t>
      </w:r>
      <w:proofErr w:type="spellEnd"/>
      <w:r w:rsidRPr="00D13EBB">
        <w:rPr>
          <w:sz w:val="18"/>
          <w:szCs w:val="18"/>
        </w:rPr>
        <w:t xml:space="preserve">, A. R., Kamel, H. M., El </w:t>
      </w:r>
      <w:proofErr w:type="spellStart"/>
      <w:r w:rsidRPr="00D13EBB">
        <w:rPr>
          <w:sz w:val="18"/>
          <w:szCs w:val="18"/>
        </w:rPr>
        <w:t>Adl</w:t>
      </w:r>
      <w:proofErr w:type="spellEnd"/>
      <w:r w:rsidRPr="00D13EBB">
        <w:rPr>
          <w:sz w:val="18"/>
          <w:szCs w:val="18"/>
        </w:rPr>
        <w:t>, M., Evaluation of transvaginal slings using different materials in the management of female stress urinary incontinence, Arab Journal of Urology, 9, 283- 287, 2011</w:t>
      </w:r>
    </w:p>
    <w:p w14:paraId="7B79239E" w14:textId="77777777" w:rsidR="0092728B" w:rsidRPr="00D13EBB" w:rsidRDefault="0092728B" w:rsidP="00D13EBB">
      <w:pPr>
        <w:pStyle w:val="BodyText"/>
        <w:spacing w:after="200" w:line="240" w:lineRule="auto"/>
        <w:rPr>
          <w:sz w:val="18"/>
          <w:szCs w:val="18"/>
        </w:rPr>
      </w:pPr>
      <w:r w:rsidRPr="00D13EBB">
        <w:rPr>
          <w:sz w:val="18"/>
          <w:szCs w:val="18"/>
        </w:rPr>
        <w:t xml:space="preserve">Teo, R., Moran, P., Mayne, C., </w:t>
      </w:r>
      <w:proofErr w:type="spellStart"/>
      <w:r w:rsidRPr="00D13EBB">
        <w:rPr>
          <w:sz w:val="18"/>
          <w:szCs w:val="18"/>
        </w:rPr>
        <w:t>Tincello</w:t>
      </w:r>
      <w:proofErr w:type="spellEnd"/>
      <w:r w:rsidRPr="00D13EBB">
        <w:rPr>
          <w:sz w:val="18"/>
          <w:szCs w:val="18"/>
        </w:rPr>
        <w:t>, D., Randomized trial of tension-free vaginal tape and tension-free vaginal tape-obturator for urodynamic stress incontinence in women, Journal of Urology, 185, 1350-1355, 2011</w:t>
      </w:r>
    </w:p>
    <w:p w14:paraId="193A5A8E" w14:textId="5A170E50" w:rsidR="00915906" w:rsidRPr="00D13EBB" w:rsidRDefault="005C75BF" w:rsidP="00D13EBB">
      <w:pPr>
        <w:pStyle w:val="BodyText"/>
        <w:spacing w:after="200" w:line="240" w:lineRule="auto"/>
        <w:rPr>
          <w:sz w:val="18"/>
          <w:szCs w:val="18"/>
        </w:rPr>
      </w:pPr>
      <w:r w:rsidRPr="00D13EBB">
        <w:rPr>
          <w:sz w:val="18"/>
          <w:szCs w:val="18"/>
          <w:shd w:val="clear" w:color="auto" w:fill="FFFFFF"/>
        </w:rPr>
        <w:t>Trabuco, E. C., Klingele, C. J., Blandon, R. E., Occhino, J. A., Weaver, A. L.,</w:t>
      </w:r>
      <w:r w:rsidR="00B93E28" w:rsidRPr="00D13EBB">
        <w:rPr>
          <w:sz w:val="18"/>
          <w:szCs w:val="18"/>
          <w:shd w:val="clear" w:color="auto" w:fill="FFFFFF"/>
        </w:rPr>
        <w:t xml:space="preserve"> </w:t>
      </w:r>
      <w:r w:rsidRPr="00D13EBB">
        <w:rPr>
          <w:sz w:val="18"/>
          <w:szCs w:val="18"/>
          <w:shd w:val="clear" w:color="auto" w:fill="FFFFFF"/>
        </w:rPr>
        <w:t>McGree, M. E., Lemens, M. A., Gebhart, J. B., Burch Retropubic Urethropexy</w:t>
      </w:r>
      <w:r w:rsidR="00B93E28" w:rsidRPr="00D13EBB">
        <w:rPr>
          <w:sz w:val="18"/>
          <w:szCs w:val="18"/>
          <w:shd w:val="clear" w:color="auto" w:fill="FFFFFF"/>
        </w:rPr>
        <w:t xml:space="preserve"> </w:t>
      </w:r>
      <w:r w:rsidR="00B93E28" w:rsidRPr="00D13EBB">
        <w:rPr>
          <w:sz w:val="18"/>
          <w:szCs w:val="18"/>
        </w:rPr>
        <w:t xml:space="preserve">Compared With </w:t>
      </w:r>
      <w:proofErr w:type="spellStart"/>
      <w:r w:rsidR="00B93E28" w:rsidRPr="00D13EBB">
        <w:rPr>
          <w:sz w:val="18"/>
          <w:szCs w:val="18"/>
        </w:rPr>
        <w:t>Midurethral</w:t>
      </w:r>
      <w:proofErr w:type="spellEnd"/>
      <w:r w:rsidR="00B93E28" w:rsidRPr="00D13EBB">
        <w:rPr>
          <w:sz w:val="18"/>
          <w:szCs w:val="18"/>
        </w:rPr>
        <w:t xml:space="preserve"> Sling With Concurrent </w:t>
      </w:r>
      <w:proofErr w:type="spellStart"/>
      <w:r w:rsidR="00B93E28" w:rsidRPr="00D13EBB">
        <w:rPr>
          <w:sz w:val="18"/>
          <w:szCs w:val="18"/>
        </w:rPr>
        <w:t>Sacrocolpopexy</w:t>
      </w:r>
      <w:proofErr w:type="spellEnd"/>
      <w:r w:rsidR="00B93E28" w:rsidRPr="00D13EBB">
        <w:rPr>
          <w:sz w:val="18"/>
          <w:szCs w:val="18"/>
        </w:rPr>
        <w:t xml:space="preserve">: A Randomized Controlled Trial, Obstetrics &amp; </w:t>
      </w:r>
      <w:proofErr w:type="spellStart"/>
      <w:r w:rsidR="00B93E28" w:rsidRPr="00D13EBB">
        <w:rPr>
          <w:sz w:val="18"/>
          <w:szCs w:val="18"/>
        </w:rPr>
        <w:t>Gynecology</w:t>
      </w:r>
      <w:proofErr w:type="spellEnd"/>
      <w:r w:rsidR="00B93E28" w:rsidRPr="00D13EBB">
        <w:rPr>
          <w:sz w:val="18"/>
          <w:szCs w:val="18"/>
        </w:rPr>
        <w:t>, 128, 828-35, 2016</w:t>
      </w:r>
    </w:p>
    <w:p w14:paraId="7E3A7C88" w14:textId="6A2C5DA4" w:rsidR="00B93E28" w:rsidRPr="00D13EBB" w:rsidRDefault="00984776" w:rsidP="00D13EBB">
      <w:pPr>
        <w:pStyle w:val="BodyText"/>
        <w:spacing w:after="200" w:line="240" w:lineRule="auto"/>
        <w:rPr>
          <w:sz w:val="18"/>
          <w:szCs w:val="18"/>
          <w:shd w:val="clear" w:color="auto" w:fill="FFFFFF"/>
        </w:rPr>
      </w:pPr>
      <w:r w:rsidRPr="00D13EBB">
        <w:rPr>
          <w:sz w:val="18"/>
          <w:szCs w:val="18"/>
          <w:shd w:val="clear" w:color="auto" w:fill="FFFFFF"/>
        </w:rPr>
        <w:t xml:space="preserve">Trabuco, E. C., Linder, B. J., Klingele, C. J., Blandon, R. E., Occhino, J. A., Weaver, A. L., McGree, M. E., Gebhart, J. B., Two-Year Results of Burch Compared With </w:t>
      </w:r>
      <w:proofErr w:type="spellStart"/>
      <w:r w:rsidRPr="00D13EBB">
        <w:rPr>
          <w:sz w:val="18"/>
          <w:szCs w:val="18"/>
          <w:shd w:val="clear" w:color="auto" w:fill="FFFFFF"/>
        </w:rPr>
        <w:t>Midurethral</w:t>
      </w:r>
      <w:proofErr w:type="spellEnd"/>
      <w:r w:rsidRPr="00D13EBB">
        <w:rPr>
          <w:sz w:val="18"/>
          <w:szCs w:val="18"/>
          <w:shd w:val="clear" w:color="auto" w:fill="FFFFFF"/>
        </w:rPr>
        <w:t xml:space="preserve"> Sling With </w:t>
      </w:r>
      <w:proofErr w:type="spellStart"/>
      <w:r w:rsidRPr="00D13EBB">
        <w:rPr>
          <w:sz w:val="18"/>
          <w:szCs w:val="18"/>
          <w:shd w:val="clear" w:color="auto" w:fill="FFFFFF"/>
        </w:rPr>
        <w:t>Sacrocolpopexy</w:t>
      </w:r>
      <w:proofErr w:type="spellEnd"/>
      <w:r w:rsidRPr="00D13EBB">
        <w:rPr>
          <w:sz w:val="18"/>
          <w:szCs w:val="18"/>
          <w:shd w:val="clear" w:color="auto" w:fill="FFFFFF"/>
        </w:rPr>
        <w:t xml:space="preserve">: A Randomized Controlled Trial, </w:t>
      </w:r>
      <w:proofErr w:type="gramStart"/>
      <w:r w:rsidRPr="00D13EBB">
        <w:rPr>
          <w:sz w:val="18"/>
          <w:szCs w:val="18"/>
          <w:shd w:val="clear" w:color="auto" w:fill="FFFFFF"/>
        </w:rPr>
        <w:t>Obstetrics</w:t>
      </w:r>
      <w:proofErr w:type="gramEnd"/>
      <w:r w:rsidRPr="00D13EBB">
        <w:rPr>
          <w:sz w:val="18"/>
          <w:szCs w:val="18"/>
          <w:shd w:val="clear" w:color="auto" w:fill="FFFFFF"/>
        </w:rPr>
        <w:t xml:space="preserve"> and </w:t>
      </w:r>
      <w:proofErr w:type="spellStart"/>
      <w:r w:rsidRPr="00D13EBB">
        <w:rPr>
          <w:sz w:val="18"/>
          <w:szCs w:val="18"/>
          <w:shd w:val="clear" w:color="auto" w:fill="FFFFFF"/>
        </w:rPr>
        <w:t>gynecology</w:t>
      </w:r>
      <w:proofErr w:type="spellEnd"/>
      <w:r w:rsidRPr="00D13EBB">
        <w:rPr>
          <w:sz w:val="18"/>
          <w:szCs w:val="18"/>
          <w:shd w:val="clear" w:color="auto" w:fill="FFFFFF"/>
        </w:rPr>
        <w:t>, 131, 31-38, 2018</w:t>
      </w:r>
    </w:p>
    <w:p w14:paraId="679D2245" w14:textId="04C4F34A" w:rsidR="00E458E4" w:rsidRPr="00D13EBB" w:rsidRDefault="00E458E4" w:rsidP="00D13EBB">
      <w:pPr>
        <w:pStyle w:val="BodyText"/>
        <w:spacing w:after="200" w:line="240" w:lineRule="auto"/>
        <w:rPr>
          <w:sz w:val="18"/>
          <w:szCs w:val="18"/>
        </w:rPr>
      </w:pPr>
      <w:proofErr w:type="spellStart"/>
      <w:r w:rsidRPr="00D13EBB">
        <w:rPr>
          <w:sz w:val="18"/>
          <w:szCs w:val="18"/>
        </w:rPr>
        <w:t>Ugurlucan</w:t>
      </w:r>
      <w:proofErr w:type="spellEnd"/>
      <w:r w:rsidRPr="00D13EBB">
        <w:rPr>
          <w:sz w:val="18"/>
          <w:szCs w:val="18"/>
        </w:rPr>
        <w:t xml:space="preserve">, F. G., Erkan, H. A., Yasa, C., Yalcin, O., Does tension-free vaginal tape and tension-free vaginal tape-obturator affect urodynamics? Comparison of the two techniques, Clinical &amp; Experimental Obstetrics &amp; </w:t>
      </w:r>
      <w:proofErr w:type="spellStart"/>
      <w:r w:rsidRPr="00D13EBB">
        <w:rPr>
          <w:sz w:val="18"/>
          <w:szCs w:val="18"/>
        </w:rPr>
        <w:t>Gynecology</w:t>
      </w:r>
      <w:proofErr w:type="spellEnd"/>
      <w:r w:rsidRPr="00D13EBB">
        <w:rPr>
          <w:sz w:val="18"/>
          <w:szCs w:val="18"/>
        </w:rPr>
        <w:t>, 40, 536-41, 2013</w:t>
      </w:r>
      <w:r w:rsidR="00CF2805" w:rsidRPr="00D13EBB">
        <w:rPr>
          <w:sz w:val="18"/>
          <w:szCs w:val="18"/>
        </w:rPr>
        <w:t>b</w:t>
      </w:r>
    </w:p>
    <w:p w14:paraId="5C0797E7" w14:textId="08DE80F9" w:rsidR="007656FC" w:rsidRPr="00D13EBB" w:rsidRDefault="00945447" w:rsidP="00D13EBB">
      <w:pPr>
        <w:pStyle w:val="BodyText"/>
        <w:spacing w:after="200" w:line="240" w:lineRule="auto"/>
        <w:rPr>
          <w:sz w:val="18"/>
          <w:szCs w:val="18"/>
        </w:rPr>
      </w:pPr>
      <w:proofErr w:type="spellStart"/>
      <w:r w:rsidRPr="00D13EBB">
        <w:rPr>
          <w:sz w:val="18"/>
          <w:szCs w:val="18"/>
        </w:rPr>
        <w:t>Ustun</w:t>
      </w:r>
      <w:proofErr w:type="spellEnd"/>
      <w:r w:rsidRPr="00D13EBB">
        <w:rPr>
          <w:sz w:val="18"/>
          <w:szCs w:val="18"/>
        </w:rPr>
        <w:t xml:space="preserve">, Y., </w:t>
      </w:r>
      <w:proofErr w:type="spellStart"/>
      <w:r w:rsidRPr="00D13EBB">
        <w:rPr>
          <w:sz w:val="18"/>
          <w:szCs w:val="18"/>
        </w:rPr>
        <w:t>Engin-Ustun</w:t>
      </w:r>
      <w:proofErr w:type="spellEnd"/>
      <w:r w:rsidRPr="00D13EBB">
        <w:rPr>
          <w:sz w:val="18"/>
          <w:szCs w:val="18"/>
        </w:rPr>
        <w:t xml:space="preserve">, Y., Gungor, M., Tezcan, S., Tension-free vaginal tape compared with laparoscopic Burch urethropexy, Journal of the American Association of </w:t>
      </w:r>
      <w:proofErr w:type="spellStart"/>
      <w:r w:rsidRPr="00D13EBB">
        <w:rPr>
          <w:sz w:val="18"/>
          <w:szCs w:val="18"/>
        </w:rPr>
        <w:t>Gynecologic</w:t>
      </w:r>
      <w:proofErr w:type="spellEnd"/>
      <w:r w:rsidRPr="00D13EBB">
        <w:rPr>
          <w:sz w:val="18"/>
          <w:szCs w:val="18"/>
        </w:rPr>
        <w:t xml:space="preserve"> Laparoscopists, 10, 386-389, 2003</w:t>
      </w:r>
    </w:p>
    <w:p w14:paraId="53680141" w14:textId="2CDD781A" w:rsidR="00860B14" w:rsidRPr="00D13EBB" w:rsidRDefault="00860B14" w:rsidP="00D13EBB">
      <w:pPr>
        <w:pStyle w:val="BodyText"/>
        <w:spacing w:after="200" w:line="240" w:lineRule="auto"/>
        <w:rPr>
          <w:sz w:val="18"/>
          <w:szCs w:val="18"/>
        </w:rPr>
      </w:pPr>
      <w:r w:rsidRPr="00D13EBB">
        <w:rPr>
          <w:sz w:val="18"/>
          <w:szCs w:val="18"/>
        </w:rPr>
        <w:t xml:space="preserve">Wadie, B. S., </w:t>
      </w:r>
      <w:proofErr w:type="spellStart"/>
      <w:r w:rsidRPr="00D13EBB">
        <w:rPr>
          <w:sz w:val="18"/>
          <w:szCs w:val="18"/>
        </w:rPr>
        <w:t>Elhefnawy</w:t>
      </w:r>
      <w:proofErr w:type="spellEnd"/>
      <w:r w:rsidRPr="00D13EBB">
        <w:rPr>
          <w:sz w:val="18"/>
          <w:szCs w:val="18"/>
        </w:rPr>
        <w:t>, A. S., TVT versus TOT, 2-year prospective randomized study, World journal of urology, 31, 645-649, 2013</w:t>
      </w:r>
    </w:p>
    <w:p w14:paraId="426BA474" w14:textId="4DD08415" w:rsidR="00823756" w:rsidRPr="00D13EBB" w:rsidRDefault="00823756" w:rsidP="00D13EBB">
      <w:pPr>
        <w:pStyle w:val="BodyText"/>
        <w:spacing w:after="200" w:line="240" w:lineRule="auto"/>
        <w:rPr>
          <w:sz w:val="18"/>
          <w:szCs w:val="18"/>
        </w:rPr>
      </w:pPr>
      <w:r w:rsidRPr="00D13EBB">
        <w:rPr>
          <w:sz w:val="18"/>
          <w:szCs w:val="18"/>
        </w:rPr>
        <w:t xml:space="preserve">Wadie, B. S., Edwan, A., Nabeeh, A. M., Autologous fascial sling vs polypropylene tape at short-term </w:t>
      </w:r>
      <w:proofErr w:type="spellStart"/>
      <w:r w:rsidRPr="00D13EBB">
        <w:rPr>
          <w:sz w:val="18"/>
          <w:szCs w:val="18"/>
        </w:rPr>
        <w:t>followup</w:t>
      </w:r>
      <w:proofErr w:type="spellEnd"/>
      <w:r w:rsidRPr="00D13EBB">
        <w:rPr>
          <w:sz w:val="18"/>
          <w:szCs w:val="18"/>
        </w:rPr>
        <w:t>: a prospective randomized study, Journal of Urology, 174, 990-993, 2005</w:t>
      </w:r>
    </w:p>
    <w:p w14:paraId="22E03FA3" w14:textId="46A4656D" w:rsidR="00823756" w:rsidRPr="00D13EBB" w:rsidRDefault="006D7FC7" w:rsidP="00D13EBB">
      <w:pPr>
        <w:pStyle w:val="BodyText"/>
        <w:spacing w:after="200" w:line="240" w:lineRule="auto"/>
        <w:rPr>
          <w:sz w:val="18"/>
          <w:szCs w:val="18"/>
        </w:rPr>
      </w:pPr>
      <w:r w:rsidRPr="00D13EBB">
        <w:rPr>
          <w:sz w:val="18"/>
          <w:szCs w:val="18"/>
        </w:rPr>
        <w:t>Wadie, B. S., Mansour, A., El-</w:t>
      </w:r>
      <w:proofErr w:type="spellStart"/>
      <w:r w:rsidRPr="00D13EBB">
        <w:rPr>
          <w:sz w:val="18"/>
          <w:szCs w:val="18"/>
        </w:rPr>
        <w:t>Hefnawy</w:t>
      </w:r>
      <w:proofErr w:type="spellEnd"/>
      <w:r w:rsidRPr="00D13EBB">
        <w:rPr>
          <w:sz w:val="18"/>
          <w:szCs w:val="18"/>
        </w:rPr>
        <w:t>, A. S., Nabeeh, A., Khair, A. A., Minimum 2- year follow-up of mid-urethral slings, effect on quality of life, incontinence impact and sexual function, International Urogynecology Journal, 21, 1485-1490, 2010</w:t>
      </w:r>
    </w:p>
    <w:p w14:paraId="13D6BE54" w14:textId="77777777" w:rsidR="00E52AF5" w:rsidRPr="00D13EBB" w:rsidRDefault="00E52AF5" w:rsidP="00D13EBB">
      <w:pPr>
        <w:pStyle w:val="BodyText"/>
        <w:spacing w:after="200" w:line="240" w:lineRule="auto"/>
        <w:rPr>
          <w:sz w:val="18"/>
          <w:szCs w:val="18"/>
        </w:rPr>
      </w:pPr>
      <w:r w:rsidRPr="00D13EBB">
        <w:rPr>
          <w:sz w:val="18"/>
          <w:szCs w:val="18"/>
        </w:rPr>
        <w:t xml:space="preserve">Wai, C. Y., Curto, T. M., </w:t>
      </w:r>
      <w:proofErr w:type="spellStart"/>
      <w:r w:rsidRPr="00D13EBB">
        <w:rPr>
          <w:sz w:val="18"/>
          <w:szCs w:val="18"/>
        </w:rPr>
        <w:t>Zyczynski</w:t>
      </w:r>
      <w:proofErr w:type="spellEnd"/>
      <w:r w:rsidRPr="00D13EBB">
        <w:rPr>
          <w:sz w:val="18"/>
          <w:szCs w:val="18"/>
        </w:rPr>
        <w:t xml:space="preserve">, H. M., Stoddard, A. M., Burgio, K. L., Brubaker, L., Rickey, L. M., Menefee, S. A., Patient satisfaction after </w:t>
      </w:r>
      <w:proofErr w:type="spellStart"/>
      <w:r w:rsidRPr="00D13EBB">
        <w:rPr>
          <w:sz w:val="18"/>
          <w:szCs w:val="18"/>
        </w:rPr>
        <w:t>midurethral</w:t>
      </w:r>
      <w:proofErr w:type="spellEnd"/>
      <w:r w:rsidRPr="00D13EBB">
        <w:rPr>
          <w:sz w:val="18"/>
          <w:szCs w:val="18"/>
        </w:rPr>
        <w:t xml:space="preserve"> sling surgery for stress urinary incontinence, Obstetrics and </w:t>
      </w:r>
      <w:proofErr w:type="spellStart"/>
      <w:r w:rsidRPr="00D13EBB">
        <w:rPr>
          <w:sz w:val="18"/>
          <w:szCs w:val="18"/>
        </w:rPr>
        <w:t>Gynecology</w:t>
      </w:r>
      <w:proofErr w:type="spellEnd"/>
      <w:r w:rsidRPr="00D13EBB">
        <w:rPr>
          <w:sz w:val="18"/>
          <w:szCs w:val="18"/>
        </w:rPr>
        <w:t>, 121, 1009-1016, 2013</w:t>
      </w:r>
    </w:p>
    <w:p w14:paraId="568885F3" w14:textId="04942567" w:rsidR="007656FC" w:rsidRPr="00D13EBB" w:rsidRDefault="00807EFF" w:rsidP="00D13EBB">
      <w:pPr>
        <w:pStyle w:val="BodyText"/>
        <w:spacing w:after="200" w:line="240" w:lineRule="auto"/>
        <w:rPr>
          <w:sz w:val="18"/>
          <w:szCs w:val="18"/>
        </w:rPr>
      </w:pPr>
      <w:r w:rsidRPr="00D13EBB">
        <w:rPr>
          <w:sz w:val="18"/>
          <w:szCs w:val="18"/>
        </w:rPr>
        <w:t xml:space="preserve">Wang, A. C., Chen, M. C., Comparison of tension-free vaginal taping versus modified Burch </w:t>
      </w:r>
      <w:proofErr w:type="spellStart"/>
      <w:r w:rsidRPr="00D13EBB">
        <w:rPr>
          <w:sz w:val="18"/>
          <w:szCs w:val="18"/>
        </w:rPr>
        <w:t>colposuspension</w:t>
      </w:r>
      <w:proofErr w:type="spellEnd"/>
      <w:r w:rsidRPr="00D13EBB">
        <w:rPr>
          <w:sz w:val="18"/>
          <w:szCs w:val="18"/>
        </w:rPr>
        <w:t xml:space="preserve"> on urethral obstruction: A randomized controlled trial, </w:t>
      </w:r>
      <w:proofErr w:type="spellStart"/>
      <w:r w:rsidRPr="00D13EBB">
        <w:rPr>
          <w:sz w:val="18"/>
          <w:szCs w:val="18"/>
        </w:rPr>
        <w:t>Neurourology</w:t>
      </w:r>
      <w:proofErr w:type="spellEnd"/>
      <w:r w:rsidRPr="00D13EBB">
        <w:rPr>
          <w:sz w:val="18"/>
          <w:szCs w:val="18"/>
        </w:rPr>
        <w:t xml:space="preserve"> and Urodynamics, 22, 185-190, 2003</w:t>
      </w:r>
    </w:p>
    <w:p w14:paraId="5637F3DF" w14:textId="7A443291" w:rsidR="00141A8C" w:rsidRPr="00D13EBB" w:rsidRDefault="00141A8C" w:rsidP="00D13EBB">
      <w:pPr>
        <w:pStyle w:val="BodyText"/>
        <w:spacing w:after="200" w:line="240" w:lineRule="auto"/>
        <w:rPr>
          <w:sz w:val="18"/>
          <w:szCs w:val="18"/>
        </w:rPr>
      </w:pPr>
      <w:r w:rsidRPr="00D13EBB">
        <w:rPr>
          <w:sz w:val="18"/>
          <w:szCs w:val="18"/>
        </w:rPr>
        <w:t xml:space="preserve">Wang, A. C., Lin, Y. H., Tseng, L. H., Chih, S. Y., Lee, C. J., Prospective randomized comparison of </w:t>
      </w:r>
      <w:proofErr w:type="spellStart"/>
      <w:r w:rsidRPr="00D13EBB">
        <w:rPr>
          <w:sz w:val="18"/>
          <w:szCs w:val="18"/>
        </w:rPr>
        <w:t>transobturator</w:t>
      </w:r>
      <w:proofErr w:type="spellEnd"/>
      <w:r w:rsidRPr="00D13EBB">
        <w:rPr>
          <w:sz w:val="18"/>
          <w:szCs w:val="18"/>
        </w:rPr>
        <w:t xml:space="preserve"> </w:t>
      </w:r>
      <w:proofErr w:type="spellStart"/>
      <w:r w:rsidRPr="00D13EBB">
        <w:rPr>
          <w:sz w:val="18"/>
          <w:szCs w:val="18"/>
        </w:rPr>
        <w:t>suburethral</w:t>
      </w:r>
      <w:proofErr w:type="spellEnd"/>
      <w:r w:rsidRPr="00D13EBB">
        <w:rPr>
          <w:sz w:val="18"/>
          <w:szCs w:val="18"/>
        </w:rPr>
        <w:t xml:space="preserve"> sling (</w:t>
      </w:r>
      <w:proofErr w:type="spellStart"/>
      <w:r w:rsidRPr="00D13EBB">
        <w:rPr>
          <w:sz w:val="18"/>
          <w:szCs w:val="18"/>
        </w:rPr>
        <w:t>Monarc</w:t>
      </w:r>
      <w:proofErr w:type="spellEnd"/>
      <w:r w:rsidRPr="00D13EBB">
        <w:rPr>
          <w:sz w:val="18"/>
          <w:szCs w:val="18"/>
        </w:rPr>
        <w:t>) vs suprapubic arc (Sparc) sling procedures for female urodynamic stress incontinence, International Urogynecology Journal, 17, 439-443, 2006</w:t>
      </w:r>
    </w:p>
    <w:p w14:paraId="57109ABE" w14:textId="03DCC841" w:rsidR="004248E1" w:rsidRPr="00D13EBB" w:rsidRDefault="004248E1" w:rsidP="00D13EBB">
      <w:pPr>
        <w:pStyle w:val="BodyText"/>
        <w:spacing w:after="200" w:line="240" w:lineRule="auto"/>
        <w:rPr>
          <w:sz w:val="18"/>
          <w:szCs w:val="18"/>
        </w:rPr>
      </w:pPr>
      <w:r w:rsidRPr="00D13EBB">
        <w:rPr>
          <w:sz w:val="18"/>
          <w:szCs w:val="18"/>
        </w:rPr>
        <w:t xml:space="preserve">Wang, W., Zhu, L., Lang, J., </w:t>
      </w:r>
      <w:proofErr w:type="spellStart"/>
      <w:r w:rsidRPr="00D13EBB">
        <w:rPr>
          <w:sz w:val="18"/>
          <w:szCs w:val="18"/>
        </w:rPr>
        <w:t>Transobturator</w:t>
      </w:r>
      <w:proofErr w:type="spellEnd"/>
      <w:r w:rsidRPr="00D13EBB">
        <w:rPr>
          <w:sz w:val="18"/>
          <w:szCs w:val="18"/>
        </w:rPr>
        <w:t xml:space="preserve"> tape procedure versus tension-free vaginal tape for treatment of stress urinary incontinence, International Journal of Gynaecology and Obstetrics, 104, 113-116, 2009</w:t>
      </w:r>
    </w:p>
    <w:p w14:paraId="7B88E00F" w14:textId="0A6A6E03" w:rsidR="009C1A4B" w:rsidRPr="00D13EBB" w:rsidRDefault="009C1A4B" w:rsidP="00D13EBB">
      <w:pPr>
        <w:pStyle w:val="BodyText"/>
        <w:spacing w:after="200" w:line="240" w:lineRule="auto"/>
        <w:rPr>
          <w:sz w:val="18"/>
          <w:szCs w:val="18"/>
        </w:rPr>
      </w:pPr>
      <w:r w:rsidRPr="00D13EBB">
        <w:rPr>
          <w:sz w:val="18"/>
          <w:szCs w:val="18"/>
        </w:rPr>
        <w:t xml:space="preserve">Wang, F., Song, Y., Huang, H., Prospective randomized trial of TVT and TOT as primary treatment for female stress urinary incontinence with or without pelvic organ prolapse in Southeast China, Archives of </w:t>
      </w:r>
      <w:proofErr w:type="spellStart"/>
      <w:r w:rsidRPr="00D13EBB">
        <w:rPr>
          <w:sz w:val="18"/>
          <w:szCs w:val="18"/>
        </w:rPr>
        <w:t>Gynecology</w:t>
      </w:r>
      <w:proofErr w:type="spellEnd"/>
      <w:r w:rsidRPr="00D13EBB">
        <w:rPr>
          <w:sz w:val="18"/>
          <w:szCs w:val="18"/>
        </w:rPr>
        <w:t xml:space="preserve"> and Obstetrics, 281, 279-286, 2010</w:t>
      </w:r>
    </w:p>
    <w:p w14:paraId="2C2AA268" w14:textId="7AAA079E" w:rsidR="00DF7192" w:rsidRPr="00D13EBB" w:rsidRDefault="00DF7192" w:rsidP="00D13EBB">
      <w:pPr>
        <w:pStyle w:val="BodyText"/>
        <w:spacing w:after="200" w:line="240" w:lineRule="auto"/>
        <w:rPr>
          <w:sz w:val="18"/>
          <w:szCs w:val="18"/>
        </w:rPr>
      </w:pPr>
      <w:r w:rsidRPr="00D13EBB">
        <w:rPr>
          <w:sz w:val="18"/>
          <w:szCs w:val="18"/>
        </w:rPr>
        <w:t>Wang, Y. J., Li, F. P., Wang, Q., Yang, S., Cai, X. G., Chen, Y. H., Comparison of three mid-urethral tension-free tapes (TVT, TVT-O, and TVT-</w:t>
      </w:r>
      <w:proofErr w:type="spellStart"/>
      <w:r w:rsidRPr="00D13EBB">
        <w:rPr>
          <w:sz w:val="18"/>
          <w:szCs w:val="18"/>
        </w:rPr>
        <w:t>Secur</w:t>
      </w:r>
      <w:proofErr w:type="spellEnd"/>
      <w:r w:rsidRPr="00D13EBB">
        <w:rPr>
          <w:sz w:val="18"/>
          <w:szCs w:val="18"/>
        </w:rPr>
        <w:t>) in the treatment of female stress urinary incontinence: 1-year follow-up, International urogynecology journal and pelvic floor dysfunction, 22, 1369-1374, 2011</w:t>
      </w:r>
    </w:p>
    <w:p w14:paraId="42E08C87" w14:textId="33E7947B" w:rsidR="00C64B0C" w:rsidRPr="00D13EBB" w:rsidRDefault="00C64B0C" w:rsidP="00D13EBB">
      <w:pPr>
        <w:pStyle w:val="BodyText"/>
        <w:spacing w:after="200" w:line="240" w:lineRule="auto"/>
        <w:rPr>
          <w:sz w:val="18"/>
          <w:szCs w:val="18"/>
        </w:rPr>
      </w:pPr>
      <w:r w:rsidRPr="00D13EBB">
        <w:rPr>
          <w:sz w:val="18"/>
          <w:szCs w:val="18"/>
        </w:rPr>
        <w:t xml:space="preserve">Ward, K. L., Hilton, P., Prospective multicentre randomised trial of tension-free vaginal tape and </w:t>
      </w:r>
      <w:proofErr w:type="spellStart"/>
      <w:r w:rsidRPr="00D13EBB">
        <w:rPr>
          <w:sz w:val="18"/>
          <w:szCs w:val="18"/>
        </w:rPr>
        <w:t>colposuspension</w:t>
      </w:r>
      <w:proofErr w:type="spellEnd"/>
      <w:r w:rsidRPr="00D13EBB">
        <w:rPr>
          <w:sz w:val="18"/>
          <w:szCs w:val="18"/>
        </w:rPr>
        <w:t xml:space="preserve"> as primary treatment for stress incontinence, British Medical Journal, 325, 67-70, 2002</w:t>
      </w:r>
    </w:p>
    <w:p w14:paraId="5568C73C" w14:textId="6F1C07A2" w:rsidR="00C64B0C" w:rsidRPr="00D13EBB" w:rsidRDefault="00A10F7A" w:rsidP="00D13EBB">
      <w:pPr>
        <w:pStyle w:val="BodyText"/>
        <w:spacing w:after="200" w:line="240" w:lineRule="auto"/>
        <w:rPr>
          <w:sz w:val="18"/>
          <w:szCs w:val="18"/>
        </w:rPr>
      </w:pPr>
      <w:r w:rsidRPr="00D13EBB">
        <w:rPr>
          <w:sz w:val="18"/>
          <w:szCs w:val="18"/>
        </w:rPr>
        <w:t xml:space="preserve">Ward, K. L., Hilton, P., A prospective </w:t>
      </w:r>
      <w:proofErr w:type="spellStart"/>
      <w:r w:rsidRPr="00D13EBB">
        <w:rPr>
          <w:sz w:val="18"/>
          <w:szCs w:val="18"/>
        </w:rPr>
        <w:t>multicenter</w:t>
      </w:r>
      <w:proofErr w:type="spellEnd"/>
      <w:r w:rsidRPr="00D13EBB">
        <w:rPr>
          <w:sz w:val="18"/>
          <w:szCs w:val="18"/>
        </w:rPr>
        <w:t xml:space="preserve"> randomized trial of tension-free vaginal tape and </w:t>
      </w:r>
      <w:proofErr w:type="spellStart"/>
      <w:r w:rsidRPr="00D13EBB">
        <w:rPr>
          <w:sz w:val="18"/>
          <w:szCs w:val="18"/>
        </w:rPr>
        <w:t>colposuspension</w:t>
      </w:r>
      <w:proofErr w:type="spellEnd"/>
      <w:r w:rsidRPr="00D13EBB">
        <w:rPr>
          <w:sz w:val="18"/>
          <w:szCs w:val="18"/>
        </w:rPr>
        <w:t xml:space="preserve"> for primary urodynamic stress incontinence: Two</w:t>
      </w:r>
      <w:r w:rsidR="005D357A">
        <w:rPr>
          <w:sz w:val="18"/>
          <w:szCs w:val="18"/>
        </w:rPr>
        <w:t>-</w:t>
      </w:r>
      <w:r w:rsidRPr="00D13EBB">
        <w:rPr>
          <w:sz w:val="18"/>
          <w:szCs w:val="18"/>
        </w:rPr>
        <w:t xml:space="preserve">year follow-up, American Journal of Obstetrics and </w:t>
      </w:r>
      <w:proofErr w:type="spellStart"/>
      <w:r w:rsidRPr="00D13EBB">
        <w:rPr>
          <w:sz w:val="18"/>
          <w:szCs w:val="18"/>
        </w:rPr>
        <w:t>Gynecology</w:t>
      </w:r>
      <w:proofErr w:type="spellEnd"/>
      <w:r w:rsidRPr="00D13EBB">
        <w:rPr>
          <w:sz w:val="18"/>
          <w:szCs w:val="18"/>
        </w:rPr>
        <w:t>, 190, 324-331, 2004</w:t>
      </w:r>
    </w:p>
    <w:p w14:paraId="67FF8926" w14:textId="44BFD2F8" w:rsidR="00A10F7A" w:rsidRPr="00D13EBB" w:rsidRDefault="00DB4DEB" w:rsidP="00D13EBB">
      <w:pPr>
        <w:pStyle w:val="BodyText"/>
        <w:spacing w:after="200" w:line="240" w:lineRule="auto"/>
        <w:rPr>
          <w:sz w:val="18"/>
          <w:szCs w:val="18"/>
        </w:rPr>
      </w:pPr>
      <w:proofErr w:type="spellStart"/>
      <w:r w:rsidRPr="00D13EBB">
        <w:rPr>
          <w:sz w:val="18"/>
          <w:szCs w:val="18"/>
        </w:rPr>
        <w:t>Ward,K</w:t>
      </w:r>
      <w:proofErr w:type="spellEnd"/>
      <w:r w:rsidRPr="00D13EBB">
        <w:rPr>
          <w:sz w:val="18"/>
          <w:szCs w:val="18"/>
        </w:rPr>
        <w:t xml:space="preserve">. L., Hilton, P., Tension-free vaginal tape versus </w:t>
      </w:r>
      <w:proofErr w:type="spellStart"/>
      <w:r w:rsidRPr="00D13EBB">
        <w:rPr>
          <w:sz w:val="18"/>
          <w:szCs w:val="18"/>
        </w:rPr>
        <w:t>colposuspension</w:t>
      </w:r>
      <w:proofErr w:type="spellEnd"/>
      <w:r w:rsidRPr="00D13EBB">
        <w:rPr>
          <w:sz w:val="18"/>
          <w:szCs w:val="18"/>
        </w:rPr>
        <w:t xml:space="preserve"> for primary urodynamic stress incontinence: 5-Year follow up, BJOG: An International Journal of Obstetrics and Gynaecology, 115, 226-233, 2008</w:t>
      </w:r>
    </w:p>
    <w:p w14:paraId="25B3D718" w14:textId="13D4EC3E" w:rsidR="004D3B7B" w:rsidRPr="00D13EBB" w:rsidRDefault="004D3B7B" w:rsidP="00D13EBB">
      <w:pPr>
        <w:pStyle w:val="BodyText"/>
        <w:spacing w:after="200" w:line="240" w:lineRule="auto"/>
        <w:rPr>
          <w:sz w:val="18"/>
          <w:szCs w:val="18"/>
        </w:rPr>
      </w:pPr>
      <w:r w:rsidRPr="00D13EBB">
        <w:rPr>
          <w:sz w:val="18"/>
          <w:szCs w:val="18"/>
        </w:rPr>
        <w:t>Zhang, Z., Zhu, L., Xu, T., Lang, J., Retropubic tension-free vaginal tape and inside</w:t>
      </w:r>
      <w:r w:rsidR="005D357A">
        <w:rPr>
          <w:sz w:val="18"/>
          <w:szCs w:val="18"/>
        </w:rPr>
        <w:t>-</w:t>
      </w:r>
      <w:r w:rsidRPr="00D13EBB">
        <w:rPr>
          <w:sz w:val="18"/>
          <w:szCs w:val="18"/>
        </w:rPr>
        <w:t xml:space="preserve">out </w:t>
      </w:r>
      <w:proofErr w:type="spellStart"/>
      <w:r w:rsidRPr="00D13EBB">
        <w:rPr>
          <w:sz w:val="18"/>
          <w:szCs w:val="18"/>
        </w:rPr>
        <w:t>transobturator</w:t>
      </w:r>
      <w:proofErr w:type="spellEnd"/>
      <w:r w:rsidRPr="00D13EBB">
        <w:rPr>
          <w:sz w:val="18"/>
          <w:szCs w:val="18"/>
        </w:rPr>
        <w:t xml:space="preserve"> tape: a long-term randomized trial, International Urogynecology Journal, 27, 103-11, 2016</w:t>
      </w:r>
    </w:p>
    <w:p w14:paraId="5EFD0E0A" w14:textId="36081C5E" w:rsidR="00BD429E" w:rsidRPr="00D13EBB" w:rsidRDefault="00BD429E" w:rsidP="00D13EBB">
      <w:pPr>
        <w:pStyle w:val="BodyText"/>
        <w:spacing w:after="200" w:line="240" w:lineRule="auto"/>
        <w:rPr>
          <w:sz w:val="18"/>
          <w:szCs w:val="18"/>
        </w:rPr>
      </w:pPr>
      <w:r w:rsidRPr="00D13EBB">
        <w:rPr>
          <w:sz w:val="18"/>
          <w:szCs w:val="18"/>
        </w:rPr>
        <w:lastRenderedPageBreak/>
        <w:t xml:space="preserve">Zhu, L., Lang, J., Hai, N., Wong, F., Comparing vaginal tape and </w:t>
      </w:r>
      <w:proofErr w:type="spellStart"/>
      <w:r w:rsidRPr="00D13EBB">
        <w:rPr>
          <w:sz w:val="18"/>
          <w:szCs w:val="18"/>
        </w:rPr>
        <w:t>transobturator</w:t>
      </w:r>
      <w:proofErr w:type="spellEnd"/>
      <w:r w:rsidRPr="00D13EBB">
        <w:rPr>
          <w:sz w:val="18"/>
          <w:szCs w:val="18"/>
        </w:rPr>
        <w:t xml:space="preserve"> tape for the treatment of mild and moderate stress incontinence, International Journal of Gynaecology and Obstetrics, 99, 14-17, 2007</w:t>
      </w:r>
    </w:p>
    <w:p w14:paraId="15D7309E" w14:textId="2F24789B" w:rsidR="0016676B" w:rsidRPr="00D13EBB" w:rsidRDefault="0016676B" w:rsidP="00D13EBB">
      <w:pPr>
        <w:pStyle w:val="BodyText"/>
        <w:spacing w:after="200" w:line="240" w:lineRule="auto"/>
        <w:rPr>
          <w:sz w:val="18"/>
          <w:szCs w:val="18"/>
        </w:rPr>
      </w:pPr>
      <w:r w:rsidRPr="00D13EBB">
        <w:rPr>
          <w:sz w:val="18"/>
          <w:szCs w:val="18"/>
        </w:rPr>
        <w:t xml:space="preserve">Zullo, M. A., </w:t>
      </w:r>
      <w:proofErr w:type="spellStart"/>
      <w:r w:rsidRPr="00D13EBB">
        <w:rPr>
          <w:sz w:val="18"/>
          <w:szCs w:val="18"/>
        </w:rPr>
        <w:t>Plotti</w:t>
      </w:r>
      <w:proofErr w:type="spellEnd"/>
      <w:r w:rsidRPr="00D13EBB">
        <w:rPr>
          <w:sz w:val="18"/>
          <w:szCs w:val="18"/>
        </w:rPr>
        <w:t xml:space="preserve">, F., Calcagno, M., Marullo, E., Palaia, I., </w:t>
      </w:r>
      <w:proofErr w:type="spellStart"/>
      <w:r w:rsidRPr="00D13EBB">
        <w:rPr>
          <w:sz w:val="18"/>
          <w:szCs w:val="18"/>
        </w:rPr>
        <w:t>Bellati</w:t>
      </w:r>
      <w:proofErr w:type="spellEnd"/>
      <w:r w:rsidRPr="00D13EBB">
        <w:rPr>
          <w:sz w:val="18"/>
          <w:szCs w:val="18"/>
        </w:rPr>
        <w:t xml:space="preserve">, F., Basile, S., Muzii, L., Angioli, R., Panici, P. B., One-year follow-up of tension-free vaginal tape (TVT) and trans-obturator </w:t>
      </w:r>
      <w:proofErr w:type="spellStart"/>
      <w:r w:rsidRPr="00D13EBB">
        <w:rPr>
          <w:sz w:val="18"/>
          <w:szCs w:val="18"/>
        </w:rPr>
        <w:t>suburethral</w:t>
      </w:r>
      <w:proofErr w:type="spellEnd"/>
      <w:r w:rsidRPr="00D13EBB">
        <w:rPr>
          <w:sz w:val="18"/>
          <w:szCs w:val="18"/>
        </w:rPr>
        <w:t xml:space="preserve"> tape from inside to outside (TVT-O) for surgical treatment of female stress urinary incontinence: a prospective randomised trial, European Urology, 51, 1376-1382, 2007</w:t>
      </w:r>
    </w:p>
    <w:p w14:paraId="75BFC456" w14:textId="67BF5CF8" w:rsidR="003B0A4C" w:rsidRPr="00B0485F" w:rsidRDefault="003B0A4C" w:rsidP="00D13EBB">
      <w:pPr>
        <w:pStyle w:val="BodyText"/>
        <w:spacing w:after="200" w:line="240" w:lineRule="auto"/>
      </w:pPr>
      <w:bookmarkStart w:id="214" w:name="_Ref131082693"/>
      <w:proofErr w:type="spellStart"/>
      <w:r w:rsidRPr="00D13EBB">
        <w:rPr>
          <w:sz w:val="18"/>
          <w:szCs w:val="18"/>
        </w:rPr>
        <w:t>Zyczynski</w:t>
      </w:r>
      <w:proofErr w:type="spellEnd"/>
      <w:r w:rsidRPr="00D13EBB">
        <w:rPr>
          <w:sz w:val="18"/>
          <w:szCs w:val="18"/>
        </w:rPr>
        <w:t xml:space="preserve">, H. M., Rickey, L., Dyer, K. Y., Wilson, T., Stoddard, A. M., Gormley, E. A., Hsu, Y., Kusek, J. W., Brubaker, L., Urinary Incontinence Treatment, Network, Sexual </w:t>
      </w:r>
      <w:proofErr w:type="gramStart"/>
      <w:r w:rsidRPr="00D13EBB">
        <w:rPr>
          <w:sz w:val="18"/>
          <w:szCs w:val="18"/>
        </w:rPr>
        <w:t>activity</w:t>
      </w:r>
      <w:proofErr w:type="gramEnd"/>
      <w:r w:rsidRPr="00D13EBB">
        <w:rPr>
          <w:sz w:val="18"/>
          <w:szCs w:val="18"/>
        </w:rPr>
        <w:t xml:space="preserve"> and function in women more than 2 years after </w:t>
      </w:r>
      <w:proofErr w:type="spellStart"/>
      <w:r w:rsidRPr="00D13EBB">
        <w:rPr>
          <w:sz w:val="18"/>
          <w:szCs w:val="18"/>
        </w:rPr>
        <w:t>midurethral</w:t>
      </w:r>
      <w:proofErr w:type="spellEnd"/>
      <w:r w:rsidRPr="00D13EBB">
        <w:rPr>
          <w:sz w:val="18"/>
          <w:szCs w:val="18"/>
        </w:rPr>
        <w:t xml:space="preserve"> sling placement, American Journal of Obstetrics &amp; </w:t>
      </w:r>
      <w:proofErr w:type="spellStart"/>
      <w:r w:rsidRPr="00D13EBB">
        <w:rPr>
          <w:sz w:val="18"/>
          <w:szCs w:val="18"/>
        </w:rPr>
        <w:t>Gynecology</w:t>
      </w:r>
      <w:proofErr w:type="spellEnd"/>
      <w:r w:rsidRPr="00D13EBB">
        <w:rPr>
          <w:sz w:val="18"/>
          <w:szCs w:val="18"/>
        </w:rPr>
        <w:t>, 207, 421.e1-6, 2012</w:t>
      </w:r>
      <w:bookmarkEnd w:id="214"/>
    </w:p>
    <w:p w14:paraId="32A30EAE" w14:textId="3B7BE92A" w:rsidR="00065A05" w:rsidRPr="00B0485F" w:rsidRDefault="00065A05" w:rsidP="00B07AA0">
      <w:pPr>
        <w:pStyle w:val="BodyText"/>
        <w:sectPr w:rsidR="00065A05" w:rsidRPr="00B0485F" w:rsidSect="003E0819">
          <w:headerReference w:type="default" r:id="rId45"/>
          <w:footerReference w:type="default" r:id="rId46"/>
          <w:pgSz w:w="11906" w:h="16838"/>
          <w:pgMar w:top="1134" w:right="1134" w:bottom="1134" w:left="1134" w:header="850" w:footer="709" w:gutter="0"/>
          <w:cols w:space="708"/>
          <w:docGrid w:linePitch="360"/>
        </w:sectPr>
      </w:pPr>
    </w:p>
    <w:p w14:paraId="367E7BC7" w14:textId="6C17911B" w:rsidR="006D041C" w:rsidRPr="00C702B9" w:rsidRDefault="009431DD" w:rsidP="0025110E">
      <w:pPr>
        <w:pStyle w:val="Heading7"/>
      </w:pPr>
      <w:bookmarkStart w:id="215" w:name="_Ref132280523"/>
      <w:bookmarkStart w:id="216" w:name="_Ref132280564"/>
      <w:bookmarkStart w:id="217" w:name="_Ref132280569"/>
      <w:bookmarkStart w:id="218" w:name="_Toc165627863"/>
      <w:bookmarkStart w:id="219" w:name="_Ref131082701"/>
      <w:r w:rsidRPr="00C702B9">
        <w:lastRenderedPageBreak/>
        <w:t xml:space="preserve">NMA </w:t>
      </w:r>
      <w:r w:rsidR="00E87C1B">
        <w:t xml:space="preserve">included studies for clinical effectiveness </w:t>
      </w:r>
      <w:r w:rsidRPr="00C702B9">
        <w:t>(</w:t>
      </w:r>
      <w:proofErr w:type="spellStart"/>
      <w:r w:rsidRPr="00C702B9">
        <w:t>Brazzelli</w:t>
      </w:r>
      <w:proofErr w:type="spellEnd"/>
      <w:r w:rsidRPr="00C702B9">
        <w:t xml:space="preserve"> 2019)</w:t>
      </w:r>
      <w:bookmarkEnd w:id="215"/>
      <w:bookmarkEnd w:id="216"/>
      <w:bookmarkEnd w:id="217"/>
      <w:bookmarkEnd w:id="218"/>
    </w:p>
    <w:p w14:paraId="1226B182" w14:textId="6A2FC74D" w:rsidR="00C702B9" w:rsidRDefault="00A20E7C" w:rsidP="00ED65E8">
      <w:pPr>
        <w:pStyle w:val="Heading8"/>
      </w:pPr>
      <w:bookmarkStart w:id="220" w:name="_Toc165627864"/>
      <w:r w:rsidRPr="00A20E7C">
        <w:t>Study characteristics</w:t>
      </w:r>
      <w:bookmarkEnd w:id="220"/>
    </w:p>
    <w:p w14:paraId="3ADD902A" w14:textId="046A5726" w:rsidR="00B3755D" w:rsidRPr="00B3755D" w:rsidRDefault="00B3755D" w:rsidP="00B3755D">
      <w:pPr>
        <w:pStyle w:val="Heading9"/>
      </w:pPr>
      <w:r>
        <w:t xml:space="preserve">Open </w:t>
      </w:r>
      <w:proofErr w:type="spellStart"/>
      <w:r>
        <w:t>colposuspension</w:t>
      </w:r>
      <w:proofErr w:type="spellEnd"/>
      <w:r>
        <w:t xml:space="preserve"> versus RP-MUS</w:t>
      </w:r>
    </w:p>
    <w:p w14:paraId="3E885C72" w14:textId="1E209EA6" w:rsidR="00B767B5" w:rsidRPr="00B0485F" w:rsidRDefault="00B767B5" w:rsidP="00B767B5">
      <w:pPr>
        <w:pStyle w:val="Caption"/>
      </w:pPr>
      <w:bookmarkStart w:id="221" w:name="_Toc165627909"/>
      <w:r w:rsidRPr="00B0485F">
        <w:t xml:space="preserve">Table App. </w:t>
      </w:r>
      <w:fldSimple w:instr=" SEQ Table_App. \* ARABIC ">
        <w:r w:rsidR="007105D3">
          <w:rPr>
            <w:noProof/>
          </w:rPr>
          <w:t>6</w:t>
        </w:r>
      </w:fldSimple>
      <w:r w:rsidRPr="00B0485F">
        <w:tab/>
        <w:t xml:space="preserve">Summary of included RCTs for </w:t>
      </w:r>
      <w:r w:rsidR="00944F5B">
        <w:t xml:space="preserve">open </w:t>
      </w:r>
      <w:proofErr w:type="spellStart"/>
      <w:r w:rsidRPr="00B0485F">
        <w:t>colposuspension</w:t>
      </w:r>
      <w:proofErr w:type="spellEnd"/>
      <w:r w:rsidRPr="00B0485F">
        <w:t xml:space="preserve"> versus </w:t>
      </w:r>
      <w:r w:rsidR="00944F5B">
        <w:t>RP-MUS</w:t>
      </w:r>
      <w:bookmarkEnd w:id="221"/>
    </w:p>
    <w:tbl>
      <w:tblPr>
        <w:tblStyle w:val="TableGrid"/>
        <w:tblW w:w="5000" w:type="pct"/>
        <w:tblLook w:val="04A0" w:firstRow="1" w:lastRow="0" w:firstColumn="1" w:lastColumn="0" w:noHBand="0" w:noVBand="1"/>
        <w:tblCaption w:val="Summary of included RCTs for open colposuspension versus RP-MUS (from Brazzelli 2019)"/>
        <w:tblDescription w:val="This table summarises the study characteristics of the relevant included studies from the Brazzelli (2019) NMA for open colposuspension versus RP-MUS. The study ID, participants, outcomes and length of follow-up are presented. "/>
      </w:tblPr>
      <w:tblGrid>
        <w:gridCol w:w="3158"/>
        <w:gridCol w:w="2660"/>
        <w:gridCol w:w="1827"/>
        <w:gridCol w:w="1993"/>
      </w:tblGrid>
      <w:tr w:rsidR="00B767B5" w:rsidRPr="00B0485F" w14:paraId="037B60A8" w14:textId="77777777" w:rsidTr="004C51E5">
        <w:trPr>
          <w:cnfStyle w:val="100000000000" w:firstRow="1" w:lastRow="0" w:firstColumn="0" w:lastColumn="0" w:oddVBand="0" w:evenVBand="0" w:oddHBand="0" w:evenHBand="0" w:firstRowFirstColumn="0" w:firstRowLastColumn="0" w:lastRowFirstColumn="0" w:lastRowLastColumn="0"/>
        </w:trPr>
        <w:tc>
          <w:tcPr>
            <w:tcW w:w="1638" w:type="pct"/>
          </w:tcPr>
          <w:p w14:paraId="28FF0168" w14:textId="22D018DC" w:rsidR="00B767B5" w:rsidRPr="00B0485F" w:rsidRDefault="00B767B5" w:rsidP="00CB5DBD">
            <w:pPr>
              <w:pStyle w:val="011TableHeading8pt"/>
            </w:pPr>
            <w:r w:rsidRPr="00B0485F">
              <w:t>Study ID</w:t>
            </w:r>
          </w:p>
        </w:tc>
        <w:tc>
          <w:tcPr>
            <w:tcW w:w="1380" w:type="pct"/>
          </w:tcPr>
          <w:p w14:paraId="59E5AB6D" w14:textId="64ED74FB" w:rsidR="00B767B5" w:rsidRPr="00B0485F" w:rsidRDefault="00B767B5" w:rsidP="00CB5DBD">
            <w:pPr>
              <w:pStyle w:val="011TableHeading8pt"/>
            </w:pPr>
            <w:r w:rsidRPr="00B0485F">
              <w:t>Participants</w:t>
            </w:r>
          </w:p>
        </w:tc>
        <w:tc>
          <w:tcPr>
            <w:tcW w:w="948" w:type="pct"/>
          </w:tcPr>
          <w:p w14:paraId="0584A8E2" w14:textId="77777777" w:rsidR="00B767B5" w:rsidRPr="00B0485F" w:rsidRDefault="00B767B5" w:rsidP="00CB5DBD">
            <w:pPr>
              <w:pStyle w:val="011TableHeading8pt"/>
            </w:pPr>
            <w:r w:rsidRPr="00B0485F">
              <w:t>Outcomes</w:t>
            </w:r>
          </w:p>
        </w:tc>
        <w:tc>
          <w:tcPr>
            <w:tcW w:w="1034" w:type="pct"/>
          </w:tcPr>
          <w:p w14:paraId="4D4FA50A" w14:textId="54D05475" w:rsidR="00B767B5" w:rsidRPr="00B0485F" w:rsidRDefault="00DE530E" w:rsidP="00CB5DBD">
            <w:pPr>
              <w:pStyle w:val="011TableHeading8pt"/>
            </w:pPr>
            <w:r>
              <w:t>Length of or last f</w:t>
            </w:r>
            <w:r w:rsidR="00B767B5" w:rsidRPr="00B0485F">
              <w:t>ollow-up (months)</w:t>
            </w:r>
          </w:p>
        </w:tc>
      </w:tr>
      <w:tr w:rsidR="00B767B5" w:rsidRPr="00B0485F" w14:paraId="5BE566AE" w14:textId="77777777" w:rsidTr="004C51E5">
        <w:tc>
          <w:tcPr>
            <w:tcW w:w="1638" w:type="pct"/>
          </w:tcPr>
          <w:p w14:paraId="064ECA85" w14:textId="08745AD4" w:rsidR="00B767B5" w:rsidRPr="00741902" w:rsidRDefault="00BE337A" w:rsidP="00CB5DBD">
            <w:pPr>
              <w:pStyle w:val="051Tabletext228pt"/>
              <w:rPr>
                <w:vertAlign w:val="superscript"/>
              </w:rPr>
            </w:pPr>
            <w:r w:rsidRPr="00BE337A">
              <w:t>Bai 2005</w:t>
            </w:r>
            <w:r w:rsidR="0033310D">
              <w:t xml:space="preserve"> (ID:145)</w:t>
            </w:r>
          </w:p>
        </w:tc>
        <w:tc>
          <w:tcPr>
            <w:tcW w:w="1380" w:type="pct"/>
          </w:tcPr>
          <w:p w14:paraId="4CBAD1DD" w14:textId="77777777" w:rsidR="00B767B5" w:rsidRDefault="002C0454" w:rsidP="00CB5DBD">
            <w:pPr>
              <w:pStyle w:val="051Tabletext228pt"/>
            </w:pPr>
            <w:r>
              <w:t>USI (DO excluded)</w:t>
            </w:r>
          </w:p>
          <w:p w14:paraId="17BBF3FC" w14:textId="6DBDFC8B" w:rsidR="00B767B5" w:rsidRPr="00D63076" w:rsidRDefault="00C83ECF" w:rsidP="00CB5DBD">
            <w:pPr>
              <w:pStyle w:val="051Tabletext228pt"/>
            </w:pPr>
            <w:r>
              <w:t>N=92</w:t>
            </w:r>
            <w:r>
              <w:rPr>
                <w:vertAlign w:val="superscript"/>
              </w:rPr>
              <w:t>1</w:t>
            </w:r>
          </w:p>
        </w:tc>
        <w:tc>
          <w:tcPr>
            <w:tcW w:w="948" w:type="pct"/>
          </w:tcPr>
          <w:p w14:paraId="66C3975D" w14:textId="77777777" w:rsidR="00B767B5" w:rsidRPr="00D63076" w:rsidRDefault="00D63076" w:rsidP="00CB5DBD">
            <w:pPr>
              <w:pStyle w:val="051Tabletext228pt"/>
            </w:pPr>
            <w:r w:rsidRPr="00D63076">
              <w:t>Cure</w:t>
            </w:r>
          </w:p>
          <w:p w14:paraId="1C3ACBC9" w14:textId="4729DD3D" w:rsidR="00B767B5" w:rsidRPr="00D63076" w:rsidRDefault="00D63076" w:rsidP="00CB5DBD">
            <w:pPr>
              <w:pStyle w:val="051Tabletext228pt"/>
            </w:pPr>
            <w:r w:rsidRPr="00D63076">
              <w:t>Improvement</w:t>
            </w:r>
          </w:p>
        </w:tc>
        <w:tc>
          <w:tcPr>
            <w:tcW w:w="1034" w:type="pct"/>
          </w:tcPr>
          <w:p w14:paraId="16A89193" w14:textId="2E77868D" w:rsidR="00B767B5" w:rsidRPr="00B0485F" w:rsidRDefault="00DB12E1" w:rsidP="00CB5DBD">
            <w:pPr>
              <w:pStyle w:val="051Tabletext228pt"/>
            </w:pPr>
            <w:r>
              <w:t>12</w:t>
            </w:r>
          </w:p>
        </w:tc>
      </w:tr>
      <w:tr w:rsidR="00B53D39" w:rsidRPr="00B0485F" w14:paraId="26CA3D5D" w14:textId="77777777" w:rsidTr="004C51E5">
        <w:tc>
          <w:tcPr>
            <w:tcW w:w="1638" w:type="pct"/>
          </w:tcPr>
          <w:p w14:paraId="2C27A797" w14:textId="5BE7299C" w:rsidR="00B53D39" w:rsidRPr="0098619A" w:rsidRDefault="0010276A" w:rsidP="00CB5DBD">
            <w:pPr>
              <w:pStyle w:val="051Tabletext228pt"/>
            </w:pPr>
            <w:proofErr w:type="spellStart"/>
            <w:r>
              <w:t>Drahoradova</w:t>
            </w:r>
            <w:proofErr w:type="spellEnd"/>
            <w:r>
              <w:t xml:space="preserve"> 2004</w:t>
            </w:r>
            <w:r w:rsidR="0033310D">
              <w:t xml:space="preserve"> (ID: 46)</w:t>
            </w:r>
          </w:p>
        </w:tc>
        <w:tc>
          <w:tcPr>
            <w:tcW w:w="1380" w:type="pct"/>
          </w:tcPr>
          <w:p w14:paraId="3EF2A8BA" w14:textId="77777777" w:rsidR="00B53D39" w:rsidRDefault="00AF5627" w:rsidP="00CB5DBD">
            <w:pPr>
              <w:pStyle w:val="051Tabletext228pt"/>
            </w:pPr>
            <w:r>
              <w:t>SUI</w:t>
            </w:r>
          </w:p>
          <w:p w14:paraId="08552938" w14:textId="30A358B2" w:rsidR="00B53D39" w:rsidRPr="00D63076" w:rsidRDefault="00C83ECF" w:rsidP="00CB5DBD">
            <w:pPr>
              <w:pStyle w:val="051Tabletext228pt"/>
            </w:pPr>
            <w:r>
              <w:t>N=139</w:t>
            </w:r>
          </w:p>
        </w:tc>
        <w:tc>
          <w:tcPr>
            <w:tcW w:w="948" w:type="pct"/>
          </w:tcPr>
          <w:p w14:paraId="4E445022" w14:textId="77777777" w:rsidR="00D63076" w:rsidRPr="00D63076" w:rsidRDefault="00D63076" w:rsidP="00D63076">
            <w:pPr>
              <w:pStyle w:val="051Tabletext228pt"/>
            </w:pPr>
            <w:r w:rsidRPr="00D63076">
              <w:t>Cure</w:t>
            </w:r>
          </w:p>
          <w:p w14:paraId="163F007F" w14:textId="2DC311C7" w:rsidR="00B53D39" w:rsidRPr="00D63076" w:rsidRDefault="00D63076" w:rsidP="00CB5DBD">
            <w:pPr>
              <w:pStyle w:val="051Tabletext228pt"/>
            </w:pPr>
            <w:r w:rsidRPr="00D63076">
              <w:t>Improvement</w:t>
            </w:r>
          </w:p>
        </w:tc>
        <w:tc>
          <w:tcPr>
            <w:tcW w:w="1034" w:type="pct"/>
          </w:tcPr>
          <w:p w14:paraId="0A02C19C" w14:textId="47CAA168" w:rsidR="00B53D39" w:rsidRPr="00B0485F" w:rsidRDefault="00AF5627" w:rsidP="00CB5DBD">
            <w:pPr>
              <w:pStyle w:val="051Tabletext228pt"/>
            </w:pPr>
            <w:r>
              <w:t>12</w:t>
            </w:r>
          </w:p>
        </w:tc>
      </w:tr>
      <w:tr w:rsidR="000C0BE7" w:rsidRPr="00B0485F" w14:paraId="20C19A03" w14:textId="77777777" w:rsidTr="004C51E5">
        <w:tc>
          <w:tcPr>
            <w:tcW w:w="1638" w:type="pct"/>
          </w:tcPr>
          <w:p w14:paraId="096A43E8" w14:textId="5FB5242E" w:rsidR="000C0BE7" w:rsidRPr="006F5DCB" w:rsidRDefault="0098619A" w:rsidP="00CB5DBD">
            <w:pPr>
              <w:pStyle w:val="051Tabletext228pt"/>
            </w:pPr>
            <w:r>
              <w:t>El-Barky 2005</w:t>
            </w:r>
            <w:r w:rsidR="0033310D">
              <w:t xml:space="preserve"> (ID: 201)</w:t>
            </w:r>
          </w:p>
        </w:tc>
        <w:tc>
          <w:tcPr>
            <w:tcW w:w="1380" w:type="pct"/>
          </w:tcPr>
          <w:p w14:paraId="2ADD214B" w14:textId="77777777" w:rsidR="000C0BE7" w:rsidRDefault="004D09E9" w:rsidP="00CB5DBD">
            <w:pPr>
              <w:pStyle w:val="051Tabletext228pt"/>
            </w:pPr>
            <w:r>
              <w:t>USI only (no MUI)</w:t>
            </w:r>
          </w:p>
          <w:p w14:paraId="4CBBBE7F" w14:textId="4890471B" w:rsidR="000C0BE7" w:rsidRPr="00D63076" w:rsidRDefault="00C83ECF" w:rsidP="00CB5DBD">
            <w:pPr>
              <w:pStyle w:val="051Tabletext228pt"/>
            </w:pPr>
            <w:r>
              <w:t>N=50</w:t>
            </w:r>
          </w:p>
        </w:tc>
        <w:tc>
          <w:tcPr>
            <w:tcW w:w="948" w:type="pct"/>
          </w:tcPr>
          <w:p w14:paraId="5D16B8BB" w14:textId="77777777" w:rsidR="00D63076" w:rsidRPr="00D63076" w:rsidRDefault="00D63076" w:rsidP="00D63076">
            <w:pPr>
              <w:pStyle w:val="051Tabletext228pt"/>
            </w:pPr>
            <w:r w:rsidRPr="00D63076">
              <w:t>Cure</w:t>
            </w:r>
          </w:p>
          <w:p w14:paraId="4FFD5AEB" w14:textId="4BB9CC74" w:rsidR="000C0BE7" w:rsidRPr="00D63076" w:rsidRDefault="00D63076" w:rsidP="00CB5DBD">
            <w:pPr>
              <w:pStyle w:val="051Tabletext228pt"/>
            </w:pPr>
            <w:r w:rsidRPr="00D63076">
              <w:t>Improvement</w:t>
            </w:r>
          </w:p>
        </w:tc>
        <w:tc>
          <w:tcPr>
            <w:tcW w:w="1034" w:type="pct"/>
          </w:tcPr>
          <w:p w14:paraId="4595D964" w14:textId="352711CD" w:rsidR="000C0BE7" w:rsidRPr="00B0485F" w:rsidRDefault="004D09E9" w:rsidP="00CB5DBD">
            <w:pPr>
              <w:pStyle w:val="051Tabletext228pt"/>
            </w:pPr>
            <w:r>
              <w:t>24</w:t>
            </w:r>
          </w:p>
        </w:tc>
      </w:tr>
      <w:tr w:rsidR="000C0BE7" w:rsidRPr="00B0485F" w14:paraId="5A5180FD" w14:textId="77777777" w:rsidTr="004C51E5">
        <w:tc>
          <w:tcPr>
            <w:tcW w:w="1638" w:type="pct"/>
          </w:tcPr>
          <w:p w14:paraId="3FE015D6" w14:textId="5284F513" w:rsidR="000C0BE7" w:rsidRPr="00BE337A" w:rsidRDefault="003F7FA3" w:rsidP="00CB5DBD">
            <w:pPr>
              <w:pStyle w:val="051Tabletext228pt"/>
            </w:pPr>
            <w:r w:rsidRPr="00E272F7">
              <w:t>Téllez</w:t>
            </w:r>
            <w:r w:rsidR="00930C30">
              <w:t xml:space="preserve"> </w:t>
            </w:r>
            <w:r w:rsidRPr="00E272F7">
              <w:t>Martínez</w:t>
            </w:r>
            <w:r w:rsidR="00AD7FD1">
              <w:t>-</w:t>
            </w:r>
            <w:proofErr w:type="spellStart"/>
            <w:r w:rsidRPr="00E272F7">
              <w:t>Fornés</w:t>
            </w:r>
            <w:proofErr w:type="spellEnd"/>
            <w:r>
              <w:t xml:space="preserve"> </w:t>
            </w:r>
            <w:r w:rsidRPr="00E272F7">
              <w:t>2009</w:t>
            </w:r>
            <w:r w:rsidR="0033310D">
              <w:t xml:space="preserve"> (ID: 202)</w:t>
            </w:r>
          </w:p>
        </w:tc>
        <w:tc>
          <w:tcPr>
            <w:tcW w:w="1380" w:type="pct"/>
          </w:tcPr>
          <w:p w14:paraId="54A8AD33" w14:textId="77777777" w:rsidR="000C0BE7" w:rsidRDefault="00854A01" w:rsidP="00CB5DBD">
            <w:pPr>
              <w:pStyle w:val="051Tabletext228pt"/>
            </w:pPr>
            <w:r>
              <w:t>USI (OAB excluded)</w:t>
            </w:r>
          </w:p>
          <w:p w14:paraId="12B287A4" w14:textId="327021BC" w:rsidR="000C0BE7" w:rsidRPr="00D63076" w:rsidRDefault="00C83ECF" w:rsidP="00CB5DBD">
            <w:pPr>
              <w:pStyle w:val="051Tabletext228pt"/>
            </w:pPr>
            <w:r>
              <w:t>N=49</w:t>
            </w:r>
          </w:p>
        </w:tc>
        <w:tc>
          <w:tcPr>
            <w:tcW w:w="948" w:type="pct"/>
          </w:tcPr>
          <w:p w14:paraId="36D8FA6F" w14:textId="77777777" w:rsidR="00D63076" w:rsidRPr="00D63076" w:rsidRDefault="00D63076" w:rsidP="00D63076">
            <w:pPr>
              <w:pStyle w:val="051Tabletext228pt"/>
            </w:pPr>
            <w:r w:rsidRPr="00D63076">
              <w:t>Cure</w:t>
            </w:r>
          </w:p>
          <w:p w14:paraId="33D2A214" w14:textId="3D0C3331" w:rsidR="000C0BE7" w:rsidRPr="00D63076" w:rsidRDefault="00D63076" w:rsidP="00CB5DBD">
            <w:pPr>
              <w:pStyle w:val="051Tabletext228pt"/>
            </w:pPr>
            <w:r w:rsidRPr="00D63076">
              <w:t>Improvement</w:t>
            </w:r>
          </w:p>
        </w:tc>
        <w:tc>
          <w:tcPr>
            <w:tcW w:w="1034" w:type="pct"/>
          </w:tcPr>
          <w:p w14:paraId="32A0B521" w14:textId="2933F647" w:rsidR="000C0BE7" w:rsidRPr="00B0485F" w:rsidRDefault="00B309AB" w:rsidP="00CB5DBD">
            <w:pPr>
              <w:pStyle w:val="051Tabletext228pt"/>
            </w:pPr>
            <w:r>
              <w:t>36</w:t>
            </w:r>
          </w:p>
        </w:tc>
      </w:tr>
      <w:tr w:rsidR="000C0BE7" w:rsidRPr="00B0485F" w14:paraId="02D963C2" w14:textId="77777777" w:rsidTr="004C51E5">
        <w:tc>
          <w:tcPr>
            <w:tcW w:w="1638" w:type="pct"/>
          </w:tcPr>
          <w:p w14:paraId="638B708B" w14:textId="4D1395FB" w:rsidR="000C0BE7" w:rsidRPr="00BE337A" w:rsidRDefault="00425792" w:rsidP="00CB5DBD">
            <w:pPr>
              <w:pStyle w:val="051Tabletext228pt"/>
            </w:pPr>
            <w:r>
              <w:t>Trabuco 2014</w:t>
            </w:r>
            <w:r w:rsidR="0033310D">
              <w:t xml:space="preserve"> (ID: 32)</w:t>
            </w:r>
          </w:p>
        </w:tc>
        <w:tc>
          <w:tcPr>
            <w:tcW w:w="1380" w:type="pct"/>
          </w:tcPr>
          <w:p w14:paraId="281A6688" w14:textId="77777777" w:rsidR="000C0BE7" w:rsidRDefault="00C65AB9" w:rsidP="00CB5DBD">
            <w:pPr>
              <w:pStyle w:val="051Tabletext228pt"/>
            </w:pPr>
            <w:r>
              <w:t>SUI, predominant SUI</w:t>
            </w:r>
          </w:p>
          <w:p w14:paraId="77696CF1" w14:textId="28ACF0EB" w:rsidR="000C0BE7" w:rsidRPr="00D63076" w:rsidRDefault="00C83ECF" w:rsidP="00CB5DBD">
            <w:pPr>
              <w:pStyle w:val="051Tabletext228pt"/>
            </w:pPr>
            <w:r>
              <w:t>N=113</w:t>
            </w:r>
          </w:p>
        </w:tc>
        <w:tc>
          <w:tcPr>
            <w:tcW w:w="948" w:type="pct"/>
          </w:tcPr>
          <w:p w14:paraId="65C8C96C" w14:textId="77777777" w:rsidR="00D63076" w:rsidRPr="00D63076" w:rsidRDefault="00D63076" w:rsidP="00D63076">
            <w:pPr>
              <w:pStyle w:val="051Tabletext228pt"/>
            </w:pPr>
            <w:r w:rsidRPr="00D63076">
              <w:t>Cure</w:t>
            </w:r>
          </w:p>
          <w:p w14:paraId="7201C526" w14:textId="62E42826" w:rsidR="000C0BE7" w:rsidRPr="00D63076" w:rsidRDefault="00D63076" w:rsidP="00CB5DBD">
            <w:pPr>
              <w:pStyle w:val="051Tabletext228pt"/>
            </w:pPr>
            <w:r w:rsidRPr="00D63076">
              <w:t>Improvement</w:t>
            </w:r>
          </w:p>
        </w:tc>
        <w:tc>
          <w:tcPr>
            <w:tcW w:w="1034" w:type="pct"/>
          </w:tcPr>
          <w:p w14:paraId="48F53AB1" w14:textId="42524DA6" w:rsidR="000C0BE7" w:rsidRPr="00B0485F" w:rsidRDefault="00A433D9" w:rsidP="00CB5DBD">
            <w:pPr>
              <w:pStyle w:val="051Tabletext228pt"/>
            </w:pPr>
            <w:r>
              <w:t>6</w:t>
            </w:r>
          </w:p>
        </w:tc>
      </w:tr>
      <w:tr w:rsidR="000C0BE7" w:rsidRPr="00B0485F" w14:paraId="3B815593" w14:textId="77777777" w:rsidTr="004C51E5">
        <w:tc>
          <w:tcPr>
            <w:tcW w:w="1638" w:type="pct"/>
          </w:tcPr>
          <w:p w14:paraId="41747E5B" w14:textId="4547BE72" w:rsidR="000C0BE7" w:rsidRPr="00BE337A" w:rsidRDefault="001A3922" w:rsidP="00CB5DBD">
            <w:pPr>
              <w:pStyle w:val="051Tabletext228pt"/>
            </w:pPr>
            <w:r>
              <w:t>Wang 2003</w:t>
            </w:r>
            <w:r w:rsidR="0033310D">
              <w:t xml:space="preserve"> (ID: 203)</w:t>
            </w:r>
          </w:p>
        </w:tc>
        <w:tc>
          <w:tcPr>
            <w:tcW w:w="1380" w:type="pct"/>
          </w:tcPr>
          <w:p w14:paraId="0C0E9AD3" w14:textId="77777777" w:rsidR="000C0BE7" w:rsidRDefault="00C65AB9" w:rsidP="00CB5DBD">
            <w:pPr>
              <w:pStyle w:val="051Tabletext228pt"/>
            </w:pPr>
            <w:r>
              <w:t>USI</w:t>
            </w:r>
          </w:p>
          <w:p w14:paraId="2D203B68" w14:textId="1A107C61" w:rsidR="000C0BE7" w:rsidRPr="00D63076" w:rsidRDefault="00C83ECF" w:rsidP="00CB5DBD">
            <w:pPr>
              <w:pStyle w:val="051Tabletext228pt"/>
            </w:pPr>
            <w:r>
              <w:t>N=98</w:t>
            </w:r>
          </w:p>
        </w:tc>
        <w:tc>
          <w:tcPr>
            <w:tcW w:w="948" w:type="pct"/>
          </w:tcPr>
          <w:p w14:paraId="69066088" w14:textId="77777777" w:rsidR="00D63076" w:rsidRPr="00D63076" w:rsidRDefault="00D63076" w:rsidP="00D63076">
            <w:pPr>
              <w:pStyle w:val="051Tabletext228pt"/>
            </w:pPr>
            <w:r w:rsidRPr="00D63076">
              <w:t>Cure</w:t>
            </w:r>
          </w:p>
          <w:p w14:paraId="69A58464" w14:textId="34B2359F" w:rsidR="000C0BE7" w:rsidRPr="00D63076" w:rsidRDefault="00D63076" w:rsidP="00CB5DBD">
            <w:pPr>
              <w:pStyle w:val="051Tabletext228pt"/>
            </w:pPr>
            <w:r w:rsidRPr="00D63076">
              <w:t>Improvement</w:t>
            </w:r>
          </w:p>
        </w:tc>
        <w:tc>
          <w:tcPr>
            <w:tcW w:w="1034" w:type="pct"/>
          </w:tcPr>
          <w:p w14:paraId="0DD4E5D2" w14:textId="70EB09ED" w:rsidR="000C0BE7" w:rsidRPr="00B0485F" w:rsidRDefault="00C65AB9" w:rsidP="00CB5DBD">
            <w:pPr>
              <w:pStyle w:val="051Tabletext228pt"/>
            </w:pPr>
            <w:r>
              <w:t>22</w:t>
            </w:r>
          </w:p>
        </w:tc>
      </w:tr>
      <w:tr w:rsidR="000C0BE7" w:rsidRPr="00B0485F" w14:paraId="7AD1EF04" w14:textId="77777777" w:rsidTr="004C51E5">
        <w:tc>
          <w:tcPr>
            <w:tcW w:w="1638" w:type="pct"/>
          </w:tcPr>
          <w:p w14:paraId="542C98C3" w14:textId="4D3FEFE6" w:rsidR="000C0BE7" w:rsidRPr="00BE337A" w:rsidRDefault="004667CC" w:rsidP="00CB5DBD">
            <w:pPr>
              <w:pStyle w:val="051Tabletext228pt"/>
            </w:pPr>
            <w:r>
              <w:t>Ward 2002</w:t>
            </w:r>
            <w:r w:rsidR="0033310D">
              <w:t xml:space="preserve"> (ID: 100)</w:t>
            </w:r>
          </w:p>
        </w:tc>
        <w:tc>
          <w:tcPr>
            <w:tcW w:w="1380" w:type="pct"/>
          </w:tcPr>
          <w:p w14:paraId="6C6511F0" w14:textId="77777777" w:rsidR="000C0BE7" w:rsidRDefault="0070493D" w:rsidP="00CB5DBD">
            <w:pPr>
              <w:pStyle w:val="051Tabletext228pt"/>
            </w:pPr>
            <w:r>
              <w:t>USI (DO excluded)</w:t>
            </w:r>
          </w:p>
          <w:p w14:paraId="4DED443C" w14:textId="63227EFD" w:rsidR="000C0BE7" w:rsidRPr="00D63076" w:rsidRDefault="00C83ECF" w:rsidP="00CB5DBD">
            <w:pPr>
              <w:pStyle w:val="051Tabletext228pt"/>
            </w:pPr>
            <w:r>
              <w:t>N=344</w:t>
            </w:r>
          </w:p>
        </w:tc>
        <w:tc>
          <w:tcPr>
            <w:tcW w:w="948" w:type="pct"/>
          </w:tcPr>
          <w:p w14:paraId="74CC4334" w14:textId="77777777" w:rsidR="00D63076" w:rsidRPr="00D63076" w:rsidRDefault="00D63076" w:rsidP="00D63076">
            <w:pPr>
              <w:pStyle w:val="051Tabletext228pt"/>
            </w:pPr>
            <w:r w:rsidRPr="00D63076">
              <w:t>Cure</w:t>
            </w:r>
          </w:p>
          <w:p w14:paraId="477112E5" w14:textId="5B3B0804" w:rsidR="000C0BE7" w:rsidRPr="00D63076" w:rsidRDefault="00D63076" w:rsidP="00CB5DBD">
            <w:pPr>
              <w:pStyle w:val="051Tabletext228pt"/>
            </w:pPr>
            <w:r w:rsidRPr="00D63076">
              <w:t>Improvement</w:t>
            </w:r>
          </w:p>
        </w:tc>
        <w:tc>
          <w:tcPr>
            <w:tcW w:w="1034" w:type="pct"/>
          </w:tcPr>
          <w:p w14:paraId="57EEAF8F" w14:textId="0A590668" w:rsidR="000C0BE7" w:rsidRPr="00B0485F" w:rsidRDefault="00AE5493" w:rsidP="00CB5DBD">
            <w:pPr>
              <w:pStyle w:val="051Tabletext228pt"/>
            </w:pPr>
            <w:r>
              <w:t>60</w:t>
            </w:r>
          </w:p>
        </w:tc>
      </w:tr>
    </w:tbl>
    <w:p w14:paraId="6348EBF0" w14:textId="7600A9E9" w:rsidR="003D5E33" w:rsidRDefault="003D5E33" w:rsidP="004C51E5">
      <w:pPr>
        <w:pStyle w:val="101Tablefootnotes8pt"/>
      </w:pPr>
      <w:r>
        <w:t xml:space="preserve">Source: </w:t>
      </w:r>
      <w:r w:rsidR="00245CE2">
        <w:rPr>
          <w:noProof/>
        </w:rPr>
        <w:t>(Brazzelli 2019)</w:t>
      </w:r>
    </w:p>
    <w:p w14:paraId="342DD6F7" w14:textId="77777777" w:rsidR="004C51E5" w:rsidRPr="00741902" w:rsidRDefault="004C51E5" w:rsidP="004C51E5">
      <w:pPr>
        <w:pStyle w:val="101Tablefootnotes8pt"/>
      </w:pPr>
      <w:r>
        <w:t xml:space="preserve">Abbreviations: DO, detrusor overactivity; MUI, mixed urinary incontinence; MUS, mid-urethral sling; OAB, overactive bladder; RCT, randomised controlled trial; SUI, stress urinary incontinence; USI, urodynamic stress incontinence; UUI, urge urinary incontinence. </w:t>
      </w:r>
    </w:p>
    <w:p w14:paraId="35B43359" w14:textId="4DD1100E" w:rsidR="00A20E7C" w:rsidRPr="00741902" w:rsidRDefault="00741902" w:rsidP="004C51E5">
      <w:pPr>
        <w:pStyle w:val="111Tablefootnoteslast-nostick8pt"/>
      </w:pPr>
      <w:r>
        <w:rPr>
          <w:vertAlign w:val="superscript"/>
        </w:rPr>
        <w:t>1</w:t>
      </w:r>
      <w:r>
        <w:t xml:space="preserve"> Three-arm trial</w:t>
      </w:r>
      <w:r w:rsidR="0054240A">
        <w:t xml:space="preserve"> of RP-MUS, open </w:t>
      </w:r>
      <w:proofErr w:type="spellStart"/>
      <w:r w:rsidR="0054240A">
        <w:t>colposuspension</w:t>
      </w:r>
      <w:proofErr w:type="spellEnd"/>
      <w:r w:rsidR="0054240A">
        <w:t xml:space="preserve"> and traditional sling</w:t>
      </w:r>
      <w:r>
        <w:t xml:space="preserve">. </w:t>
      </w:r>
      <w:r w:rsidR="00582376">
        <w:t xml:space="preserve">N = total participants across all </w:t>
      </w:r>
      <w:r w:rsidR="00A832D8">
        <w:t>three</w:t>
      </w:r>
      <w:r w:rsidR="00582376">
        <w:t xml:space="preserve"> arms.</w:t>
      </w:r>
    </w:p>
    <w:p w14:paraId="11381C68" w14:textId="456B099E" w:rsidR="00B3755D" w:rsidRPr="00B3755D" w:rsidRDefault="00991FF7" w:rsidP="00B3755D">
      <w:pPr>
        <w:pStyle w:val="Heading9"/>
        <w:rPr>
          <w:lang w:val="en-US"/>
        </w:rPr>
      </w:pPr>
      <w:r>
        <w:rPr>
          <w:lang w:val="en-US"/>
        </w:rPr>
        <w:t xml:space="preserve">Laparoscopic </w:t>
      </w:r>
      <w:proofErr w:type="spellStart"/>
      <w:r>
        <w:rPr>
          <w:lang w:val="en-US"/>
        </w:rPr>
        <w:t>colposuspension</w:t>
      </w:r>
      <w:proofErr w:type="spellEnd"/>
      <w:r>
        <w:rPr>
          <w:lang w:val="en-US"/>
        </w:rPr>
        <w:t xml:space="preserve"> versus RP-MUS</w:t>
      </w:r>
    </w:p>
    <w:p w14:paraId="21A2F9CE" w14:textId="097CFE93" w:rsidR="00944F5B" w:rsidRPr="00B0485F" w:rsidRDefault="00944F5B" w:rsidP="00944F5B">
      <w:pPr>
        <w:pStyle w:val="Caption"/>
      </w:pPr>
      <w:bookmarkStart w:id="222" w:name="_Toc165627910"/>
      <w:r w:rsidRPr="00B0485F">
        <w:t xml:space="preserve">Table App. </w:t>
      </w:r>
      <w:fldSimple w:instr=" SEQ Table_App. \* ARABIC ">
        <w:r w:rsidR="007105D3">
          <w:rPr>
            <w:noProof/>
          </w:rPr>
          <w:t>7</w:t>
        </w:r>
      </w:fldSimple>
      <w:r w:rsidRPr="00B0485F">
        <w:tab/>
        <w:t xml:space="preserve">Summary of included RCTs for </w:t>
      </w:r>
      <w:r>
        <w:t>lap</w:t>
      </w:r>
      <w:r w:rsidR="00A447AF">
        <w:t>a</w:t>
      </w:r>
      <w:r>
        <w:t xml:space="preserve">roscopic </w:t>
      </w:r>
      <w:proofErr w:type="spellStart"/>
      <w:r w:rsidRPr="00B0485F">
        <w:t>colposuspension</w:t>
      </w:r>
      <w:proofErr w:type="spellEnd"/>
      <w:r w:rsidRPr="00B0485F">
        <w:t xml:space="preserve"> versus </w:t>
      </w:r>
      <w:r>
        <w:t>RP-MUS</w:t>
      </w:r>
      <w:bookmarkEnd w:id="222"/>
    </w:p>
    <w:tbl>
      <w:tblPr>
        <w:tblStyle w:val="TableGrid"/>
        <w:tblW w:w="5000" w:type="pct"/>
        <w:tblLook w:val="04A0" w:firstRow="1" w:lastRow="0" w:firstColumn="1" w:lastColumn="0" w:noHBand="0" w:noVBand="1"/>
        <w:tblCaption w:val="Summary of included RCTs for laparoscopic colposuspension versus RP-MUS (from Brazzelli 2019)"/>
        <w:tblDescription w:val="This table summarises the study characteristics of the relevant included studies from the Brazzelli (2019) NMA for laparoscopic colposuspension versus RP-MUS. The study ID, participants, outcomes and length of follow-up are presented. "/>
      </w:tblPr>
      <w:tblGrid>
        <w:gridCol w:w="2803"/>
        <w:gridCol w:w="2454"/>
        <w:gridCol w:w="2259"/>
        <w:gridCol w:w="2122"/>
      </w:tblGrid>
      <w:tr w:rsidR="00944F5B" w:rsidRPr="00B0485F" w14:paraId="7F0C5994" w14:textId="77777777" w:rsidTr="004C51E5">
        <w:trPr>
          <w:cnfStyle w:val="100000000000" w:firstRow="1" w:lastRow="0" w:firstColumn="0" w:lastColumn="0" w:oddVBand="0" w:evenVBand="0" w:oddHBand="0" w:evenHBand="0" w:firstRowFirstColumn="0" w:firstRowLastColumn="0" w:lastRowFirstColumn="0" w:lastRowLastColumn="0"/>
        </w:trPr>
        <w:tc>
          <w:tcPr>
            <w:tcW w:w="1454" w:type="pct"/>
          </w:tcPr>
          <w:p w14:paraId="3EE7E2BF" w14:textId="29D890D1" w:rsidR="00944F5B" w:rsidRPr="00B0485F" w:rsidRDefault="00944F5B" w:rsidP="00CB5DBD">
            <w:pPr>
              <w:pStyle w:val="011TableHeading8pt"/>
            </w:pPr>
            <w:r w:rsidRPr="00B0485F">
              <w:t>Study ID</w:t>
            </w:r>
          </w:p>
        </w:tc>
        <w:tc>
          <w:tcPr>
            <w:tcW w:w="1273" w:type="pct"/>
          </w:tcPr>
          <w:p w14:paraId="60F29685" w14:textId="77777777" w:rsidR="00944F5B" w:rsidRPr="00B0485F" w:rsidRDefault="00944F5B" w:rsidP="00CB5DBD">
            <w:pPr>
              <w:pStyle w:val="011TableHeading8pt"/>
            </w:pPr>
            <w:r w:rsidRPr="00B0485F">
              <w:t>Participants</w:t>
            </w:r>
          </w:p>
        </w:tc>
        <w:tc>
          <w:tcPr>
            <w:tcW w:w="1172" w:type="pct"/>
          </w:tcPr>
          <w:p w14:paraId="5FDB34A7" w14:textId="77777777" w:rsidR="00944F5B" w:rsidRPr="00B0485F" w:rsidRDefault="00944F5B" w:rsidP="00CB5DBD">
            <w:pPr>
              <w:pStyle w:val="011TableHeading8pt"/>
            </w:pPr>
            <w:r w:rsidRPr="00B0485F">
              <w:t>Outcomes</w:t>
            </w:r>
          </w:p>
        </w:tc>
        <w:tc>
          <w:tcPr>
            <w:tcW w:w="1101" w:type="pct"/>
          </w:tcPr>
          <w:p w14:paraId="777FDB48" w14:textId="77777777" w:rsidR="00944F5B" w:rsidRPr="00B0485F" w:rsidRDefault="00944F5B" w:rsidP="00CB5DBD">
            <w:pPr>
              <w:pStyle w:val="011TableHeading8pt"/>
            </w:pPr>
            <w:r>
              <w:t>Length of or last f</w:t>
            </w:r>
            <w:r w:rsidRPr="00B0485F">
              <w:t>ollow-up (months)</w:t>
            </w:r>
          </w:p>
        </w:tc>
      </w:tr>
      <w:tr w:rsidR="00944F5B" w:rsidRPr="00B0485F" w14:paraId="5CBD116A" w14:textId="77777777" w:rsidTr="004C51E5">
        <w:tc>
          <w:tcPr>
            <w:tcW w:w="1454" w:type="pct"/>
          </w:tcPr>
          <w:p w14:paraId="76FC9F98" w14:textId="2302E2F7" w:rsidR="00944F5B" w:rsidRPr="00277261" w:rsidRDefault="005170B5" w:rsidP="00CB5DBD">
            <w:pPr>
              <w:pStyle w:val="051Tabletext228pt"/>
            </w:pPr>
            <w:r w:rsidRPr="005170B5">
              <w:t>Foot</w:t>
            </w:r>
            <w:r w:rsidR="002424A6">
              <w:t>e</w:t>
            </w:r>
            <w:r w:rsidRPr="005170B5">
              <w:t xml:space="preserve"> 2006</w:t>
            </w:r>
            <w:r w:rsidR="0033310D">
              <w:t xml:space="preserve"> (ID: 146)</w:t>
            </w:r>
          </w:p>
        </w:tc>
        <w:tc>
          <w:tcPr>
            <w:tcW w:w="1273" w:type="pct"/>
          </w:tcPr>
          <w:p w14:paraId="14FC0006" w14:textId="77777777" w:rsidR="00944F5B" w:rsidRDefault="00A12E3D" w:rsidP="00CB5DBD">
            <w:pPr>
              <w:pStyle w:val="051Tabletext228pt"/>
            </w:pPr>
            <w:r>
              <w:t>USI (DO excluded)</w:t>
            </w:r>
          </w:p>
          <w:p w14:paraId="54837EA8" w14:textId="7EDAE326" w:rsidR="00944F5B" w:rsidRPr="00D96630" w:rsidRDefault="006E2F8C" w:rsidP="00CB5DBD">
            <w:pPr>
              <w:pStyle w:val="051Tabletext228pt"/>
            </w:pPr>
            <w:r>
              <w:t>N=97</w:t>
            </w:r>
          </w:p>
        </w:tc>
        <w:tc>
          <w:tcPr>
            <w:tcW w:w="1172" w:type="pct"/>
          </w:tcPr>
          <w:p w14:paraId="3EA6F3A8" w14:textId="0F502EAA" w:rsidR="00944F5B" w:rsidRPr="00D96630" w:rsidRDefault="00AE4A2C" w:rsidP="00CB5DBD">
            <w:pPr>
              <w:pStyle w:val="051Tabletext228pt"/>
            </w:pPr>
            <w:r>
              <w:t>Improvement</w:t>
            </w:r>
          </w:p>
        </w:tc>
        <w:tc>
          <w:tcPr>
            <w:tcW w:w="1101" w:type="pct"/>
          </w:tcPr>
          <w:p w14:paraId="25DE5058" w14:textId="2549ED69" w:rsidR="00944F5B" w:rsidRPr="00B0485F" w:rsidRDefault="006661F0" w:rsidP="00CB5DBD">
            <w:pPr>
              <w:pStyle w:val="051Tabletext228pt"/>
            </w:pPr>
            <w:r>
              <w:t>28.8</w:t>
            </w:r>
          </w:p>
        </w:tc>
      </w:tr>
      <w:tr w:rsidR="00D96630" w:rsidRPr="00B0485F" w14:paraId="74DD422C" w14:textId="77777777" w:rsidTr="004C51E5">
        <w:tc>
          <w:tcPr>
            <w:tcW w:w="1454" w:type="pct"/>
          </w:tcPr>
          <w:p w14:paraId="1FF2684C" w14:textId="5CFF73FE" w:rsidR="00D96630" w:rsidRPr="005170B5" w:rsidRDefault="001D69BE" w:rsidP="00CB5DBD">
            <w:pPr>
              <w:pStyle w:val="051Tabletext228pt"/>
            </w:pPr>
            <w:r>
              <w:t>Maher 2004</w:t>
            </w:r>
            <w:r w:rsidR="0033310D">
              <w:t xml:space="preserve"> (ID: 63)</w:t>
            </w:r>
          </w:p>
        </w:tc>
        <w:tc>
          <w:tcPr>
            <w:tcW w:w="1273" w:type="pct"/>
          </w:tcPr>
          <w:p w14:paraId="0F07D623" w14:textId="77777777" w:rsidR="00D96630" w:rsidRDefault="006312FC" w:rsidP="00CB5DBD">
            <w:pPr>
              <w:pStyle w:val="051Tabletext228pt"/>
            </w:pPr>
            <w:r>
              <w:t>SUI</w:t>
            </w:r>
          </w:p>
          <w:p w14:paraId="3197EB60" w14:textId="32655CB7" w:rsidR="00D96630" w:rsidRPr="00D96630" w:rsidRDefault="006E2F8C" w:rsidP="00CB5DBD">
            <w:pPr>
              <w:pStyle w:val="051Tabletext228pt"/>
            </w:pPr>
            <w:r>
              <w:t>N=82</w:t>
            </w:r>
          </w:p>
        </w:tc>
        <w:tc>
          <w:tcPr>
            <w:tcW w:w="1172" w:type="pct"/>
          </w:tcPr>
          <w:p w14:paraId="56E443C4" w14:textId="77777777" w:rsidR="00D96630" w:rsidRDefault="00B903E8" w:rsidP="00CB5DBD">
            <w:pPr>
              <w:pStyle w:val="051Tabletext228pt"/>
            </w:pPr>
            <w:r>
              <w:t>Cure</w:t>
            </w:r>
          </w:p>
          <w:p w14:paraId="6A4BC937" w14:textId="560EFF06" w:rsidR="00D96630" w:rsidRPr="00D96630" w:rsidRDefault="00B903E8" w:rsidP="00CB5DBD">
            <w:pPr>
              <w:pStyle w:val="051Tabletext228pt"/>
            </w:pPr>
            <w:r>
              <w:t>Improvement</w:t>
            </w:r>
          </w:p>
        </w:tc>
        <w:tc>
          <w:tcPr>
            <w:tcW w:w="1101" w:type="pct"/>
          </w:tcPr>
          <w:p w14:paraId="78732848" w14:textId="3FFE9310" w:rsidR="00D96630" w:rsidRPr="00D96630" w:rsidRDefault="00784177" w:rsidP="00CB5DBD">
            <w:pPr>
              <w:pStyle w:val="051Tabletext228pt"/>
            </w:pPr>
            <w:r>
              <w:t>6</w:t>
            </w:r>
          </w:p>
        </w:tc>
      </w:tr>
      <w:tr w:rsidR="006661F0" w:rsidRPr="00B0485F" w14:paraId="6BC49C4D" w14:textId="77777777" w:rsidTr="004C51E5">
        <w:tc>
          <w:tcPr>
            <w:tcW w:w="1454" w:type="pct"/>
          </w:tcPr>
          <w:p w14:paraId="2DBB9A13" w14:textId="278381D5" w:rsidR="006661F0" w:rsidRPr="005170B5" w:rsidRDefault="007D4660" w:rsidP="00CB5DBD">
            <w:pPr>
              <w:pStyle w:val="051Tabletext228pt"/>
            </w:pPr>
            <w:r>
              <w:t>Paraiso 2004</w:t>
            </w:r>
            <w:r w:rsidR="0033310D">
              <w:t xml:space="preserve"> (ID: 147)</w:t>
            </w:r>
          </w:p>
        </w:tc>
        <w:tc>
          <w:tcPr>
            <w:tcW w:w="1273" w:type="pct"/>
          </w:tcPr>
          <w:p w14:paraId="3CA648D6" w14:textId="77777777" w:rsidR="006661F0" w:rsidRDefault="007B55B7" w:rsidP="00CB5DBD">
            <w:pPr>
              <w:pStyle w:val="051Tabletext228pt"/>
            </w:pPr>
            <w:r>
              <w:t>USI (DO excluded)</w:t>
            </w:r>
          </w:p>
          <w:p w14:paraId="1112922A" w14:textId="5709640A" w:rsidR="006661F0" w:rsidRPr="00D96630" w:rsidRDefault="006E2F8C" w:rsidP="00CB5DBD">
            <w:pPr>
              <w:pStyle w:val="051Tabletext228pt"/>
            </w:pPr>
            <w:r>
              <w:t>N=72</w:t>
            </w:r>
          </w:p>
        </w:tc>
        <w:tc>
          <w:tcPr>
            <w:tcW w:w="1172" w:type="pct"/>
          </w:tcPr>
          <w:p w14:paraId="7A3A6CB4" w14:textId="77777777" w:rsidR="00B903E8" w:rsidRDefault="00B903E8" w:rsidP="00B903E8">
            <w:pPr>
              <w:pStyle w:val="051Tabletext228pt"/>
            </w:pPr>
            <w:r>
              <w:t>Cure</w:t>
            </w:r>
          </w:p>
          <w:p w14:paraId="4CA3972B" w14:textId="2E693A77" w:rsidR="006661F0" w:rsidRPr="00D96630" w:rsidRDefault="00B903E8" w:rsidP="00CB5DBD">
            <w:pPr>
              <w:pStyle w:val="051Tabletext228pt"/>
            </w:pPr>
            <w:r>
              <w:t>Improvement</w:t>
            </w:r>
          </w:p>
        </w:tc>
        <w:tc>
          <w:tcPr>
            <w:tcW w:w="1101" w:type="pct"/>
          </w:tcPr>
          <w:p w14:paraId="3AEB3107" w14:textId="619CD4BD" w:rsidR="006661F0" w:rsidRPr="00D96630" w:rsidRDefault="00F04F04" w:rsidP="00CB5DBD">
            <w:pPr>
              <w:pStyle w:val="051Tabletext228pt"/>
            </w:pPr>
            <w:r>
              <w:t>65</w:t>
            </w:r>
          </w:p>
        </w:tc>
      </w:tr>
      <w:tr w:rsidR="006661F0" w:rsidRPr="00B0485F" w14:paraId="150ED274" w14:textId="77777777" w:rsidTr="004C51E5">
        <w:tc>
          <w:tcPr>
            <w:tcW w:w="1454" w:type="pct"/>
          </w:tcPr>
          <w:p w14:paraId="4948FC42" w14:textId="06D6EBA8" w:rsidR="006661F0" w:rsidRPr="006A62DC" w:rsidRDefault="007D4660" w:rsidP="00CB5DBD">
            <w:pPr>
              <w:pStyle w:val="051Tabletext228pt"/>
            </w:pPr>
            <w:proofErr w:type="spellStart"/>
            <w:r w:rsidRPr="006A62DC">
              <w:t>Valpas</w:t>
            </w:r>
            <w:proofErr w:type="spellEnd"/>
            <w:r w:rsidRPr="006A62DC">
              <w:t xml:space="preserve"> 2006</w:t>
            </w:r>
            <w:r w:rsidR="0033310D" w:rsidRPr="006A62DC">
              <w:t xml:space="preserve"> (ID: 279)</w:t>
            </w:r>
            <w:r w:rsidR="00B74730" w:rsidRPr="006A62DC">
              <w:rPr>
                <w:vertAlign w:val="superscript"/>
              </w:rPr>
              <w:t>1</w:t>
            </w:r>
          </w:p>
        </w:tc>
        <w:tc>
          <w:tcPr>
            <w:tcW w:w="1273" w:type="pct"/>
          </w:tcPr>
          <w:p w14:paraId="1002532F" w14:textId="52EB94C9" w:rsidR="006661F0" w:rsidRPr="006A62DC" w:rsidRDefault="008E7FF5" w:rsidP="00CB5DBD">
            <w:pPr>
              <w:pStyle w:val="051Tabletext228pt"/>
            </w:pPr>
            <w:r w:rsidRPr="006A62DC">
              <w:t>N/A</w:t>
            </w:r>
          </w:p>
        </w:tc>
        <w:tc>
          <w:tcPr>
            <w:tcW w:w="1172" w:type="pct"/>
          </w:tcPr>
          <w:p w14:paraId="1870834F" w14:textId="30D498D4" w:rsidR="006661F0" w:rsidRPr="006A62DC" w:rsidRDefault="000601AD" w:rsidP="00CB5DBD">
            <w:pPr>
              <w:pStyle w:val="051Tabletext228pt"/>
            </w:pPr>
            <w:r w:rsidRPr="006A62DC">
              <w:t>Improvement</w:t>
            </w:r>
          </w:p>
        </w:tc>
        <w:tc>
          <w:tcPr>
            <w:tcW w:w="1101" w:type="pct"/>
          </w:tcPr>
          <w:p w14:paraId="2F6A1E08" w14:textId="6DED8473" w:rsidR="006661F0" w:rsidRPr="006A62DC" w:rsidRDefault="008E7FF5" w:rsidP="00CB5DBD">
            <w:pPr>
              <w:pStyle w:val="051Tabletext228pt"/>
            </w:pPr>
            <w:r w:rsidRPr="006A62DC">
              <w:t>N/A</w:t>
            </w:r>
          </w:p>
        </w:tc>
      </w:tr>
    </w:tbl>
    <w:p w14:paraId="018EDCDD" w14:textId="4F0EE6D4" w:rsidR="003D5E33" w:rsidRDefault="003D5E33" w:rsidP="004C51E5">
      <w:pPr>
        <w:pStyle w:val="101Tablefootnotes8pt"/>
      </w:pPr>
      <w:r>
        <w:t xml:space="preserve">Source: </w:t>
      </w:r>
      <w:r w:rsidR="00245CE2">
        <w:rPr>
          <w:noProof/>
        </w:rPr>
        <w:t>(Brazzelli 2019)</w:t>
      </w:r>
    </w:p>
    <w:p w14:paraId="632F1E1C" w14:textId="2015FF03" w:rsidR="00944F5B" w:rsidRDefault="00A12E3D" w:rsidP="004C51E5">
      <w:pPr>
        <w:pStyle w:val="101Tablefootnotes8pt"/>
      </w:pPr>
      <w:r>
        <w:t xml:space="preserve">Abbreviations: </w:t>
      </w:r>
      <w:r w:rsidR="005F3558">
        <w:t xml:space="preserve">DO, </w:t>
      </w:r>
      <w:r w:rsidR="009B0DF1">
        <w:t>detrusor overactivity</w:t>
      </w:r>
      <w:r w:rsidR="005F3558">
        <w:t>; USI,</w:t>
      </w:r>
      <w:r w:rsidR="003629BC">
        <w:t xml:space="preserve"> urodynamic stress incontinence</w:t>
      </w:r>
      <w:r w:rsidR="005F3558">
        <w:t>; MUS,</w:t>
      </w:r>
      <w:r w:rsidR="003629BC">
        <w:t xml:space="preserve"> mid-urethral sling</w:t>
      </w:r>
      <w:r w:rsidR="005F3558">
        <w:t>; RP,</w:t>
      </w:r>
      <w:r w:rsidR="00F22F05">
        <w:t xml:space="preserve"> retropubic</w:t>
      </w:r>
      <w:r w:rsidR="005F3558">
        <w:t xml:space="preserve">; </w:t>
      </w:r>
      <w:r w:rsidR="00523E36">
        <w:t>RCT,</w:t>
      </w:r>
      <w:r w:rsidR="005C4519">
        <w:t xml:space="preserve"> randomised controlled trial.</w:t>
      </w:r>
      <w:r w:rsidR="00523E36">
        <w:t xml:space="preserve"> </w:t>
      </w:r>
    </w:p>
    <w:p w14:paraId="23B2412F" w14:textId="77777777" w:rsidR="004C51E5" w:rsidRPr="009938F4" w:rsidRDefault="004C51E5" w:rsidP="004C51E5">
      <w:pPr>
        <w:pStyle w:val="111Tablefootnoteslast-nostick8pt"/>
      </w:pPr>
      <w:r>
        <w:rPr>
          <w:vertAlign w:val="superscript"/>
        </w:rPr>
        <w:t xml:space="preserve">1 </w:t>
      </w:r>
      <w:r>
        <w:t xml:space="preserve">Unclear if </w:t>
      </w:r>
      <w:proofErr w:type="spellStart"/>
      <w:r>
        <w:t>Valpas</w:t>
      </w:r>
      <w:proofErr w:type="spellEnd"/>
      <w:r>
        <w:t xml:space="preserve"> 2006 is correctly cited in source as this is a cost-effectiveness study.</w:t>
      </w:r>
    </w:p>
    <w:p w14:paraId="2125510F" w14:textId="1FD2E320" w:rsidR="00991FF7" w:rsidRPr="00991FF7" w:rsidRDefault="00991FF7" w:rsidP="003D5E33">
      <w:pPr>
        <w:pStyle w:val="Heading9"/>
        <w:rPr>
          <w:lang w:val="en-US"/>
        </w:rPr>
      </w:pPr>
      <w:r>
        <w:rPr>
          <w:lang w:val="en-US"/>
        </w:rPr>
        <w:lastRenderedPageBreak/>
        <w:t xml:space="preserve">Open </w:t>
      </w:r>
      <w:proofErr w:type="spellStart"/>
      <w:r>
        <w:rPr>
          <w:lang w:val="en-US"/>
        </w:rPr>
        <w:t>colposuspension</w:t>
      </w:r>
      <w:proofErr w:type="spellEnd"/>
      <w:r>
        <w:rPr>
          <w:lang w:val="en-US"/>
        </w:rPr>
        <w:t xml:space="preserve"> versus TO-MUS</w:t>
      </w:r>
    </w:p>
    <w:p w14:paraId="6D406EA2" w14:textId="40BCDDE5" w:rsidR="00A447AF" w:rsidRPr="00B0485F" w:rsidRDefault="00A447AF" w:rsidP="003D5E33">
      <w:pPr>
        <w:pStyle w:val="Caption"/>
      </w:pPr>
      <w:bookmarkStart w:id="223" w:name="_Toc165627911"/>
      <w:r w:rsidRPr="00B0485F">
        <w:t xml:space="preserve">Table App. </w:t>
      </w:r>
      <w:fldSimple w:instr=" SEQ Table_App. \* ARABIC ">
        <w:r w:rsidR="007105D3">
          <w:rPr>
            <w:noProof/>
          </w:rPr>
          <w:t>8</w:t>
        </w:r>
      </w:fldSimple>
      <w:r w:rsidRPr="00B0485F">
        <w:tab/>
        <w:t xml:space="preserve">Summary of included RCTs for </w:t>
      </w:r>
      <w:r>
        <w:t xml:space="preserve">open </w:t>
      </w:r>
      <w:proofErr w:type="spellStart"/>
      <w:r w:rsidRPr="00B0485F">
        <w:t>colposuspension</w:t>
      </w:r>
      <w:proofErr w:type="spellEnd"/>
      <w:r w:rsidRPr="00B0485F">
        <w:t xml:space="preserve"> versus </w:t>
      </w:r>
      <w:r>
        <w:t>TO-MUS</w:t>
      </w:r>
      <w:bookmarkEnd w:id="223"/>
    </w:p>
    <w:tbl>
      <w:tblPr>
        <w:tblStyle w:val="TableGrid"/>
        <w:tblW w:w="5000" w:type="pct"/>
        <w:tblLook w:val="04A0" w:firstRow="1" w:lastRow="0" w:firstColumn="1" w:lastColumn="0" w:noHBand="0" w:noVBand="1"/>
        <w:tblCaption w:val="Summary of included RCTs for open colposuspension versus TO-MUS (from Brazzelli 2019)"/>
        <w:tblDescription w:val="This table summarises the study characteristics of the relevant included study from the Brazzelli (2019) NMA for open colposuspension versus TO-MUS. The study ID, participants, outcomes and length of follow-up are presented. "/>
      </w:tblPr>
      <w:tblGrid>
        <w:gridCol w:w="2803"/>
        <w:gridCol w:w="2454"/>
        <w:gridCol w:w="2259"/>
        <w:gridCol w:w="2122"/>
      </w:tblGrid>
      <w:tr w:rsidR="00A447AF" w:rsidRPr="00B0485F" w14:paraId="1B81F0BF" w14:textId="77777777" w:rsidTr="004C51E5">
        <w:trPr>
          <w:cnfStyle w:val="100000000000" w:firstRow="1" w:lastRow="0" w:firstColumn="0" w:lastColumn="0" w:oddVBand="0" w:evenVBand="0" w:oddHBand="0" w:evenHBand="0" w:firstRowFirstColumn="0" w:firstRowLastColumn="0" w:lastRowFirstColumn="0" w:lastRowLastColumn="0"/>
        </w:trPr>
        <w:tc>
          <w:tcPr>
            <w:tcW w:w="1454" w:type="pct"/>
          </w:tcPr>
          <w:p w14:paraId="76861633" w14:textId="72FD8697" w:rsidR="00A447AF" w:rsidRPr="00B0485F" w:rsidRDefault="00A447AF" w:rsidP="003D5E33">
            <w:pPr>
              <w:pStyle w:val="011TableHeading8pt"/>
              <w:keepNext/>
            </w:pPr>
            <w:r w:rsidRPr="00B0485F">
              <w:t>Study ID</w:t>
            </w:r>
          </w:p>
        </w:tc>
        <w:tc>
          <w:tcPr>
            <w:tcW w:w="1273" w:type="pct"/>
          </w:tcPr>
          <w:p w14:paraId="110E8C1B" w14:textId="77777777" w:rsidR="00A447AF" w:rsidRPr="00B0485F" w:rsidRDefault="00A447AF" w:rsidP="003D5E33">
            <w:pPr>
              <w:pStyle w:val="011TableHeading8pt"/>
              <w:keepNext/>
            </w:pPr>
            <w:r w:rsidRPr="00B0485F">
              <w:t>Participants</w:t>
            </w:r>
          </w:p>
        </w:tc>
        <w:tc>
          <w:tcPr>
            <w:tcW w:w="1172" w:type="pct"/>
          </w:tcPr>
          <w:p w14:paraId="08F94DE9" w14:textId="77777777" w:rsidR="00A447AF" w:rsidRPr="00B0485F" w:rsidRDefault="00A447AF" w:rsidP="003D5E33">
            <w:pPr>
              <w:pStyle w:val="011TableHeading8pt"/>
              <w:keepNext/>
            </w:pPr>
            <w:r w:rsidRPr="00B0485F">
              <w:t>Outcomes</w:t>
            </w:r>
          </w:p>
        </w:tc>
        <w:tc>
          <w:tcPr>
            <w:tcW w:w="1101" w:type="pct"/>
          </w:tcPr>
          <w:p w14:paraId="5F2EA522" w14:textId="77777777" w:rsidR="00A447AF" w:rsidRPr="00B0485F" w:rsidRDefault="00A447AF" w:rsidP="003D5E33">
            <w:pPr>
              <w:pStyle w:val="011TableHeading8pt"/>
              <w:keepNext/>
            </w:pPr>
            <w:r>
              <w:t>Length of or last f</w:t>
            </w:r>
            <w:r w:rsidRPr="00B0485F">
              <w:t>ollow-up (months)</w:t>
            </w:r>
          </w:p>
        </w:tc>
      </w:tr>
      <w:tr w:rsidR="00A447AF" w:rsidRPr="00B0485F" w14:paraId="67F7B9D1" w14:textId="77777777" w:rsidTr="004C51E5">
        <w:tc>
          <w:tcPr>
            <w:tcW w:w="1454" w:type="pct"/>
          </w:tcPr>
          <w:p w14:paraId="3419185F" w14:textId="0FA2D2A3" w:rsidR="00A447AF" w:rsidRPr="007B7ACF" w:rsidRDefault="007B7ACF" w:rsidP="003D5E33">
            <w:pPr>
              <w:pStyle w:val="051Tabletext228pt"/>
              <w:keepNext/>
              <w:rPr>
                <w:highlight w:val="yellow"/>
              </w:rPr>
            </w:pPr>
            <w:proofErr w:type="spellStart"/>
            <w:r w:rsidRPr="007B7ACF">
              <w:t>Sivaslioglu</w:t>
            </w:r>
            <w:proofErr w:type="spellEnd"/>
            <w:r>
              <w:t xml:space="preserve"> </w:t>
            </w:r>
            <w:r w:rsidRPr="007B7ACF">
              <w:t>2007</w:t>
            </w:r>
            <w:r w:rsidR="00F43CA6">
              <w:t xml:space="preserve"> (ID: 162)</w:t>
            </w:r>
          </w:p>
        </w:tc>
        <w:tc>
          <w:tcPr>
            <w:tcW w:w="1273" w:type="pct"/>
          </w:tcPr>
          <w:p w14:paraId="480679F4" w14:textId="77777777" w:rsidR="00A447AF" w:rsidRDefault="00912BE1" w:rsidP="003D5E33">
            <w:pPr>
              <w:pStyle w:val="051Tabletext228pt"/>
              <w:keepNext/>
            </w:pPr>
            <w:r>
              <w:t>USI only (</w:t>
            </w:r>
            <w:r w:rsidR="00232E59">
              <w:t>no UUI)</w:t>
            </w:r>
          </w:p>
          <w:p w14:paraId="41C8B686" w14:textId="50B3B03F" w:rsidR="00A447AF" w:rsidRPr="006A10A1" w:rsidRDefault="00107E04" w:rsidP="003D5E33">
            <w:pPr>
              <w:pStyle w:val="051Tabletext228pt"/>
              <w:keepNext/>
            </w:pPr>
            <w:r>
              <w:t>N=100</w:t>
            </w:r>
          </w:p>
        </w:tc>
        <w:tc>
          <w:tcPr>
            <w:tcW w:w="1172" w:type="pct"/>
          </w:tcPr>
          <w:p w14:paraId="01B19C4D" w14:textId="644EF5D0" w:rsidR="00A447AF" w:rsidRDefault="00ED5EBC" w:rsidP="003D5E33">
            <w:pPr>
              <w:pStyle w:val="051Tabletext228pt"/>
              <w:keepNext/>
            </w:pPr>
            <w:r>
              <w:t>Cure</w:t>
            </w:r>
          </w:p>
          <w:p w14:paraId="33B1F2E1" w14:textId="4A033385" w:rsidR="00A447AF" w:rsidRPr="006A10A1" w:rsidRDefault="00ED5EBC" w:rsidP="003D5E33">
            <w:pPr>
              <w:pStyle w:val="051Tabletext228pt"/>
              <w:keepNext/>
            </w:pPr>
            <w:r>
              <w:t>Improvement</w:t>
            </w:r>
          </w:p>
        </w:tc>
        <w:tc>
          <w:tcPr>
            <w:tcW w:w="1101" w:type="pct"/>
          </w:tcPr>
          <w:p w14:paraId="4CBF74FC" w14:textId="6FE15787" w:rsidR="00A447AF" w:rsidRPr="00B0485F" w:rsidRDefault="00BA4389" w:rsidP="003D5E33">
            <w:pPr>
              <w:pStyle w:val="051Tabletext228pt"/>
              <w:keepNext/>
            </w:pPr>
            <w:r>
              <w:t>24</w:t>
            </w:r>
          </w:p>
        </w:tc>
      </w:tr>
    </w:tbl>
    <w:p w14:paraId="21866B7B" w14:textId="62517DAA" w:rsidR="003D5E33" w:rsidRDefault="003D5E33" w:rsidP="003D5E33">
      <w:pPr>
        <w:pStyle w:val="101Tablefootnotes8pt"/>
      </w:pPr>
      <w:r>
        <w:t xml:space="preserve">Source: </w:t>
      </w:r>
      <w:r w:rsidR="00245CE2">
        <w:rPr>
          <w:noProof/>
        </w:rPr>
        <w:t>(Brazzelli 2019)</w:t>
      </w:r>
    </w:p>
    <w:p w14:paraId="4FA7A3B6" w14:textId="59836E99" w:rsidR="00A447AF" w:rsidRDefault="00523E36" w:rsidP="00AC17AB">
      <w:pPr>
        <w:pStyle w:val="111Tablefootnoteslast-nostick8pt"/>
      </w:pPr>
      <w:r>
        <w:t xml:space="preserve">Abbreviations: </w:t>
      </w:r>
      <w:r w:rsidR="00404EEF">
        <w:t xml:space="preserve">MUS, mid-urethral sling; </w:t>
      </w:r>
      <w:r w:rsidR="006C2BE2">
        <w:t>RCT, randomised controlled trial</w:t>
      </w:r>
      <w:r w:rsidR="006508A7">
        <w:t xml:space="preserve">; TO, </w:t>
      </w:r>
      <w:proofErr w:type="spellStart"/>
      <w:r w:rsidR="006508A7">
        <w:t>transobturator</w:t>
      </w:r>
      <w:proofErr w:type="spellEnd"/>
      <w:r w:rsidR="00126E08">
        <w:t xml:space="preserve">; USI, </w:t>
      </w:r>
      <w:r w:rsidR="00CC31A6">
        <w:t>urodynamic stress incontinence</w:t>
      </w:r>
      <w:r w:rsidR="00126E08">
        <w:t xml:space="preserve">; UUI, </w:t>
      </w:r>
      <w:r w:rsidR="006D13D9">
        <w:t xml:space="preserve">urge urinary incontinence. </w:t>
      </w:r>
    </w:p>
    <w:p w14:paraId="18426926" w14:textId="3A226054" w:rsidR="00991FF7" w:rsidRPr="00991FF7" w:rsidRDefault="00991FF7" w:rsidP="00991FF7">
      <w:pPr>
        <w:pStyle w:val="Heading9"/>
        <w:rPr>
          <w:lang w:val="en-US"/>
        </w:rPr>
      </w:pPr>
      <w:r>
        <w:rPr>
          <w:lang w:val="en-US"/>
        </w:rPr>
        <w:t>TO-MUS versus RP-MUS</w:t>
      </w:r>
    </w:p>
    <w:p w14:paraId="49900A05" w14:textId="2B7DA28F" w:rsidR="00AC17AB" w:rsidRPr="00B0485F" w:rsidRDefault="00AC17AB" w:rsidP="00AC17AB">
      <w:pPr>
        <w:pStyle w:val="Caption"/>
      </w:pPr>
      <w:bookmarkStart w:id="224" w:name="_Toc165627912"/>
      <w:r w:rsidRPr="00B0485F">
        <w:t xml:space="preserve">Table App. </w:t>
      </w:r>
      <w:fldSimple w:instr=" SEQ Table_App. \* ARABIC ">
        <w:r w:rsidR="007105D3">
          <w:rPr>
            <w:noProof/>
          </w:rPr>
          <w:t>9</w:t>
        </w:r>
      </w:fldSimple>
      <w:r w:rsidRPr="00B0485F">
        <w:tab/>
        <w:t xml:space="preserve">Summary of included RCTs for </w:t>
      </w:r>
      <w:r>
        <w:t>TO-MUS</w:t>
      </w:r>
      <w:r w:rsidRPr="00B0485F">
        <w:t xml:space="preserve"> versus </w:t>
      </w:r>
      <w:r>
        <w:t>RP-MUS</w:t>
      </w:r>
      <w:bookmarkEnd w:id="224"/>
    </w:p>
    <w:tbl>
      <w:tblPr>
        <w:tblStyle w:val="TableGrid"/>
        <w:tblW w:w="5000" w:type="pct"/>
        <w:tblLook w:val="04A0" w:firstRow="1" w:lastRow="0" w:firstColumn="1" w:lastColumn="0" w:noHBand="0" w:noVBand="1"/>
        <w:tblCaption w:val="Summary of included RCTs for TO-MUS versus RP-MUS (from Brazzelli 2019)"/>
        <w:tblDescription w:val="This table summarises the study characteristics of the relevant included studies from the Brazzelli (2019) NMA for TO-MUS versus RP-MUS. The study ID, participants, outcomes and length of follow-up are presented. "/>
      </w:tblPr>
      <w:tblGrid>
        <w:gridCol w:w="2410"/>
        <w:gridCol w:w="3065"/>
        <w:gridCol w:w="2176"/>
        <w:gridCol w:w="1987"/>
      </w:tblGrid>
      <w:tr w:rsidR="00AC17AB" w:rsidRPr="00B0485F" w14:paraId="3FE5667F" w14:textId="77777777" w:rsidTr="00A363C4">
        <w:trPr>
          <w:cnfStyle w:val="100000000000" w:firstRow="1" w:lastRow="0" w:firstColumn="0" w:lastColumn="0" w:oddVBand="0" w:evenVBand="0" w:oddHBand="0" w:evenHBand="0" w:firstRowFirstColumn="0" w:firstRowLastColumn="0" w:lastRowFirstColumn="0" w:lastRowLastColumn="0"/>
        </w:trPr>
        <w:tc>
          <w:tcPr>
            <w:tcW w:w="1250" w:type="pct"/>
          </w:tcPr>
          <w:p w14:paraId="0E2F1A43" w14:textId="723FFB89" w:rsidR="00AC17AB" w:rsidRPr="00B0485F" w:rsidRDefault="00AC17AB" w:rsidP="00CB5DBD">
            <w:pPr>
              <w:pStyle w:val="011TableHeading8pt"/>
            </w:pPr>
            <w:r w:rsidRPr="00B0485F">
              <w:t>Study ID</w:t>
            </w:r>
          </w:p>
        </w:tc>
        <w:tc>
          <w:tcPr>
            <w:tcW w:w="1590" w:type="pct"/>
          </w:tcPr>
          <w:p w14:paraId="400F3CA1" w14:textId="77777777" w:rsidR="00AC17AB" w:rsidRPr="00B0485F" w:rsidRDefault="00AC17AB" w:rsidP="00CB5DBD">
            <w:pPr>
              <w:pStyle w:val="011TableHeading8pt"/>
            </w:pPr>
            <w:r w:rsidRPr="00B0485F">
              <w:t>Participants</w:t>
            </w:r>
          </w:p>
        </w:tc>
        <w:tc>
          <w:tcPr>
            <w:tcW w:w="1129" w:type="pct"/>
          </w:tcPr>
          <w:p w14:paraId="5D11055B" w14:textId="77777777" w:rsidR="00AC17AB" w:rsidRPr="00B0485F" w:rsidRDefault="00AC17AB" w:rsidP="00CB5DBD">
            <w:pPr>
              <w:pStyle w:val="011TableHeading8pt"/>
            </w:pPr>
            <w:r w:rsidRPr="00B0485F">
              <w:t>Outcomes</w:t>
            </w:r>
          </w:p>
        </w:tc>
        <w:tc>
          <w:tcPr>
            <w:tcW w:w="1031" w:type="pct"/>
          </w:tcPr>
          <w:p w14:paraId="71074B6C" w14:textId="77777777" w:rsidR="00AC17AB" w:rsidRPr="00B0485F" w:rsidRDefault="00AC17AB" w:rsidP="00CB5DBD">
            <w:pPr>
              <w:pStyle w:val="011TableHeading8pt"/>
            </w:pPr>
            <w:r>
              <w:t>Length of or last f</w:t>
            </w:r>
            <w:r w:rsidRPr="00B0485F">
              <w:t>ollow-up (months)</w:t>
            </w:r>
          </w:p>
        </w:tc>
      </w:tr>
      <w:tr w:rsidR="00F00080" w:rsidRPr="00B0485F" w14:paraId="0CA2E2B1" w14:textId="77777777" w:rsidTr="00A363C4">
        <w:tc>
          <w:tcPr>
            <w:tcW w:w="1250" w:type="pct"/>
          </w:tcPr>
          <w:p w14:paraId="5169819C" w14:textId="194B8C2F" w:rsidR="00F00080" w:rsidRPr="001705E9" w:rsidRDefault="00F00080" w:rsidP="00CB5DBD">
            <w:pPr>
              <w:pStyle w:val="051Tabletext228pt"/>
            </w:pPr>
            <w:proofErr w:type="spellStart"/>
            <w:r>
              <w:t>Aigmuller</w:t>
            </w:r>
            <w:proofErr w:type="spellEnd"/>
            <w:r>
              <w:t xml:space="preserve"> 2014</w:t>
            </w:r>
            <w:r w:rsidR="00F43CA6">
              <w:t xml:space="preserve"> (ID: 83)</w:t>
            </w:r>
          </w:p>
        </w:tc>
        <w:tc>
          <w:tcPr>
            <w:tcW w:w="1590" w:type="pct"/>
          </w:tcPr>
          <w:p w14:paraId="7750EC2D" w14:textId="77777777" w:rsidR="00F00080" w:rsidRDefault="000373FA" w:rsidP="00CB5DBD">
            <w:pPr>
              <w:pStyle w:val="051Tabletext228pt"/>
            </w:pPr>
            <w:r>
              <w:t>USI (DO or predominant OAB excluded)</w:t>
            </w:r>
          </w:p>
          <w:p w14:paraId="579E2958" w14:textId="515A2064" w:rsidR="00F00080" w:rsidRPr="00767EA6" w:rsidRDefault="00451F53" w:rsidP="00CB5DBD">
            <w:pPr>
              <w:pStyle w:val="051Tabletext228pt"/>
            </w:pPr>
            <w:r>
              <w:t>N=554</w:t>
            </w:r>
          </w:p>
        </w:tc>
        <w:tc>
          <w:tcPr>
            <w:tcW w:w="1129" w:type="pct"/>
          </w:tcPr>
          <w:p w14:paraId="60230CD8" w14:textId="77777777" w:rsidR="00F00080" w:rsidRDefault="003314BC" w:rsidP="00CB5DBD">
            <w:pPr>
              <w:pStyle w:val="051Tabletext228pt"/>
            </w:pPr>
            <w:r>
              <w:t>Cure</w:t>
            </w:r>
          </w:p>
          <w:p w14:paraId="69A4FAF2" w14:textId="3E48EC2D" w:rsidR="00F00080" w:rsidRPr="00767EA6" w:rsidRDefault="003314BC" w:rsidP="00CB5DBD">
            <w:pPr>
              <w:pStyle w:val="051Tabletext228pt"/>
            </w:pPr>
            <w:r>
              <w:t>Improvement</w:t>
            </w:r>
          </w:p>
        </w:tc>
        <w:tc>
          <w:tcPr>
            <w:tcW w:w="1031" w:type="pct"/>
          </w:tcPr>
          <w:p w14:paraId="793BF7EB" w14:textId="0E994C66" w:rsidR="00F00080" w:rsidRPr="00767EA6" w:rsidRDefault="003314BC" w:rsidP="00BE3D38">
            <w:pPr>
              <w:pStyle w:val="051Tabletext228pt"/>
            </w:pPr>
            <w:r>
              <w:t>3</w:t>
            </w:r>
          </w:p>
        </w:tc>
      </w:tr>
      <w:tr w:rsidR="00F00080" w:rsidRPr="00B0485F" w14:paraId="509A489B" w14:textId="77777777" w:rsidTr="00A363C4">
        <w:tc>
          <w:tcPr>
            <w:tcW w:w="1250" w:type="pct"/>
          </w:tcPr>
          <w:p w14:paraId="7BB23011" w14:textId="09B10C1C" w:rsidR="00F00080" w:rsidRDefault="00F00080" w:rsidP="00CB5DBD">
            <w:pPr>
              <w:pStyle w:val="051Tabletext228pt"/>
            </w:pPr>
            <w:proofErr w:type="spellStart"/>
            <w:r>
              <w:t>Alkady</w:t>
            </w:r>
            <w:proofErr w:type="spellEnd"/>
            <w:r>
              <w:t xml:space="preserve"> 2009</w:t>
            </w:r>
            <w:r w:rsidR="00F43CA6">
              <w:t xml:space="preserve"> (ID: 120)</w:t>
            </w:r>
          </w:p>
          <w:p w14:paraId="4E9FAD9C" w14:textId="1684C376" w:rsidR="00F00080" w:rsidRPr="00880D55" w:rsidRDefault="00F00080" w:rsidP="00CB5DBD">
            <w:pPr>
              <w:pStyle w:val="051Tabletext228pt"/>
            </w:pPr>
          </w:p>
        </w:tc>
        <w:tc>
          <w:tcPr>
            <w:tcW w:w="1590" w:type="pct"/>
          </w:tcPr>
          <w:p w14:paraId="6AEF3DF5" w14:textId="77777777" w:rsidR="00F00080" w:rsidRDefault="003D42E8" w:rsidP="00CB5DBD">
            <w:pPr>
              <w:pStyle w:val="051Tabletext228pt"/>
            </w:pPr>
            <w:r>
              <w:t xml:space="preserve">USI, </w:t>
            </w:r>
            <w:r w:rsidR="000F0D50">
              <w:t>SUI, MUI (DO excluded)</w:t>
            </w:r>
          </w:p>
          <w:p w14:paraId="5ED414C8" w14:textId="5B0C1F77" w:rsidR="00EF00B2" w:rsidRPr="00767EA6" w:rsidRDefault="00EF00B2" w:rsidP="00CB5DBD">
            <w:pPr>
              <w:pStyle w:val="051Tabletext228pt"/>
            </w:pPr>
            <w:r>
              <w:t>N=30</w:t>
            </w:r>
          </w:p>
        </w:tc>
        <w:tc>
          <w:tcPr>
            <w:tcW w:w="1129" w:type="pct"/>
          </w:tcPr>
          <w:p w14:paraId="1EB88A47" w14:textId="77777777" w:rsidR="00BE3D38" w:rsidRDefault="00BE3D38" w:rsidP="00BE3D38">
            <w:pPr>
              <w:pStyle w:val="051Tabletext228pt"/>
            </w:pPr>
            <w:r>
              <w:t>Cure</w:t>
            </w:r>
          </w:p>
          <w:p w14:paraId="092E3811" w14:textId="289D9525" w:rsidR="00F00080" w:rsidRPr="00767EA6" w:rsidRDefault="00BE3D38" w:rsidP="00CB5DBD">
            <w:pPr>
              <w:pStyle w:val="051Tabletext228pt"/>
            </w:pPr>
            <w:r>
              <w:t>Improvement</w:t>
            </w:r>
          </w:p>
        </w:tc>
        <w:tc>
          <w:tcPr>
            <w:tcW w:w="1031" w:type="pct"/>
          </w:tcPr>
          <w:p w14:paraId="4D299DDF" w14:textId="098EB277" w:rsidR="00F00080" w:rsidRPr="00767EA6" w:rsidRDefault="00BE3D38" w:rsidP="00CB5DBD">
            <w:pPr>
              <w:pStyle w:val="051Tabletext228pt"/>
            </w:pPr>
            <w:r>
              <w:t>12</w:t>
            </w:r>
          </w:p>
        </w:tc>
      </w:tr>
      <w:tr w:rsidR="00754775" w:rsidRPr="00B0485F" w14:paraId="53B76FBA" w14:textId="77777777" w:rsidTr="00A363C4">
        <w:tc>
          <w:tcPr>
            <w:tcW w:w="1250" w:type="pct"/>
          </w:tcPr>
          <w:p w14:paraId="7C0F9C82" w14:textId="1B21F42F" w:rsidR="00754775" w:rsidRDefault="00754775" w:rsidP="00CB5DBD">
            <w:pPr>
              <w:pStyle w:val="051Tabletext228pt"/>
            </w:pPr>
            <w:r>
              <w:t>Andonian 2007</w:t>
            </w:r>
            <w:r w:rsidR="00F43CA6">
              <w:t xml:space="preserve"> (ID: 117)</w:t>
            </w:r>
          </w:p>
          <w:p w14:paraId="0615766F" w14:textId="0BD187BE" w:rsidR="00754775" w:rsidRPr="00880D55" w:rsidRDefault="00754775" w:rsidP="00CB5DBD">
            <w:pPr>
              <w:pStyle w:val="051Tabletext228pt"/>
            </w:pPr>
          </w:p>
        </w:tc>
        <w:tc>
          <w:tcPr>
            <w:tcW w:w="1590" w:type="pct"/>
          </w:tcPr>
          <w:p w14:paraId="25D453CD" w14:textId="77777777" w:rsidR="00754775" w:rsidRDefault="009E5A84" w:rsidP="00CB5DBD">
            <w:pPr>
              <w:pStyle w:val="051Tabletext228pt"/>
            </w:pPr>
            <w:r>
              <w:t>SUI, MUI</w:t>
            </w:r>
          </w:p>
          <w:p w14:paraId="006D38D3" w14:textId="0CD66F87" w:rsidR="005F7A83" w:rsidRPr="00767EA6" w:rsidRDefault="005F7A83" w:rsidP="00CB5DBD">
            <w:pPr>
              <w:pStyle w:val="051Tabletext228pt"/>
            </w:pPr>
            <w:r>
              <w:t>N=190</w:t>
            </w:r>
          </w:p>
        </w:tc>
        <w:tc>
          <w:tcPr>
            <w:tcW w:w="1129" w:type="pct"/>
          </w:tcPr>
          <w:p w14:paraId="54BCEDB8" w14:textId="77777777" w:rsidR="00D94644" w:rsidRDefault="00D94644" w:rsidP="00D94644">
            <w:pPr>
              <w:pStyle w:val="051Tabletext228pt"/>
            </w:pPr>
            <w:r>
              <w:t>Cure</w:t>
            </w:r>
          </w:p>
          <w:p w14:paraId="7929A87A" w14:textId="6EF885D5" w:rsidR="00754775" w:rsidRPr="00767EA6" w:rsidRDefault="00D94644" w:rsidP="00CB5DBD">
            <w:pPr>
              <w:pStyle w:val="051Tabletext228pt"/>
            </w:pPr>
            <w:r>
              <w:t>Improvement</w:t>
            </w:r>
          </w:p>
        </w:tc>
        <w:tc>
          <w:tcPr>
            <w:tcW w:w="1031" w:type="pct"/>
          </w:tcPr>
          <w:p w14:paraId="4E314882" w14:textId="360E8D8D" w:rsidR="00754775" w:rsidRPr="00767EA6" w:rsidRDefault="003149C5" w:rsidP="00CB5DBD">
            <w:pPr>
              <w:pStyle w:val="051Tabletext228pt"/>
            </w:pPr>
            <w:r>
              <w:t>12</w:t>
            </w:r>
          </w:p>
        </w:tc>
      </w:tr>
      <w:tr w:rsidR="00754775" w:rsidRPr="00B0485F" w14:paraId="7833168B" w14:textId="77777777" w:rsidTr="00A363C4">
        <w:tc>
          <w:tcPr>
            <w:tcW w:w="1250" w:type="pct"/>
          </w:tcPr>
          <w:p w14:paraId="16567CA7" w14:textId="6B1C4A3A" w:rsidR="00754775" w:rsidRDefault="00754775" w:rsidP="00CB5DBD">
            <w:pPr>
              <w:pStyle w:val="051Tabletext228pt"/>
            </w:pPr>
            <w:proofErr w:type="spellStart"/>
            <w:r>
              <w:t>Aniuliene</w:t>
            </w:r>
            <w:proofErr w:type="spellEnd"/>
            <w:r>
              <w:t xml:space="preserve"> 2009</w:t>
            </w:r>
            <w:r w:rsidR="00F43CA6">
              <w:t xml:space="preserve"> (ID: 84)</w:t>
            </w:r>
          </w:p>
          <w:p w14:paraId="5447756F" w14:textId="5D89C4A2" w:rsidR="00754775" w:rsidRPr="00D64A04" w:rsidRDefault="00754775" w:rsidP="00CB5DBD">
            <w:pPr>
              <w:pStyle w:val="051Tabletext228pt"/>
            </w:pPr>
          </w:p>
        </w:tc>
        <w:tc>
          <w:tcPr>
            <w:tcW w:w="1590" w:type="pct"/>
          </w:tcPr>
          <w:p w14:paraId="44D3F1CE" w14:textId="77777777" w:rsidR="00754775" w:rsidRDefault="00871552" w:rsidP="00CB5DBD">
            <w:pPr>
              <w:pStyle w:val="051Tabletext228pt"/>
            </w:pPr>
            <w:r>
              <w:t>SUI (OAB excluded)</w:t>
            </w:r>
          </w:p>
          <w:p w14:paraId="54710089" w14:textId="5C663FA5" w:rsidR="005F7A83" w:rsidRPr="00767EA6" w:rsidRDefault="005F7A83" w:rsidP="00CB5DBD">
            <w:pPr>
              <w:pStyle w:val="051Tabletext228pt"/>
            </w:pPr>
            <w:r>
              <w:t>N=264</w:t>
            </w:r>
          </w:p>
        </w:tc>
        <w:tc>
          <w:tcPr>
            <w:tcW w:w="1129" w:type="pct"/>
          </w:tcPr>
          <w:p w14:paraId="6F1D067D" w14:textId="77777777" w:rsidR="008914AB" w:rsidRDefault="008914AB" w:rsidP="008914AB">
            <w:pPr>
              <w:pStyle w:val="051Tabletext228pt"/>
            </w:pPr>
            <w:r>
              <w:t>Cure</w:t>
            </w:r>
          </w:p>
          <w:p w14:paraId="0E2E601D" w14:textId="478EE411" w:rsidR="00754775" w:rsidRPr="00767EA6" w:rsidRDefault="008914AB" w:rsidP="00CB5DBD">
            <w:pPr>
              <w:pStyle w:val="051Tabletext228pt"/>
            </w:pPr>
            <w:r>
              <w:t>Improvement</w:t>
            </w:r>
          </w:p>
        </w:tc>
        <w:tc>
          <w:tcPr>
            <w:tcW w:w="1031" w:type="pct"/>
          </w:tcPr>
          <w:p w14:paraId="2429F1EF" w14:textId="761A687A" w:rsidR="00754775" w:rsidRPr="00767EA6" w:rsidRDefault="002D0292" w:rsidP="00CB5DBD">
            <w:pPr>
              <w:pStyle w:val="051Tabletext228pt"/>
            </w:pPr>
            <w:r>
              <w:t>12</w:t>
            </w:r>
          </w:p>
        </w:tc>
      </w:tr>
      <w:tr w:rsidR="00754775" w:rsidRPr="00B0485F" w14:paraId="40A336AA" w14:textId="77777777" w:rsidTr="00A363C4">
        <w:tc>
          <w:tcPr>
            <w:tcW w:w="1250" w:type="pct"/>
          </w:tcPr>
          <w:p w14:paraId="5C9F417D" w14:textId="3589F1C6" w:rsidR="00754775" w:rsidRDefault="00754775" w:rsidP="00CB5DBD">
            <w:pPr>
              <w:pStyle w:val="051Tabletext228pt"/>
            </w:pPr>
            <w:proofErr w:type="spellStart"/>
            <w:r>
              <w:t>Aniuliene</w:t>
            </w:r>
            <w:proofErr w:type="spellEnd"/>
            <w:r>
              <w:t xml:space="preserve"> 2015</w:t>
            </w:r>
            <w:r w:rsidR="00F43CA6">
              <w:t xml:space="preserve"> (ID: 121)</w:t>
            </w:r>
          </w:p>
          <w:p w14:paraId="38B36C65" w14:textId="7B12426D" w:rsidR="00754775" w:rsidRPr="00E22EF4" w:rsidRDefault="00754775" w:rsidP="00CB5DBD">
            <w:pPr>
              <w:pStyle w:val="051Tabletext228pt"/>
            </w:pPr>
          </w:p>
        </w:tc>
        <w:tc>
          <w:tcPr>
            <w:tcW w:w="1590" w:type="pct"/>
          </w:tcPr>
          <w:p w14:paraId="60145B83" w14:textId="77777777" w:rsidR="00754775" w:rsidRDefault="00541180" w:rsidP="00CB5DBD">
            <w:pPr>
              <w:pStyle w:val="051Tabletext228pt"/>
            </w:pPr>
            <w:r>
              <w:t>SUI (predominant OAB excluded)</w:t>
            </w:r>
          </w:p>
          <w:p w14:paraId="565238AE" w14:textId="6219844C" w:rsidR="005F7A83" w:rsidRPr="00767EA6" w:rsidRDefault="005F7A83" w:rsidP="00CB5DBD">
            <w:pPr>
              <w:pStyle w:val="051Tabletext228pt"/>
            </w:pPr>
            <w:r>
              <w:t>N=154</w:t>
            </w:r>
          </w:p>
        </w:tc>
        <w:tc>
          <w:tcPr>
            <w:tcW w:w="1129" w:type="pct"/>
          </w:tcPr>
          <w:p w14:paraId="69CFE9B2" w14:textId="77777777" w:rsidR="00B00AD4" w:rsidRDefault="00B00AD4" w:rsidP="00B00AD4">
            <w:pPr>
              <w:pStyle w:val="051Tabletext228pt"/>
            </w:pPr>
            <w:r>
              <w:t>Cure</w:t>
            </w:r>
          </w:p>
          <w:p w14:paraId="2B554AD2" w14:textId="68454D5E" w:rsidR="00754775" w:rsidRPr="00767EA6" w:rsidRDefault="00B00AD4" w:rsidP="00CB5DBD">
            <w:pPr>
              <w:pStyle w:val="051Tabletext228pt"/>
            </w:pPr>
            <w:r>
              <w:t>Improvement</w:t>
            </w:r>
          </w:p>
        </w:tc>
        <w:tc>
          <w:tcPr>
            <w:tcW w:w="1031" w:type="pct"/>
          </w:tcPr>
          <w:p w14:paraId="02242B71" w14:textId="08CD32A8" w:rsidR="00754775" w:rsidRPr="00767EA6" w:rsidRDefault="009E66FF" w:rsidP="009E66FF">
            <w:pPr>
              <w:pStyle w:val="051Tabletext228pt"/>
            </w:pPr>
            <w:r>
              <w:t>12</w:t>
            </w:r>
          </w:p>
        </w:tc>
      </w:tr>
      <w:tr w:rsidR="00754775" w:rsidRPr="00B0485F" w14:paraId="7DDCF768" w14:textId="77777777" w:rsidTr="00A363C4">
        <w:tc>
          <w:tcPr>
            <w:tcW w:w="1250" w:type="pct"/>
          </w:tcPr>
          <w:p w14:paraId="3497E68C" w14:textId="56CB33BA" w:rsidR="00754775" w:rsidRDefault="00754775" w:rsidP="00CB5DBD">
            <w:pPr>
              <w:pStyle w:val="051Tabletext228pt"/>
            </w:pPr>
            <w:proofErr w:type="spellStart"/>
            <w:r>
              <w:t>Araco</w:t>
            </w:r>
            <w:proofErr w:type="spellEnd"/>
            <w:r>
              <w:t xml:space="preserve"> 2008</w:t>
            </w:r>
            <w:r w:rsidR="00F43CA6">
              <w:t xml:space="preserve"> (ID: 86)</w:t>
            </w:r>
          </w:p>
          <w:p w14:paraId="2A61B5EB" w14:textId="79A33A8A" w:rsidR="00754775" w:rsidRPr="00F917E9" w:rsidRDefault="00754775" w:rsidP="00CB5DBD">
            <w:pPr>
              <w:pStyle w:val="051Tabletext228pt"/>
            </w:pPr>
          </w:p>
        </w:tc>
        <w:tc>
          <w:tcPr>
            <w:tcW w:w="1590" w:type="pct"/>
          </w:tcPr>
          <w:p w14:paraId="29619E92" w14:textId="77777777" w:rsidR="00754775" w:rsidRDefault="000E438B" w:rsidP="00CB5DBD">
            <w:pPr>
              <w:pStyle w:val="051Tabletext228pt"/>
            </w:pPr>
            <w:r>
              <w:t>SUI (OAB excluded)</w:t>
            </w:r>
          </w:p>
          <w:p w14:paraId="018CCE3E" w14:textId="07E12192" w:rsidR="005F7A83" w:rsidRPr="00767EA6" w:rsidRDefault="005F7A83" w:rsidP="00CB5DBD">
            <w:pPr>
              <w:pStyle w:val="051Tabletext228pt"/>
            </w:pPr>
            <w:r>
              <w:t>N=240</w:t>
            </w:r>
          </w:p>
        </w:tc>
        <w:tc>
          <w:tcPr>
            <w:tcW w:w="1129" w:type="pct"/>
          </w:tcPr>
          <w:p w14:paraId="0E9FB1DB" w14:textId="77777777" w:rsidR="007C3C8C" w:rsidRDefault="007C3C8C" w:rsidP="007C3C8C">
            <w:pPr>
              <w:pStyle w:val="051Tabletext228pt"/>
            </w:pPr>
            <w:r>
              <w:t>Cure</w:t>
            </w:r>
          </w:p>
          <w:p w14:paraId="11D0DA25" w14:textId="1F76E239" w:rsidR="00754775" w:rsidRPr="00767EA6" w:rsidRDefault="007C3C8C" w:rsidP="00CB5DBD">
            <w:pPr>
              <w:pStyle w:val="051Tabletext228pt"/>
            </w:pPr>
            <w:r>
              <w:t>Improvement</w:t>
            </w:r>
          </w:p>
        </w:tc>
        <w:tc>
          <w:tcPr>
            <w:tcW w:w="1031" w:type="pct"/>
          </w:tcPr>
          <w:p w14:paraId="144D8B12" w14:textId="3E453E21" w:rsidR="00754775" w:rsidRPr="00767EA6" w:rsidRDefault="000E438B" w:rsidP="009E66FF">
            <w:pPr>
              <w:pStyle w:val="051Tabletext228pt"/>
            </w:pPr>
            <w:r>
              <w:t>12</w:t>
            </w:r>
          </w:p>
        </w:tc>
      </w:tr>
      <w:tr w:rsidR="00704C3F" w:rsidRPr="00B0485F" w14:paraId="5896E5E1" w14:textId="77777777" w:rsidTr="00A363C4">
        <w:tc>
          <w:tcPr>
            <w:tcW w:w="1250" w:type="pct"/>
          </w:tcPr>
          <w:p w14:paraId="7EA7FF6B" w14:textId="44FE8EAD" w:rsidR="00704C3F" w:rsidRDefault="00704C3F" w:rsidP="00CB5DBD">
            <w:pPr>
              <w:pStyle w:val="051Tabletext228pt"/>
              <w:rPr>
                <w:vertAlign w:val="superscript"/>
              </w:rPr>
            </w:pPr>
            <w:r w:rsidRPr="000E6926">
              <w:t>Barber 2008</w:t>
            </w:r>
            <w:r w:rsidR="00F43CA6">
              <w:t xml:space="preserve"> (ID: 122)</w:t>
            </w:r>
          </w:p>
          <w:p w14:paraId="5312313D" w14:textId="0DA4A88C" w:rsidR="00704C3F" w:rsidRPr="00E96498" w:rsidRDefault="00704C3F" w:rsidP="00CB5DBD">
            <w:pPr>
              <w:pStyle w:val="051Tabletext228pt"/>
            </w:pPr>
          </w:p>
        </w:tc>
        <w:tc>
          <w:tcPr>
            <w:tcW w:w="1590" w:type="pct"/>
          </w:tcPr>
          <w:p w14:paraId="409184A4" w14:textId="77777777" w:rsidR="00704C3F" w:rsidRDefault="00484CBF" w:rsidP="00CB5DBD">
            <w:pPr>
              <w:pStyle w:val="051Tabletext228pt"/>
            </w:pPr>
            <w:r>
              <w:t>USI, MUI (DO excluded)</w:t>
            </w:r>
          </w:p>
          <w:p w14:paraId="7BF7C06E" w14:textId="43D28A13" w:rsidR="005F7A83" w:rsidRPr="00767EA6" w:rsidRDefault="005F7A83" w:rsidP="00CB5DBD">
            <w:pPr>
              <w:pStyle w:val="051Tabletext228pt"/>
            </w:pPr>
            <w:r>
              <w:t>N=170</w:t>
            </w:r>
          </w:p>
        </w:tc>
        <w:tc>
          <w:tcPr>
            <w:tcW w:w="1129" w:type="pct"/>
          </w:tcPr>
          <w:p w14:paraId="476E584A" w14:textId="77777777" w:rsidR="00704C3F" w:rsidRDefault="00AE6E3D" w:rsidP="00CB5DBD">
            <w:pPr>
              <w:pStyle w:val="051Tabletext228pt"/>
            </w:pPr>
            <w:r>
              <w:t>Cure</w:t>
            </w:r>
          </w:p>
          <w:p w14:paraId="6A9E42E8" w14:textId="73E26048" w:rsidR="00704C3F" w:rsidRPr="00767EA6" w:rsidRDefault="001B0297" w:rsidP="00CB5DBD">
            <w:pPr>
              <w:pStyle w:val="051Tabletext228pt"/>
            </w:pPr>
            <w:r>
              <w:t xml:space="preserve"> </w:t>
            </w:r>
          </w:p>
        </w:tc>
        <w:tc>
          <w:tcPr>
            <w:tcW w:w="1031" w:type="pct"/>
          </w:tcPr>
          <w:p w14:paraId="54799D5D" w14:textId="3CB3B30C" w:rsidR="00704C3F" w:rsidRPr="00767EA6" w:rsidRDefault="006E4ED9" w:rsidP="009E66FF">
            <w:pPr>
              <w:pStyle w:val="051Tabletext228pt"/>
            </w:pPr>
            <w:r>
              <w:t>24</w:t>
            </w:r>
          </w:p>
        </w:tc>
      </w:tr>
      <w:tr w:rsidR="007A5633" w:rsidRPr="00B0485F" w14:paraId="4626EDC7" w14:textId="77777777" w:rsidTr="00A363C4">
        <w:tc>
          <w:tcPr>
            <w:tcW w:w="1250" w:type="pct"/>
          </w:tcPr>
          <w:p w14:paraId="52D7298C" w14:textId="6EBB032E" w:rsidR="007A5633" w:rsidRDefault="007A5633" w:rsidP="00CB5DBD">
            <w:pPr>
              <w:pStyle w:val="051Tabletext228pt"/>
            </w:pPr>
            <w:r>
              <w:t>Barry 2008</w:t>
            </w:r>
            <w:r w:rsidR="00F43CA6">
              <w:t xml:space="preserve"> (ID: 123)</w:t>
            </w:r>
          </w:p>
          <w:p w14:paraId="109C0591" w14:textId="23FF1B04" w:rsidR="007A5633" w:rsidRPr="00AE304C" w:rsidRDefault="007A5633" w:rsidP="00CB5DBD">
            <w:pPr>
              <w:pStyle w:val="051Tabletext228pt"/>
            </w:pPr>
          </w:p>
        </w:tc>
        <w:tc>
          <w:tcPr>
            <w:tcW w:w="1590" w:type="pct"/>
          </w:tcPr>
          <w:p w14:paraId="15DE42E1" w14:textId="77777777" w:rsidR="007A5633" w:rsidRDefault="0010405E" w:rsidP="00CB5DBD">
            <w:pPr>
              <w:pStyle w:val="051Tabletext228pt"/>
            </w:pPr>
            <w:r>
              <w:t>USI (some had OAB)</w:t>
            </w:r>
          </w:p>
          <w:p w14:paraId="4C8E4A64" w14:textId="111B50DC" w:rsidR="000D7A6C" w:rsidRPr="00767EA6" w:rsidRDefault="000D7A6C" w:rsidP="00CB5DBD">
            <w:pPr>
              <w:pStyle w:val="051Tabletext228pt"/>
            </w:pPr>
            <w:r>
              <w:t>N=187</w:t>
            </w:r>
          </w:p>
        </w:tc>
        <w:tc>
          <w:tcPr>
            <w:tcW w:w="1129" w:type="pct"/>
          </w:tcPr>
          <w:p w14:paraId="09C8B972" w14:textId="1E7E6260" w:rsidR="007A5633" w:rsidRPr="00767EA6" w:rsidRDefault="00D23882" w:rsidP="00CB5DBD">
            <w:pPr>
              <w:pStyle w:val="051Tabletext228pt"/>
            </w:pPr>
            <w:r>
              <w:t>Improvement</w:t>
            </w:r>
          </w:p>
        </w:tc>
        <w:tc>
          <w:tcPr>
            <w:tcW w:w="1031" w:type="pct"/>
          </w:tcPr>
          <w:p w14:paraId="747EF917" w14:textId="184ABB7E" w:rsidR="007A5633" w:rsidRPr="00767EA6" w:rsidRDefault="007E0482" w:rsidP="009E66FF">
            <w:pPr>
              <w:pStyle w:val="051Tabletext228pt"/>
            </w:pPr>
            <w:r>
              <w:t>3</w:t>
            </w:r>
          </w:p>
        </w:tc>
      </w:tr>
      <w:tr w:rsidR="00D33279" w:rsidRPr="00B0485F" w14:paraId="6F4A8987" w14:textId="77777777" w:rsidTr="00A363C4">
        <w:tc>
          <w:tcPr>
            <w:tcW w:w="1250" w:type="pct"/>
          </w:tcPr>
          <w:p w14:paraId="07627B55" w14:textId="0D094A62" w:rsidR="00D33279" w:rsidRDefault="00D33279" w:rsidP="00CB5DBD">
            <w:pPr>
              <w:pStyle w:val="051Tabletext228pt"/>
            </w:pPr>
            <w:r>
              <w:t>David-Montefiore 2006</w:t>
            </w:r>
            <w:r w:rsidR="00F43CA6">
              <w:t xml:space="preserve"> (ID: 124)</w:t>
            </w:r>
          </w:p>
          <w:p w14:paraId="18FA13A7" w14:textId="3199DDA0" w:rsidR="00D33279" w:rsidRPr="001F02B0" w:rsidRDefault="00D33279" w:rsidP="00CB5DBD">
            <w:pPr>
              <w:pStyle w:val="051Tabletext228pt"/>
            </w:pPr>
          </w:p>
        </w:tc>
        <w:tc>
          <w:tcPr>
            <w:tcW w:w="1590" w:type="pct"/>
          </w:tcPr>
          <w:p w14:paraId="28BEBD2B" w14:textId="77777777" w:rsidR="00D33279" w:rsidRDefault="00C80957" w:rsidP="00CB5DBD">
            <w:pPr>
              <w:pStyle w:val="051Tabletext228pt"/>
            </w:pPr>
            <w:r>
              <w:t>USI, MUI</w:t>
            </w:r>
          </w:p>
          <w:p w14:paraId="4CD0B2E7" w14:textId="40ECD23D" w:rsidR="000D7A6C" w:rsidRPr="00767EA6" w:rsidRDefault="000D7A6C" w:rsidP="00CB5DBD">
            <w:pPr>
              <w:pStyle w:val="051Tabletext228pt"/>
            </w:pPr>
            <w:r>
              <w:t>N=88</w:t>
            </w:r>
          </w:p>
        </w:tc>
        <w:tc>
          <w:tcPr>
            <w:tcW w:w="1129" w:type="pct"/>
          </w:tcPr>
          <w:p w14:paraId="6FC93318" w14:textId="77777777" w:rsidR="00D33279" w:rsidRDefault="0005677C" w:rsidP="00CB5DBD">
            <w:pPr>
              <w:pStyle w:val="051Tabletext228pt"/>
            </w:pPr>
            <w:r>
              <w:t>Cure</w:t>
            </w:r>
          </w:p>
          <w:p w14:paraId="7D6C1B76" w14:textId="2B85402E" w:rsidR="00D33279" w:rsidRPr="00767EA6" w:rsidRDefault="0005677C" w:rsidP="00CB5DBD">
            <w:pPr>
              <w:pStyle w:val="051Tabletext228pt"/>
            </w:pPr>
            <w:r>
              <w:t>Improvement</w:t>
            </w:r>
          </w:p>
        </w:tc>
        <w:tc>
          <w:tcPr>
            <w:tcW w:w="1031" w:type="pct"/>
          </w:tcPr>
          <w:p w14:paraId="37666C03" w14:textId="5A3AA1EB" w:rsidR="00D33279" w:rsidRPr="00767EA6" w:rsidRDefault="0005677C" w:rsidP="009E66FF">
            <w:pPr>
              <w:pStyle w:val="051Tabletext228pt"/>
            </w:pPr>
            <w:r>
              <w:t>48</w:t>
            </w:r>
          </w:p>
        </w:tc>
      </w:tr>
      <w:tr w:rsidR="00776F01" w:rsidRPr="00B0485F" w14:paraId="2252E27A" w14:textId="77777777" w:rsidTr="00A363C4">
        <w:tc>
          <w:tcPr>
            <w:tcW w:w="1250" w:type="pct"/>
          </w:tcPr>
          <w:p w14:paraId="59D6D3CC" w14:textId="21D52CD2" w:rsidR="00776F01" w:rsidRDefault="00776F01" w:rsidP="00CB5DBD">
            <w:pPr>
              <w:pStyle w:val="051Tabletext228pt"/>
            </w:pPr>
            <w:r>
              <w:t>de Oliveira 2006</w:t>
            </w:r>
            <w:r w:rsidR="00F43CA6">
              <w:t xml:space="preserve"> (ID: 44)</w:t>
            </w:r>
          </w:p>
          <w:p w14:paraId="40D4266C" w14:textId="0B866038" w:rsidR="00776F01" w:rsidRPr="00776F01" w:rsidRDefault="00776F01" w:rsidP="00CB5DBD">
            <w:pPr>
              <w:pStyle w:val="051Tabletext228pt"/>
            </w:pPr>
          </w:p>
        </w:tc>
        <w:tc>
          <w:tcPr>
            <w:tcW w:w="1590" w:type="pct"/>
          </w:tcPr>
          <w:p w14:paraId="5B018B3B" w14:textId="77777777" w:rsidR="00776F01" w:rsidRDefault="00AA5498" w:rsidP="00CB5DBD">
            <w:pPr>
              <w:pStyle w:val="051Tabletext228pt"/>
            </w:pPr>
            <w:r>
              <w:t>SUI</w:t>
            </w:r>
          </w:p>
          <w:p w14:paraId="25D2C997" w14:textId="07D2ED44" w:rsidR="000D7A6C" w:rsidRPr="00767EA6" w:rsidRDefault="000D7A6C" w:rsidP="00CB5DBD">
            <w:pPr>
              <w:pStyle w:val="051Tabletext228pt"/>
            </w:pPr>
            <w:r>
              <w:t>N=83</w:t>
            </w:r>
          </w:p>
        </w:tc>
        <w:tc>
          <w:tcPr>
            <w:tcW w:w="1129" w:type="pct"/>
          </w:tcPr>
          <w:p w14:paraId="319638FD" w14:textId="77777777" w:rsidR="00047FE8" w:rsidRDefault="00047FE8" w:rsidP="00047FE8">
            <w:pPr>
              <w:pStyle w:val="051Tabletext228pt"/>
            </w:pPr>
            <w:r>
              <w:t>Cure</w:t>
            </w:r>
          </w:p>
          <w:p w14:paraId="228C5CDB" w14:textId="6B1501D2" w:rsidR="00776F01" w:rsidRPr="00767EA6" w:rsidRDefault="00047FE8" w:rsidP="00047FE8">
            <w:pPr>
              <w:pStyle w:val="051Tabletext228pt"/>
            </w:pPr>
            <w:r>
              <w:t>Improvement</w:t>
            </w:r>
          </w:p>
        </w:tc>
        <w:tc>
          <w:tcPr>
            <w:tcW w:w="1031" w:type="pct"/>
          </w:tcPr>
          <w:p w14:paraId="7DD2FD78" w14:textId="61C0BE09" w:rsidR="00776F01" w:rsidRPr="00767EA6" w:rsidRDefault="00776F01" w:rsidP="009E66FF">
            <w:pPr>
              <w:pStyle w:val="051Tabletext228pt"/>
            </w:pPr>
            <w:r>
              <w:t>12</w:t>
            </w:r>
          </w:p>
        </w:tc>
      </w:tr>
      <w:tr w:rsidR="00776F01" w:rsidRPr="00B0485F" w14:paraId="0E657BC5" w14:textId="77777777" w:rsidTr="00A363C4">
        <w:tc>
          <w:tcPr>
            <w:tcW w:w="1250" w:type="pct"/>
          </w:tcPr>
          <w:p w14:paraId="520CA105" w14:textId="1E298719" w:rsidR="00925237" w:rsidRPr="00925237" w:rsidRDefault="00776F01" w:rsidP="00CB5DBD">
            <w:pPr>
              <w:pStyle w:val="051Tabletext228pt"/>
            </w:pPr>
            <w:r>
              <w:t xml:space="preserve">de </w:t>
            </w:r>
            <w:proofErr w:type="spellStart"/>
            <w:r>
              <w:t>Tayrac</w:t>
            </w:r>
            <w:proofErr w:type="spellEnd"/>
            <w:r>
              <w:t xml:space="preserve"> 2004</w:t>
            </w:r>
            <w:r w:rsidR="00F43CA6">
              <w:t xml:space="preserve"> (ID: 125)</w:t>
            </w:r>
          </w:p>
          <w:p w14:paraId="60C71BCA" w14:textId="55606031" w:rsidR="00047FE8" w:rsidRPr="00047FE8" w:rsidRDefault="00047FE8" w:rsidP="00CB5DBD">
            <w:pPr>
              <w:pStyle w:val="051Tabletext228pt"/>
            </w:pPr>
          </w:p>
        </w:tc>
        <w:tc>
          <w:tcPr>
            <w:tcW w:w="1590" w:type="pct"/>
          </w:tcPr>
          <w:p w14:paraId="75339E5D" w14:textId="77777777" w:rsidR="00776F01" w:rsidRDefault="00482604" w:rsidP="00CB5DBD">
            <w:pPr>
              <w:pStyle w:val="051Tabletext228pt"/>
            </w:pPr>
            <w:r>
              <w:t>USI, predominant SUI</w:t>
            </w:r>
          </w:p>
          <w:p w14:paraId="5181FA6F" w14:textId="0A9BEECD" w:rsidR="000D7A6C" w:rsidRPr="00767EA6" w:rsidRDefault="000D7A6C" w:rsidP="00CB5DBD">
            <w:pPr>
              <w:pStyle w:val="051Tabletext228pt"/>
            </w:pPr>
            <w:r>
              <w:t>N=61</w:t>
            </w:r>
          </w:p>
        </w:tc>
        <w:tc>
          <w:tcPr>
            <w:tcW w:w="1129" w:type="pct"/>
          </w:tcPr>
          <w:p w14:paraId="50382AC9" w14:textId="77777777" w:rsidR="00191AF8" w:rsidRDefault="00191AF8" w:rsidP="00191AF8">
            <w:pPr>
              <w:pStyle w:val="051Tabletext228pt"/>
            </w:pPr>
            <w:r>
              <w:t>Cure</w:t>
            </w:r>
          </w:p>
          <w:p w14:paraId="02715D4E" w14:textId="15CE3E88" w:rsidR="00776F01" w:rsidRPr="00767EA6" w:rsidRDefault="00191AF8" w:rsidP="00191AF8">
            <w:pPr>
              <w:pStyle w:val="051Tabletext228pt"/>
            </w:pPr>
            <w:r>
              <w:t>Improvement</w:t>
            </w:r>
          </w:p>
        </w:tc>
        <w:tc>
          <w:tcPr>
            <w:tcW w:w="1031" w:type="pct"/>
          </w:tcPr>
          <w:p w14:paraId="521518CE" w14:textId="37AE7AF5" w:rsidR="00776F01" w:rsidRPr="00767EA6" w:rsidRDefault="00C472C9" w:rsidP="009E66FF">
            <w:pPr>
              <w:pStyle w:val="051Tabletext228pt"/>
            </w:pPr>
            <w:r>
              <w:t>12</w:t>
            </w:r>
          </w:p>
        </w:tc>
      </w:tr>
      <w:tr w:rsidR="00D74242" w:rsidRPr="00B0485F" w14:paraId="04A672F9" w14:textId="77777777" w:rsidTr="00A363C4">
        <w:tc>
          <w:tcPr>
            <w:tcW w:w="1250" w:type="pct"/>
          </w:tcPr>
          <w:p w14:paraId="6356C464" w14:textId="44C2C16F" w:rsidR="00D74242" w:rsidRDefault="00D74242" w:rsidP="00CB5DBD">
            <w:pPr>
              <w:pStyle w:val="051Tabletext228pt"/>
            </w:pPr>
            <w:proofErr w:type="spellStart"/>
            <w:r>
              <w:t>Deffieux</w:t>
            </w:r>
            <w:proofErr w:type="spellEnd"/>
            <w:r>
              <w:t xml:space="preserve"> 2010</w:t>
            </w:r>
            <w:r w:rsidR="00F43CA6">
              <w:t xml:space="preserve"> (ID: 126)</w:t>
            </w:r>
          </w:p>
          <w:p w14:paraId="2A4A490B" w14:textId="25D3E01B" w:rsidR="00D74242" w:rsidRPr="00C472C9" w:rsidRDefault="00D74242" w:rsidP="00CB5DBD">
            <w:pPr>
              <w:pStyle w:val="051Tabletext228pt"/>
            </w:pPr>
          </w:p>
        </w:tc>
        <w:tc>
          <w:tcPr>
            <w:tcW w:w="1590" w:type="pct"/>
          </w:tcPr>
          <w:p w14:paraId="73CBCBE8" w14:textId="77777777" w:rsidR="00D74242" w:rsidRDefault="0095297B" w:rsidP="00CB5DBD">
            <w:pPr>
              <w:pStyle w:val="051Tabletext228pt"/>
            </w:pPr>
            <w:r>
              <w:t>USI, MUI</w:t>
            </w:r>
          </w:p>
          <w:p w14:paraId="7EE0ECEE" w14:textId="1D6FD799" w:rsidR="000D7A6C" w:rsidRPr="00767EA6" w:rsidRDefault="000D7A6C" w:rsidP="00CB5DBD">
            <w:pPr>
              <w:pStyle w:val="051Tabletext228pt"/>
            </w:pPr>
            <w:r>
              <w:t>N=149</w:t>
            </w:r>
          </w:p>
        </w:tc>
        <w:tc>
          <w:tcPr>
            <w:tcW w:w="1129" w:type="pct"/>
          </w:tcPr>
          <w:p w14:paraId="3D8552DD" w14:textId="77777777" w:rsidR="00666E91" w:rsidRDefault="00666E91" w:rsidP="00666E91">
            <w:pPr>
              <w:pStyle w:val="051Tabletext228pt"/>
            </w:pPr>
            <w:r>
              <w:t>Cure</w:t>
            </w:r>
          </w:p>
          <w:p w14:paraId="15EE60AC" w14:textId="3EC8BE61" w:rsidR="00D74242" w:rsidRPr="00767EA6" w:rsidRDefault="00666E91" w:rsidP="00CB5DBD">
            <w:pPr>
              <w:pStyle w:val="051Tabletext228pt"/>
            </w:pPr>
            <w:r>
              <w:t>Improvement</w:t>
            </w:r>
          </w:p>
        </w:tc>
        <w:tc>
          <w:tcPr>
            <w:tcW w:w="1031" w:type="pct"/>
          </w:tcPr>
          <w:p w14:paraId="74FF63D9" w14:textId="3157B57D" w:rsidR="00D74242" w:rsidRPr="00767EA6" w:rsidRDefault="0095297B" w:rsidP="009E66FF">
            <w:pPr>
              <w:pStyle w:val="051Tabletext228pt"/>
            </w:pPr>
            <w:r>
              <w:t>24</w:t>
            </w:r>
          </w:p>
        </w:tc>
      </w:tr>
      <w:tr w:rsidR="00D74242" w:rsidRPr="00B0485F" w14:paraId="61A5020F" w14:textId="77777777" w:rsidTr="00A363C4">
        <w:tc>
          <w:tcPr>
            <w:tcW w:w="1250" w:type="pct"/>
          </w:tcPr>
          <w:p w14:paraId="6B578A8A" w14:textId="5D7E91C8" w:rsidR="003311CC" w:rsidRDefault="00D74242" w:rsidP="003311CC">
            <w:pPr>
              <w:pStyle w:val="051Tabletext228pt"/>
            </w:pPr>
            <w:r>
              <w:t>El-</w:t>
            </w:r>
            <w:proofErr w:type="spellStart"/>
            <w:r>
              <w:t>Hefnawy</w:t>
            </w:r>
            <w:proofErr w:type="spellEnd"/>
            <w:r>
              <w:t xml:space="preserve"> 2010</w:t>
            </w:r>
            <w:r w:rsidR="00F43CA6">
              <w:t xml:space="preserve"> (ID: 127)</w:t>
            </w:r>
          </w:p>
          <w:p w14:paraId="063FA0A2" w14:textId="1E299085" w:rsidR="00D74242" w:rsidRPr="00636F2F" w:rsidRDefault="00D74242" w:rsidP="00CB5DBD">
            <w:pPr>
              <w:pStyle w:val="051Tabletext228pt"/>
            </w:pPr>
          </w:p>
        </w:tc>
        <w:tc>
          <w:tcPr>
            <w:tcW w:w="1590" w:type="pct"/>
          </w:tcPr>
          <w:p w14:paraId="2CF43D2D" w14:textId="77777777" w:rsidR="00D74242" w:rsidRDefault="003311CC" w:rsidP="00CB5DBD">
            <w:pPr>
              <w:pStyle w:val="051Tabletext228pt"/>
            </w:pPr>
            <w:r>
              <w:t>USI, predominant SUI</w:t>
            </w:r>
          </w:p>
          <w:p w14:paraId="52021575" w14:textId="0569BBDD" w:rsidR="000D7A6C" w:rsidRPr="00767EA6" w:rsidRDefault="000D7A6C" w:rsidP="00CB5DBD">
            <w:pPr>
              <w:pStyle w:val="051Tabletext228pt"/>
            </w:pPr>
            <w:r>
              <w:t>N=87</w:t>
            </w:r>
          </w:p>
        </w:tc>
        <w:tc>
          <w:tcPr>
            <w:tcW w:w="1129" w:type="pct"/>
          </w:tcPr>
          <w:p w14:paraId="68351BE2" w14:textId="77777777" w:rsidR="003311CC" w:rsidRDefault="003311CC" w:rsidP="003311CC">
            <w:pPr>
              <w:pStyle w:val="051Tabletext228pt"/>
            </w:pPr>
            <w:r>
              <w:t>Cure</w:t>
            </w:r>
          </w:p>
          <w:p w14:paraId="34FE0298" w14:textId="587B9387" w:rsidR="00D74242" w:rsidRPr="00767EA6" w:rsidRDefault="003311CC" w:rsidP="00CB5DBD">
            <w:pPr>
              <w:pStyle w:val="051Tabletext228pt"/>
            </w:pPr>
            <w:r>
              <w:t>Improvement</w:t>
            </w:r>
          </w:p>
        </w:tc>
        <w:tc>
          <w:tcPr>
            <w:tcW w:w="1031" w:type="pct"/>
          </w:tcPr>
          <w:p w14:paraId="0FB659F0" w14:textId="3CEF0C16" w:rsidR="00D74242" w:rsidRPr="00767EA6" w:rsidRDefault="003311CC" w:rsidP="009E66FF">
            <w:pPr>
              <w:pStyle w:val="051Tabletext228pt"/>
            </w:pPr>
            <w:r>
              <w:t>24</w:t>
            </w:r>
          </w:p>
        </w:tc>
      </w:tr>
      <w:tr w:rsidR="00D74242" w:rsidRPr="00B0485F" w14:paraId="092D3187" w14:textId="77777777" w:rsidTr="00A363C4">
        <w:tc>
          <w:tcPr>
            <w:tcW w:w="1250" w:type="pct"/>
          </w:tcPr>
          <w:p w14:paraId="28888939" w14:textId="6D97768C" w:rsidR="003311CC" w:rsidRDefault="00D74242" w:rsidP="003311CC">
            <w:pPr>
              <w:pStyle w:val="051Tabletext228pt"/>
            </w:pPr>
            <w:r>
              <w:t>Freeman 2011</w:t>
            </w:r>
            <w:r w:rsidR="00F43CA6">
              <w:t xml:space="preserve"> (ID: 128)</w:t>
            </w:r>
          </w:p>
          <w:p w14:paraId="54D48260" w14:textId="0E1E114F" w:rsidR="00D74242" w:rsidRPr="004023CB" w:rsidRDefault="00D74242" w:rsidP="00CB5DBD">
            <w:pPr>
              <w:pStyle w:val="051Tabletext228pt"/>
            </w:pPr>
          </w:p>
        </w:tc>
        <w:tc>
          <w:tcPr>
            <w:tcW w:w="1590" w:type="pct"/>
          </w:tcPr>
          <w:p w14:paraId="1E25502B" w14:textId="77777777" w:rsidR="00D74242" w:rsidRDefault="005162B9" w:rsidP="00CB5DBD">
            <w:pPr>
              <w:pStyle w:val="051Tabletext228pt"/>
            </w:pPr>
            <w:r>
              <w:t>USI, predominant SUI</w:t>
            </w:r>
          </w:p>
          <w:p w14:paraId="779A6F85" w14:textId="0E3BF46E" w:rsidR="000D7A6C" w:rsidRPr="00767EA6" w:rsidRDefault="000D7A6C" w:rsidP="00CB5DBD">
            <w:pPr>
              <w:pStyle w:val="051Tabletext228pt"/>
            </w:pPr>
            <w:r>
              <w:t>N=192</w:t>
            </w:r>
          </w:p>
        </w:tc>
        <w:tc>
          <w:tcPr>
            <w:tcW w:w="1129" w:type="pct"/>
          </w:tcPr>
          <w:p w14:paraId="6B1EA7E0" w14:textId="77777777" w:rsidR="001F14E3" w:rsidRDefault="001F14E3" w:rsidP="001F14E3">
            <w:pPr>
              <w:pStyle w:val="051Tabletext228pt"/>
            </w:pPr>
            <w:r>
              <w:t>Cure</w:t>
            </w:r>
          </w:p>
          <w:p w14:paraId="7AB52890" w14:textId="121B37EF" w:rsidR="00D74242" w:rsidRPr="00767EA6" w:rsidRDefault="001F14E3" w:rsidP="00CB5DBD">
            <w:pPr>
              <w:pStyle w:val="051Tabletext228pt"/>
            </w:pPr>
            <w:r>
              <w:t>Improvement</w:t>
            </w:r>
          </w:p>
        </w:tc>
        <w:tc>
          <w:tcPr>
            <w:tcW w:w="1031" w:type="pct"/>
          </w:tcPr>
          <w:p w14:paraId="12E22835" w14:textId="5C3AF6EF" w:rsidR="00D74242" w:rsidRPr="00767EA6" w:rsidRDefault="003F312D" w:rsidP="009E66FF">
            <w:pPr>
              <w:pStyle w:val="051Tabletext228pt"/>
            </w:pPr>
            <w:r>
              <w:t>12</w:t>
            </w:r>
          </w:p>
        </w:tc>
      </w:tr>
      <w:tr w:rsidR="00D74242" w:rsidRPr="00B0485F" w14:paraId="27C5454E" w14:textId="77777777" w:rsidTr="00A363C4">
        <w:tc>
          <w:tcPr>
            <w:tcW w:w="1250" w:type="pct"/>
          </w:tcPr>
          <w:p w14:paraId="5EBA6CD8" w14:textId="7A32358B" w:rsidR="003311CC" w:rsidRDefault="00D74242" w:rsidP="003311CC">
            <w:pPr>
              <w:pStyle w:val="051Tabletext228pt"/>
            </w:pPr>
            <w:r>
              <w:t>Hammoud 2011</w:t>
            </w:r>
            <w:r w:rsidR="00F43CA6">
              <w:t xml:space="preserve"> (ID: 56)</w:t>
            </w:r>
          </w:p>
          <w:p w14:paraId="15F7C054" w14:textId="0516853D" w:rsidR="00D74242" w:rsidRPr="003F312D" w:rsidRDefault="00D74242" w:rsidP="00CB5DBD">
            <w:pPr>
              <w:pStyle w:val="051Tabletext228pt"/>
            </w:pPr>
          </w:p>
        </w:tc>
        <w:tc>
          <w:tcPr>
            <w:tcW w:w="1590" w:type="pct"/>
          </w:tcPr>
          <w:p w14:paraId="0F686219" w14:textId="77777777" w:rsidR="00D74242" w:rsidRDefault="00A251C6" w:rsidP="00CB5DBD">
            <w:pPr>
              <w:pStyle w:val="051Tabletext228pt"/>
            </w:pPr>
            <w:r>
              <w:t>SUI, MUI</w:t>
            </w:r>
          </w:p>
          <w:p w14:paraId="5C9A18AD" w14:textId="032C464D" w:rsidR="000D7A6C" w:rsidRPr="00767EA6" w:rsidRDefault="000D7A6C" w:rsidP="00CB5DBD">
            <w:pPr>
              <w:pStyle w:val="051Tabletext228pt"/>
            </w:pPr>
            <w:r>
              <w:t>N=110</w:t>
            </w:r>
          </w:p>
        </w:tc>
        <w:tc>
          <w:tcPr>
            <w:tcW w:w="1129" w:type="pct"/>
          </w:tcPr>
          <w:p w14:paraId="6FF0666F" w14:textId="77777777" w:rsidR="00B3532C" w:rsidRDefault="00B3532C" w:rsidP="00B3532C">
            <w:pPr>
              <w:pStyle w:val="051Tabletext228pt"/>
            </w:pPr>
            <w:r>
              <w:t>Cure</w:t>
            </w:r>
          </w:p>
          <w:p w14:paraId="1EB18D9A" w14:textId="7496A570" w:rsidR="00D74242" w:rsidRPr="00767EA6" w:rsidRDefault="00B3532C" w:rsidP="00CB5DBD">
            <w:pPr>
              <w:pStyle w:val="051Tabletext228pt"/>
            </w:pPr>
            <w:r>
              <w:t>Improvement</w:t>
            </w:r>
          </w:p>
        </w:tc>
        <w:tc>
          <w:tcPr>
            <w:tcW w:w="1031" w:type="pct"/>
          </w:tcPr>
          <w:p w14:paraId="1C91FDE0" w14:textId="07B255A3" w:rsidR="00D74242" w:rsidRPr="00767EA6" w:rsidRDefault="007456B6" w:rsidP="009E66FF">
            <w:pPr>
              <w:pStyle w:val="051Tabletext228pt"/>
            </w:pPr>
            <w:r>
              <w:t>NR</w:t>
            </w:r>
          </w:p>
        </w:tc>
      </w:tr>
      <w:tr w:rsidR="00D74242" w:rsidRPr="00B0485F" w14:paraId="7E94BE05" w14:textId="77777777" w:rsidTr="00A363C4">
        <w:tc>
          <w:tcPr>
            <w:tcW w:w="1250" w:type="pct"/>
          </w:tcPr>
          <w:p w14:paraId="620EF8B1" w14:textId="76ED4D95" w:rsidR="003311CC" w:rsidRDefault="00D74242" w:rsidP="003311CC">
            <w:pPr>
              <w:pStyle w:val="051Tabletext228pt"/>
            </w:pPr>
            <w:proofErr w:type="spellStart"/>
            <w:r>
              <w:t>Jakimiuk</w:t>
            </w:r>
            <w:proofErr w:type="spellEnd"/>
            <w:r>
              <w:t xml:space="preserve"> 2012</w:t>
            </w:r>
            <w:r w:rsidR="00F43CA6">
              <w:t xml:space="preserve"> (ID: 129)</w:t>
            </w:r>
          </w:p>
          <w:p w14:paraId="46186C3D" w14:textId="5ADF1E8D" w:rsidR="00D74242" w:rsidRPr="001F749D" w:rsidRDefault="00D74242" w:rsidP="00CB5DBD">
            <w:pPr>
              <w:pStyle w:val="051Tabletext228pt"/>
            </w:pPr>
          </w:p>
        </w:tc>
        <w:tc>
          <w:tcPr>
            <w:tcW w:w="1590" w:type="pct"/>
          </w:tcPr>
          <w:p w14:paraId="0C61A9EC" w14:textId="77777777" w:rsidR="00D74242" w:rsidRDefault="00123F1E" w:rsidP="00CB5DBD">
            <w:pPr>
              <w:pStyle w:val="051Tabletext228pt"/>
            </w:pPr>
            <w:r>
              <w:t>USI only (no MUI)</w:t>
            </w:r>
          </w:p>
          <w:p w14:paraId="31FD4012" w14:textId="2C77D2F4" w:rsidR="000D7A6C" w:rsidRPr="00767EA6" w:rsidRDefault="000D7A6C" w:rsidP="00CB5DBD">
            <w:pPr>
              <w:pStyle w:val="051Tabletext228pt"/>
            </w:pPr>
            <w:r>
              <w:t>N=35</w:t>
            </w:r>
          </w:p>
        </w:tc>
        <w:tc>
          <w:tcPr>
            <w:tcW w:w="1129" w:type="pct"/>
          </w:tcPr>
          <w:p w14:paraId="426A12F5" w14:textId="77777777" w:rsidR="00B82C1D" w:rsidRDefault="00B82C1D" w:rsidP="00B82C1D">
            <w:pPr>
              <w:pStyle w:val="051Tabletext228pt"/>
            </w:pPr>
            <w:r>
              <w:t>Cure</w:t>
            </w:r>
          </w:p>
          <w:p w14:paraId="5B8FB932" w14:textId="7A660D47" w:rsidR="00D74242" w:rsidRPr="00767EA6" w:rsidRDefault="00B82C1D" w:rsidP="00CB5DBD">
            <w:pPr>
              <w:pStyle w:val="051Tabletext228pt"/>
            </w:pPr>
            <w:r>
              <w:t>Improvement</w:t>
            </w:r>
          </w:p>
        </w:tc>
        <w:tc>
          <w:tcPr>
            <w:tcW w:w="1031" w:type="pct"/>
          </w:tcPr>
          <w:p w14:paraId="33C09805" w14:textId="1127E445" w:rsidR="00D74242" w:rsidRPr="00767EA6" w:rsidRDefault="00B7741B" w:rsidP="009E66FF">
            <w:pPr>
              <w:pStyle w:val="051Tabletext228pt"/>
            </w:pPr>
            <w:r>
              <w:t>6</w:t>
            </w:r>
          </w:p>
        </w:tc>
      </w:tr>
      <w:tr w:rsidR="00D74242" w:rsidRPr="00B0485F" w14:paraId="527526B1" w14:textId="77777777" w:rsidTr="00A363C4">
        <w:tc>
          <w:tcPr>
            <w:tcW w:w="1250" w:type="pct"/>
          </w:tcPr>
          <w:p w14:paraId="680B4524" w14:textId="58FDA1F0" w:rsidR="005D53E6" w:rsidRDefault="00D74242" w:rsidP="005D53E6">
            <w:pPr>
              <w:pStyle w:val="051Tabletext228pt"/>
            </w:pPr>
            <w:r>
              <w:t>Kamel 2009</w:t>
            </w:r>
            <w:r w:rsidR="00F43CA6">
              <w:t xml:space="preserve"> (ID: 58)</w:t>
            </w:r>
          </w:p>
          <w:p w14:paraId="159B13F6" w14:textId="22C7A984" w:rsidR="00D74242" w:rsidRPr="00B82C1D" w:rsidRDefault="00D74242" w:rsidP="00CB5DBD">
            <w:pPr>
              <w:pStyle w:val="051Tabletext228pt"/>
            </w:pPr>
          </w:p>
        </w:tc>
        <w:tc>
          <w:tcPr>
            <w:tcW w:w="1590" w:type="pct"/>
          </w:tcPr>
          <w:p w14:paraId="77E0DEC1" w14:textId="77777777" w:rsidR="00D74242" w:rsidRDefault="005D53E6" w:rsidP="00CB5DBD">
            <w:pPr>
              <w:pStyle w:val="051Tabletext228pt"/>
            </w:pPr>
            <w:r>
              <w:t>USI</w:t>
            </w:r>
          </w:p>
          <w:p w14:paraId="795990F1" w14:textId="34EB6CF6" w:rsidR="000D7A6C" w:rsidRPr="00767EA6" w:rsidRDefault="000D7A6C" w:rsidP="00CB5DBD">
            <w:pPr>
              <w:pStyle w:val="051Tabletext228pt"/>
            </w:pPr>
            <w:r>
              <w:t>N=120</w:t>
            </w:r>
          </w:p>
        </w:tc>
        <w:tc>
          <w:tcPr>
            <w:tcW w:w="1129" w:type="pct"/>
          </w:tcPr>
          <w:p w14:paraId="3C02A4B2" w14:textId="77777777" w:rsidR="005D53E6" w:rsidRDefault="005D53E6" w:rsidP="005D53E6">
            <w:pPr>
              <w:pStyle w:val="051Tabletext228pt"/>
            </w:pPr>
            <w:r>
              <w:t>Cure</w:t>
            </w:r>
          </w:p>
          <w:p w14:paraId="7C1A5FD0" w14:textId="4C751003" w:rsidR="00D74242" w:rsidRPr="00767EA6" w:rsidRDefault="005D53E6" w:rsidP="00CB5DBD">
            <w:pPr>
              <w:pStyle w:val="051Tabletext228pt"/>
            </w:pPr>
            <w:r>
              <w:t>Improvement</w:t>
            </w:r>
          </w:p>
        </w:tc>
        <w:tc>
          <w:tcPr>
            <w:tcW w:w="1031" w:type="pct"/>
          </w:tcPr>
          <w:p w14:paraId="1ADAAEEB" w14:textId="5F9FCBD6" w:rsidR="00D74242" w:rsidRPr="00767EA6" w:rsidRDefault="005D53E6" w:rsidP="009E66FF">
            <w:pPr>
              <w:pStyle w:val="051Tabletext228pt"/>
            </w:pPr>
            <w:r>
              <w:t>NR</w:t>
            </w:r>
          </w:p>
        </w:tc>
      </w:tr>
      <w:tr w:rsidR="00D74242" w:rsidRPr="00B0485F" w14:paraId="21D7867F" w14:textId="77777777" w:rsidTr="00A363C4">
        <w:tc>
          <w:tcPr>
            <w:tcW w:w="1250" w:type="pct"/>
          </w:tcPr>
          <w:p w14:paraId="3098D835" w14:textId="722A0F3E" w:rsidR="005D53E6" w:rsidRDefault="00D74242" w:rsidP="005D53E6">
            <w:pPr>
              <w:pStyle w:val="051Tabletext228pt"/>
            </w:pPr>
            <w:proofErr w:type="spellStart"/>
            <w:r>
              <w:t>Karateke</w:t>
            </w:r>
            <w:proofErr w:type="spellEnd"/>
            <w:r>
              <w:t xml:space="preserve"> 2009</w:t>
            </w:r>
            <w:r w:rsidR="00F43CA6">
              <w:t xml:space="preserve"> (ID: 130)</w:t>
            </w:r>
          </w:p>
          <w:p w14:paraId="735A2C6A" w14:textId="22852C98" w:rsidR="00D74242" w:rsidRPr="004B3EEA" w:rsidRDefault="00D74242" w:rsidP="00CB5DBD">
            <w:pPr>
              <w:pStyle w:val="051Tabletext228pt"/>
            </w:pPr>
          </w:p>
        </w:tc>
        <w:tc>
          <w:tcPr>
            <w:tcW w:w="1590" w:type="pct"/>
          </w:tcPr>
          <w:p w14:paraId="15B1CDC4" w14:textId="77777777" w:rsidR="00D74242" w:rsidRDefault="001E1730" w:rsidP="00CB5DBD">
            <w:pPr>
              <w:pStyle w:val="051Tabletext228pt"/>
            </w:pPr>
            <w:r>
              <w:t>USI (DO/OAB excluded)</w:t>
            </w:r>
          </w:p>
          <w:p w14:paraId="6566CFB9" w14:textId="7AE752A5" w:rsidR="000D7A6C" w:rsidRPr="00767EA6" w:rsidRDefault="000D7A6C" w:rsidP="00CB5DBD">
            <w:pPr>
              <w:pStyle w:val="051Tabletext228pt"/>
            </w:pPr>
            <w:r>
              <w:t>N=167</w:t>
            </w:r>
          </w:p>
        </w:tc>
        <w:tc>
          <w:tcPr>
            <w:tcW w:w="1129" w:type="pct"/>
          </w:tcPr>
          <w:p w14:paraId="1A8D8B6F" w14:textId="77777777" w:rsidR="00645DE9" w:rsidRDefault="00645DE9" w:rsidP="00645DE9">
            <w:pPr>
              <w:pStyle w:val="051Tabletext228pt"/>
            </w:pPr>
            <w:r>
              <w:t>Cure</w:t>
            </w:r>
          </w:p>
          <w:p w14:paraId="343BD7BB" w14:textId="432AD7A6" w:rsidR="00D74242" w:rsidRPr="00767EA6" w:rsidRDefault="00645DE9" w:rsidP="00CB5DBD">
            <w:pPr>
              <w:pStyle w:val="051Tabletext228pt"/>
            </w:pPr>
            <w:r>
              <w:t>Improvement</w:t>
            </w:r>
          </w:p>
        </w:tc>
        <w:tc>
          <w:tcPr>
            <w:tcW w:w="1031" w:type="pct"/>
          </w:tcPr>
          <w:p w14:paraId="76CFED82" w14:textId="65EA7D15" w:rsidR="00D74242" w:rsidRPr="00767EA6" w:rsidRDefault="00645DE9" w:rsidP="009E66FF">
            <w:pPr>
              <w:pStyle w:val="051Tabletext228pt"/>
            </w:pPr>
            <w:r>
              <w:t>NR</w:t>
            </w:r>
          </w:p>
        </w:tc>
      </w:tr>
      <w:tr w:rsidR="00D33279" w:rsidRPr="00B0485F" w14:paraId="42CC549E" w14:textId="77777777" w:rsidTr="00A363C4">
        <w:tc>
          <w:tcPr>
            <w:tcW w:w="1250" w:type="pct"/>
          </w:tcPr>
          <w:p w14:paraId="323CFB41" w14:textId="150D291C" w:rsidR="005D53E6" w:rsidRDefault="00E55A0F" w:rsidP="005D53E6">
            <w:pPr>
              <w:pStyle w:val="051Tabletext228pt"/>
            </w:pPr>
            <w:r w:rsidRPr="00E55A0F">
              <w:t>Kiliç</w:t>
            </w:r>
            <w:r w:rsidR="00D33279">
              <w:t xml:space="preserve"> 2007</w:t>
            </w:r>
            <w:r w:rsidR="00F43CA6">
              <w:t xml:space="preserve"> (ID: 131)</w:t>
            </w:r>
          </w:p>
          <w:p w14:paraId="1AE0D625" w14:textId="07FA40E5" w:rsidR="00D33279" w:rsidRPr="00E55A0F" w:rsidRDefault="00D33279" w:rsidP="00CB5DBD">
            <w:pPr>
              <w:pStyle w:val="051Tabletext228pt"/>
            </w:pPr>
          </w:p>
        </w:tc>
        <w:tc>
          <w:tcPr>
            <w:tcW w:w="1590" w:type="pct"/>
          </w:tcPr>
          <w:p w14:paraId="00795F8F" w14:textId="77777777" w:rsidR="00D33279" w:rsidRDefault="000B0B31" w:rsidP="00CB5DBD">
            <w:pPr>
              <w:pStyle w:val="051Tabletext228pt"/>
            </w:pPr>
            <w:r>
              <w:t>USI</w:t>
            </w:r>
          </w:p>
          <w:p w14:paraId="3E84168B" w14:textId="7E833208" w:rsidR="000D7A6C" w:rsidRPr="00767EA6" w:rsidRDefault="000D7A6C" w:rsidP="00CB5DBD">
            <w:pPr>
              <w:pStyle w:val="051Tabletext228pt"/>
            </w:pPr>
            <w:r>
              <w:t>N=20</w:t>
            </w:r>
          </w:p>
        </w:tc>
        <w:tc>
          <w:tcPr>
            <w:tcW w:w="1129" w:type="pct"/>
          </w:tcPr>
          <w:p w14:paraId="6C61B733" w14:textId="05B31467" w:rsidR="00D33279" w:rsidRPr="00767EA6" w:rsidRDefault="003B7CC9" w:rsidP="00CB5DBD">
            <w:pPr>
              <w:pStyle w:val="051Tabletext228pt"/>
            </w:pPr>
            <w:r>
              <w:t>Improvement</w:t>
            </w:r>
          </w:p>
        </w:tc>
        <w:tc>
          <w:tcPr>
            <w:tcW w:w="1031" w:type="pct"/>
          </w:tcPr>
          <w:p w14:paraId="7BBDFE29" w14:textId="242AC359" w:rsidR="00D33279" w:rsidRPr="00767EA6" w:rsidRDefault="00464C41" w:rsidP="009E66FF">
            <w:pPr>
              <w:pStyle w:val="051Tabletext228pt"/>
            </w:pPr>
            <w:r>
              <w:t>12</w:t>
            </w:r>
          </w:p>
        </w:tc>
      </w:tr>
      <w:tr w:rsidR="00D33279" w:rsidRPr="00B0485F" w14:paraId="49D35DC6" w14:textId="77777777" w:rsidTr="00A363C4">
        <w:tc>
          <w:tcPr>
            <w:tcW w:w="1250" w:type="pct"/>
          </w:tcPr>
          <w:p w14:paraId="3DC965BE" w14:textId="4C0D428F" w:rsidR="005D53E6" w:rsidRDefault="00D33279" w:rsidP="005D53E6">
            <w:pPr>
              <w:pStyle w:val="051Tabletext228pt"/>
            </w:pPr>
            <w:r>
              <w:lastRenderedPageBreak/>
              <w:t>Kim 2005</w:t>
            </w:r>
            <w:r w:rsidR="00F43CA6">
              <w:t xml:space="preserve"> (ID: 132)</w:t>
            </w:r>
          </w:p>
          <w:p w14:paraId="334DDF01" w14:textId="5465E334" w:rsidR="00D33279" w:rsidRPr="003B7CC9" w:rsidRDefault="00D33279" w:rsidP="00CB5DBD">
            <w:pPr>
              <w:pStyle w:val="051Tabletext228pt"/>
            </w:pPr>
          </w:p>
        </w:tc>
        <w:tc>
          <w:tcPr>
            <w:tcW w:w="1590" w:type="pct"/>
          </w:tcPr>
          <w:p w14:paraId="387B5DB8" w14:textId="77777777" w:rsidR="00D33279" w:rsidRDefault="009B70CA" w:rsidP="00CB5DBD">
            <w:pPr>
              <w:pStyle w:val="051Tabletext228pt"/>
            </w:pPr>
            <w:r>
              <w:t>SUI</w:t>
            </w:r>
          </w:p>
          <w:p w14:paraId="4D70EC59" w14:textId="159B3A44" w:rsidR="000D7A6C" w:rsidRPr="00767EA6" w:rsidRDefault="000D7A6C" w:rsidP="00CB5DBD">
            <w:pPr>
              <w:pStyle w:val="051Tabletext228pt"/>
            </w:pPr>
            <w:r>
              <w:t>N=130</w:t>
            </w:r>
          </w:p>
        </w:tc>
        <w:tc>
          <w:tcPr>
            <w:tcW w:w="1129" w:type="pct"/>
          </w:tcPr>
          <w:p w14:paraId="71E64173" w14:textId="77777777" w:rsidR="004102D6" w:rsidRDefault="004102D6" w:rsidP="004102D6">
            <w:pPr>
              <w:pStyle w:val="051Tabletext228pt"/>
            </w:pPr>
            <w:r>
              <w:t>Cure</w:t>
            </w:r>
          </w:p>
          <w:p w14:paraId="0027FB03" w14:textId="2969CF17" w:rsidR="00D33279" w:rsidRPr="00767EA6" w:rsidRDefault="004102D6" w:rsidP="00CB5DBD">
            <w:pPr>
              <w:pStyle w:val="051Tabletext228pt"/>
            </w:pPr>
            <w:r>
              <w:t>Improvement</w:t>
            </w:r>
          </w:p>
        </w:tc>
        <w:tc>
          <w:tcPr>
            <w:tcW w:w="1031" w:type="pct"/>
          </w:tcPr>
          <w:p w14:paraId="18D54C0D" w14:textId="0A2D8D80" w:rsidR="00D33279" w:rsidRPr="00767EA6" w:rsidRDefault="009B70CA" w:rsidP="009E66FF">
            <w:pPr>
              <w:pStyle w:val="051Tabletext228pt"/>
            </w:pPr>
            <w:r>
              <w:t>3</w:t>
            </w:r>
          </w:p>
        </w:tc>
      </w:tr>
      <w:tr w:rsidR="00D74242" w:rsidRPr="00B0485F" w14:paraId="364AE4FF" w14:textId="77777777" w:rsidTr="00A363C4">
        <w:tc>
          <w:tcPr>
            <w:tcW w:w="1250" w:type="pct"/>
          </w:tcPr>
          <w:p w14:paraId="70F41DF4" w14:textId="07AF91A5" w:rsidR="005D53E6" w:rsidRDefault="00D74242" w:rsidP="005D53E6">
            <w:pPr>
              <w:pStyle w:val="051Tabletext228pt"/>
            </w:pPr>
            <w:r>
              <w:t>Krofta 2010</w:t>
            </w:r>
            <w:r w:rsidR="00F43CA6">
              <w:t xml:space="preserve"> (ID: 94)</w:t>
            </w:r>
          </w:p>
          <w:p w14:paraId="7523F0B8" w14:textId="77CEC991" w:rsidR="00D74242" w:rsidRPr="000A3177" w:rsidRDefault="00D74242" w:rsidP="00CB5DBD">
            <w:pPr>
              <w:pStyle w:val="051Tabletext228pt"/>
            </w:pPr>
          </w:p>
        </w:tc>
        <w:tc>
          <w:tcPr>
            <w:tcW w:w="1590" w:type="pct"/>
          </w:tcPr>
          <w:p w14:paraId="5A68D42F" w14:textId="77777777" w:rsidR="00D74242" w:rsidRDefault="005B0778" w:rsidP="00CB5DBD">
            <w:pPr>
              <w:pStyle w:val="051Tabletext228pt"/>
            </w:pPr>
            <w:r>
              <w:t>SUI only (no UUI)</w:t>
            </w:r>
          </w:p>
          <w:p w14:paraId="7ED6CB5C" w14:textId="4DDC2926" w:rsidR="000D7A6C" w:rsidRPr="00767EA6" w:rsidRDefault="000D7A6C" w:rsidP="00CB5DBD">
            <w:pPr>
              <w:pStyle w:val="051Tabletext228pt"/>
            </w:pPr>
            <w:r>
              <w:t>N=300</w:t>
            </w:r>
          </w:p>
        </w:tc>
        <w:tc>
          <w:tcPr>
            <w:tcW w:w="1129" w:type="pct"/>
          </w:tcPr>
          <w:p w14:paraId="4282EBEA" w14:textId="77777777" w:rsidR="000E33BA" w:rsidRDefault="000E33BA" w:rsidP="000E33BA">
            <w:pPr>
              <w:pStyle w:val="051Tabletext228pt"/>
            </w:pPr>
            <w:r>
              <w:t>Cure</w:t>
            </w:r>
          </w:p>
          <w:p w14:paraId="114486D4" w14:textId="33A14BF2" w:rsidR="00D74242" w:rsidRPr="00767EA6" w:rsidRDefault="000E33BA" w:rsidP="00CB5DBD">
            <w:pPr>
              <w:pStyle w:val="051Tabletext228pt"/>
            </w:pPr>
            <w:r>
              <w:t>Improvement</w:t>
            </w:r>
          </w:p>
        </w:tc>
        <w:tc>
          <w:tcPr>
            <w:tcW w:w="1031" w:type="pct"/>
          </w:tcPr>
          <w:p w14:paraId="0CF536FB" w14:textId="3400F26D" w:rsidR="00D74242" w:rsidRPr="00767EA6" w:rsidRDefault="00BA13EB" w:rsidP="009E66FF">
            <w:pPr>
              <w:pStyle w:val="051Tabletext228pt"/>
            </w:pPr>
            <w:r>
              <w:t>12</w:t>
            </w:r>
          </w:p>
        </w:tc>
      </w:tr>
      <w:tr w:rsidR="00D33279" w:rsidRPr="00B0485F" w14:paraId="46C2D2DE" w14:textId="77777777" w:rsidTr="00A363C4">
        <w:tc>
          <w:tcPr>
            <w:tcW w:w="1250" w:type="pct"/>
          </w:tcPr>
          <w:p w14:paraId="64EF7630" w14:textId="4FB98D7A" w:rsidR="005D53E6" w:rsidRDefault="00D33279" w:rsidP="005D53E6">
            <w:pPr>
              <w:pStyle w:val="051Tabletext228pt"/>
            </w:pPr>
            <w:proofErr w:type="spellStart"/>
            <w:r>
              <w:t>Laurikainen</w:t>
            </w:r>
            <w:proofErr w:type="spellEnd"/>
            <w:r>
              <w:t xml:space="preserve"> 2007</w:t>
            </w:r>
            <w:r w:rsidR="00F43CA6">
              <w:t xml:space="preserve"> (ID: 96)</w:t>
            </w:r>
          </w:p>
          <w:p w14:paraId="30903035" w14:textId="1A8A46BD" w:rsidR="00D33279" w:rsidRPr="000E33BA" w:rsidRDefault="00D33279" w:rsidP="00CB5DBD">
            <w:pPr>
              <w:pStyle w:val="051Tabletext228pt"/>
            </w:pPr>
          </w:p>
        </w:tc>
        <w:tc>
          <w:tcPr>
            <w:tcW w:w="1590" w:type="pct"/>
          </w:tcPr>
          <w:p w14:paraId="35A659B1" w14:textId="77777777" w:rsidR="00D33279" w:rsidRDefault="00200F58" w:rsidP="00CB5DBD">
            <w:pPr>
              <w:pStyle w:val="051Tabletext228pt"/>
            </w:pPr>
            <w:r>
              <w:t>SUI</w:t>
            </w:r>
          </w:p>
          <w:p w14:paraId="26963B05" w14:textId="0C174057" w:rsidR="000D7A6C" w:rsidRPr="00767EA6" w:rsidRDefault="000D7A6C" w:rsidP="00A363C4">
            <w:pPr>
              <w:pStyle w:val="051Tabletext228pt"/>
            </w:pPr>
            <w:r>
              <w:t>N=273 randomised</w:t>
            </w:r>
            <w:r w:rsidR="00A363C4">
              <w:t xml:space="preserve">; </w:t>
            </w:r>
            <w:r>
              <w:t>N=268 analysed</w:t>
            </w:r>
          </w:p>
        </w:tc>
        <w:tc>
          <w:tcPr>
            <w:tcW w:w="1129" w:type="pct"/>
          </w:tcPr>
          <w:p w14:paraId="6C62F984" w14:textId="2271C99A" w:rsidR="00D33279" w:rsidRPr="00767EA6" w:rsidRDefault="00772678" w:rsidP="00CB5DBD">
            <w:pPr>
              <w:pStyle w:val="051Tabletext228pt"/>
            </w:pPr>
            <w:r>
              <w:t>Improvement</w:t>
            </w:r>
          </w:p>
        </w:tc>
        <w:tc>
          <w:tcPr>
            <w:tcW w:w="1031" w:type="pct"/>
          </w:tcPr>
          <w:p w14:paraId="2C0B40D4" w14:textId="17653D1B" w:rsidR="00D33279" w:rsidRPr="00767EA6" w:rsidRDefault="00200F58" w:rsidP="009E66FF">
            <w:pPr>
              <w:pStyle w:val="051Tabletext228pt"/>
            </w:pPr>
            <w:r>
              <w:t>60</w:t>
            </w:r>
          </w:p>
        </w:tc>
      </w:tr>
      <w:tr w:rsidR="007A5633" w:rsidRPr="00B0485F" w14:paraId="64C1C7E2" w14:textId="77777777" w:rsidTr="00A363C4">
        <w:tc>
          <w:tcPr>
            <w:tcW w:w="1250" w:type="pct"/>
          </w:tcPr>
          <w:p w14:paraId="1DC740D9" w14:textId="3E5896F1" w:rsidR="005D53E6" w:rsidRDefault="007A5633" w:rsidP="005D53E6">
            <w:pPr>
              <w:pStyle w:val="051Tabletext228pt"/>
            </w:pPr>
            <w:r>
              <w:t>Lee 2007</w:t>
            </w:r>
            <w:r w:rsidR="00F43CA6">
              <w:t xml:space="preserve"> (ID: 107)</w:t>
            </w:r>
          </w:p>
          <w:p w14:paraId="7E59B645" w14:textId="5A7BCE58" w:rsidR="007A5633" w:rsidRPr="009A52CD" w:rsidRDefault="007A5633" w:rsidP="00CB5DBD">
            <w:pPr>
              <w:pStyle w:val="051Tabletext228pt"/>
            </w:pPr>
          </w:p>
        </w:tc>
        <w:tc>
          <w:tcPr>
            <w:tcW w:w="1590" w:type="pct"/>
          </w:tcPr>
          <w:p w14:paraId="06EAC3C2" w14:textId="77777777" w:rsidR="007A5633" w:rsidRDefault="00692A43" w:rsidP="00CB5DBD">
            <w:pPr>
              <w:pStyle w:val="051Tabletext228pt"/>
            </w:pPr>
            <w:r>
              <w:t>USI, predominant SUI</w:t>
            </w:r>
          </w:p>
          <w:p w14:paraId="52B278F0" w14:textId="69EA6511" w:rsidR="000D7A6C" w:rsidRPr="00767EA6" w:rsidRDefault="000D7A6C" w:rsidP="00CB5DBD">
            <w:pPr>
              <w:pStyle w:val="051Tabletext228pt"/>
            </w:pPr>
            <w:r>
              <w:t>N=120</w:t>
            </w:r>
          </w:p>
        </w:tc>
        <w:tc>
          <w:tcPr>
            <w:tcW w:w="1129" w:type="pct"/>
          </w:tcPr>
          <w:p w14:paraId="7D94C839" w14:textId="77777777" w:rsidR="00D34A4E" w:rsidRDefault="00D34A4E" w:rsidP="00D34A4E">
            <w:pPr>
              <w:pStyle w:val="051Tabletext228pt"/>
            </w:pPr>
            <w:r>
              <w:t>Cure</w:t>
            </w:r>
          </w:p>
          <w:p w14:paraId="23D68367" w14:textId="4FD22280" w:rsidR="007A5633" w:rsidRPr="00767EA6" w:rsidRDefault="00D34A4E" w:rsidP="00CB5DBD">
            <w:pPr>
              <w:pStyle w:val="051Tabletext228pt"/>
            </w:pPr>
            <w:r>
              <w:t>Improvement</w:t>
            </w:r>
          </w:p>
        </w:tc>
        <w:tc>
          <w:tcPr>
            <w:tcW w:w="1031" w:type="pct"/>
          </w:tcPr>
          <w:p w14:paraId="777BD5B0" w14:textId="2344672C" w:rsidR="007A5633" w:rsidRPr="00767EA6" w:rsidRDefault="00677EE1" w:rsidP="009E66FF">
            <w:pPr>
              <w:pStyle w:val="051Tabletext228pt"/>
            </w:pPr>
            <w:r>
              <w:t>13</w:t>
            </w:r>
          </w:p>
        </w:tc>
      </w:tr>
      <w:tr w:rsidR="00D33279" w:rsidRPr="00B0485F" w14:paraId="1805AB35" w14:textId="77777777" w:rsidTr="00A363C4">
        <w:tc>
          <w:tcPr>
            <w:tcW w:w="1250" w:type="pct"/>
          </w:tcPr>
          <w:p w14:paraId="5EE5A341" w14:textId="6662C4DF" w:rsidR="005D53E6" w:rsidRDefault="00D33279" w:rsidP="005D53E6">
            <w:pPr>
              <w:pStyle w:val="051Tabletext228pt"/>
            </w:pPr>
            <w:r>
              <w:t>Liapis 2006</w:t>
            </w:r>
            <w:r w:rsidR="00F43CA6">
              <w:t xml:space="preserve"> (ID: 133)</w:t>
            </w:r>
          </w:p>
          <w:p w14:paraId="6F75EB5D" w14:textId="28169439" w:rsidR="00D33279" w:rsidRPr="00390DE6" w:rsidRDefault="00D33279" w:rsidP="00CB5DBD">
            <w:pPr>
              <w:pStyle w:val="051Tabletext228pt"/>
            </w:pPr>
          </w:p>
        </w:tc>
        <w:tc>
          <w:tcPr>
            <w:tcW w:w="1590" w:type="pct"/>
          </w:tcPr>
          <w:p w14:paraId="76F10678" w14:textId="77777777" w:rsidR="00D33279" w:rsidRDefault="00390DE6" w:rsidP="00CB5DBD">
            <w:pPr>
              <w:pStyle w:val="051Tabletext228pt"/>
            </w:pPr>
            <w:r>
              <w:t>SUI (OAB/DO excluded)</w:t>
            </w:r>
          </w:p>
          <w:p w14:paraId="19D33032" w14:textId="1B05C980" w:rsidR="000D7A6C" w:rsidRPr="00767EA6" w:rsidRDefault="000D7A6C" w:rsidP="00CB5DBD">
            <w:pPr>
              <w:pStyle w:val="051Tabletext228pt"/>
            </w:pPr>
            <w:r>
              <w:t>N=89</w:t>
            </w:r>
          </w:p>
        </w:tc>
        <w:tc>
          <w:tcPr>
            <w:tcW w:w="1129" w:type="pct"/>
          </w:tcPr>
          <w:p w14:paraId="1D36BDDD" w14:textId="77777777" w:rsidR="00DD0CDC" w:rsidRDefault="00DD0CDC" w:rsidP="00DD0CDC">
            <w:pPr>
              <w:pStyle w:val="051Tabletext228pt"/>
            </w:pPr>
            <w:r>
              <w:t>Cure</w:t>
            </w:r>
          </w:p>
          <w:p w14:paraId="55ECA6BC" w14:textId="581E99DB" w:rsidR="00D33279" w:rsidRPr="00767EA6" w:rsidRDefault="00DD0CDC" w:rsidP="00CB5DBD">
            <w:pPr>
              <w:pStyle w:val="051Tabletext228pt"/>
            </w:pPr>
            <w:r>
              <w:t>Improvement</w:t>
            </w:r>
          </w:p>
        </w:tc>
        <w:tc>
          <w:tcPr>
            <w:tcW w:w="1031" w:type="pct"/>
          </w:tcPr>
          <w:p w14:paraId="72C55974" w14:textId="53927FF6" w:rsidR="00D33279" w:rsidRPr="00767EA6" w:rsidRDefault="00C95DE1" w:rsidP="009E66FF">
            <w:pPr>
              <w:pStyle w:val="051Tabletext228pt"/>
            </w:pPr>
            <w:r>
              <w:t>12</w:t>
            </w:r>
          </w:p>
        </w:tc>
      </w:tr>
      <w:tr w:rsidR="00AC17AB" w:rsidRPr="00B0485F" w14:paraId="5C0C3F37" w14:textId="77777777" w:rsidTr="00A363C4">
        <w:tc>
          <w:tcPr>
            <w:tcW w:w="1250" w:type="pct"/>
          </w:tcPr>
          <w:p w14:paraId="4CAD102F" w14:textId="5E5A6CD0" w:rsidR="005D53E6" w:rsidRDefault="00BB22DB" w:rsidP="005D53E6">
            <w:pPr>
              <w:pStyle w:val="051Tabletext228pt"/>
            </w:pPr>
            <w:r>
              <w:t>Mansoor 2003</w:t>
            </w:r>
            <w:r w:rsidR="00F43CA6">
              <w:t xml:space="preserve"> (ID: 64)</w:t>
            </w:r>
          </w:p>
          <w:p w14:paraId="4FEBFA45" w14:textId="76C7EFE0" w:rsidR="00AC17AB" w:rsidRPr="00767EA6" w:rsidRDefault="00AC17AB" w:rsidP="00CB5DBD">
            <w:pPr>
              <w:pStyle w:val="051Tabletext228pt"/>
            </w:pPr>
          </w:p>
        </w:tc>
        <w:tc>
          <w:tcPr>
            <w:tcW w:w="1590" w:type="pct"/>
          </w:tcPr>
          <w:p w14:paraId="2CFD1438" w14:textId="77777777" w:rsidR="00AC17AB" w:rsidRDefault="00EA5B8A" w:rsidP="00CB5DBD">
            <w:pPr>
              <w:pStyle w:val="051Tabletext228pt"/>
            </w:pPr>
            <w:r>
              <w:t>SUI</w:t>
            </w:r>
          </w:p>
          <w:p w14:paraId="2AED1830" w14:textId="0E146B08" w:rsidR="000D7A6C" w:rsidRPr="00767EA6" w:rsidRDefault="000D7A6C" w:rsidP="00CB5DBD">
            <w:pPr>
              <w:pStyle w:val="051Tabletext228pt"/>
            </w:pPr>
            <w:r>
              <w:t>N=102</w:t>
            </w:r>
          </w:p>
        </w:tc>
        <w:tc>
          <w:tcPr>
            <w:tcW w:w="1129" w:type="pct"/>
          </w:tcPr>
          <w:p w14:paraId="7F816377" w14:textId="77777777" w:rsidR="00AF4231" w:rsidRDefault="00AF4231" w:rsidP="00AF4231">
            <w:pPr>
              <w:pStyle w:val="051Tabletext228pt"/>
            </w:pPr>
            <w:r>
              <w:t>Cure</w:t>
            </w:r>
          </w:p>
          <w:p w14:paraId="44F483B8" w14:textId="21D1C5B1" w:rsidR="00AC17AB" w:rsidRPr="00767EA6" w:rsidRDefault="00AF4231" w:rsidP="00CB5DBD">
            <w:pPr>
              <w:pStyle w:val="051Tabletext228pt"/>
            </w:pPr>
            <w:r>
              <w:t>Improvement</w:t>
            </w:r>
          </w:p>
        </w:tc>
        <w:tc>
          <w:tcPr>
            <w:tcW w:w="1031" w:type="pct"/>
          </w:tcPr>
          <w:p w14:paraId="736DF2E5" w14:textId="20B9D717" w:rsidR="00AC17AB" w:rsidRPr="00B0485F" w:rsidRDefault="004436A2" w:rsidP="009E66FF">
            <w:pPr>
              <w:pStyle w:val="051Tabletext228pt"/>
            </w:pPr>
            <w:r>
              <w:t>6</w:t>
            </w:r>
          </w:p>
        </w:tc>
      </w:tr>
      <w:tr w:rsidR="007A5633" w:rsidRPr="00B0485F" w14:paraId="074AF661" w14:textId="77777777" w:rsidTr="00A363C4">
        <w:tc>
          <w:tcPr>
            <w:tcW w:w="1250" w:type="pct"/>
          </w:tcPr>
          <w:p w14:paraId="01FD7751" w14:textId="586CF38F" w:rsidR="005D53E6" w:rsidRDefault="007A5633" w:rsidP="005D53E6">
            <w:pPr>
              <w:pStyle w:val="051Tabletext228pt"/>
            </w:pPr>
            <w:r>
              <w:t>Meschia 2007</w:t>
            </w:r>
            <w:r w:rsidR="00F43CA6">
              <w:t xml:space="preserve"> (ID: 97)</w:t>
            </w:r>
          </w:p>
          <w:p w14:paraId="44DF991D" w14:textId="0F3FDA58" w:rsidR="007A5633" w:rsidRPr="00AF4231" w:rsidRDefault="007A5633" w:rsidP="00CB5DBD">
            <w:pPr>
              <w:pStyle w:val="051Tabletext228pt"/>
            </w:pPr>
          </w:p>
        </w:tc>
        <w:tc>
          <w:tcPr>
            <w:tcW w:w="1590" w:type="pct"/>
          </w:tcPr>
          <w:p w14:paraId="10E7F736" w14:textId="77777777" w:rsidR="007A5633" w:rsidRDefault="00627730" w:rsidP="00CB5DBD">
            <w:pPr>
              <w:pStyle w:val="051Tabletext228pt"/>
            </w:pPr>
            <w:r>
              <w:t>USI (DO excluded)</w:t>
            </w:r>
          </w:p>
          <w:p w14:paraId="5101CF77" w14:textId="495B0A58" w:rsidR="000D7A6C" w:rsidRPr="00767EA6" w:rsidRDefault="000D7A6C" w:rsidP="00CB5DBD">
            <w:pPr>
              <w:pStyle w:val="051Tabletext228pt"/>
            </w:pPr>
            <w:r>
              <w:t>N=231</w:t>
            </w:r>
          </w:p>
        </w:tc>
        <w:tc>
          <w:tcPr>
            <w:tcW w:w="1129" w:type="pct"/>
          </w:tcPr>
          <w:p w14:paraId="5D8F6003" w14:textId="77777777" w:rsidR="00FB5F48" w:rsidRDefault="00FB5F48" w:rsidP="00FB5F48">
            <w:pPr>
              <w:pStyle w:val="051Tabletext228pt"/>
            </w:pPr>
            <w:r>
              <w:t>Cure</w:t>
            </w:r>
          </w:p>
          <w:p w14:paraId="4D80F194" w14:textId="60634774" w:rsidR="007A5633" w:rsidRPr="00767EA6" w:rsidRDefault="00FB5F48" w:rsidP="00CB5DBD">
            <w:pPr>
              <w:pStyle w:val="051Tabletext228pt"/>
            </w:pPr>
            <w:r>
              <w:t>Improvement</w:t>
            </w:r>
          </w:p>
        </w:tc>
        <w:tc>
          <w:tcPr>
            <w:tcW w:w="1031" w:type="pct"/>
          </w:tcPr>
          <w:p w14:paraId="66C0A370" w14:textId="33698F5E" w:rsidR="007A5633" w:rsidRPr="00767EA6" w:rsidRDefault="00E84A5A" w:rsidP="009E66FF">
            <w:pPr>
              <w:pStyle w:val="051Tabletext228pt"/>
            </w:pPr>
            <w:r>
              <w:t>6</w:t>
            </w:r>
          </w:p>
        </w:tc>
      </w:tr>
      <w:tr w:rsidR="00D74242" w:rsidRPr="00B0485F" w14:paraId="569C9A62" w14:textId="77777777" w:rsidTr="00A363C4">
        <w:tc>
          <w:tcPr>
            <w:tcW w:w="1250" w:type="pct"/>
          </w:tcPr>
          <w:p w14:paraId="57DE450B" w14:textId="4D8782F0" w:rsidR="005D53E6" w:rsidRDefault="00D74242" w:rsidP="005D53E6">
            <w:pPr>
              <w:pStyle w:val="051Tabletext228pt"/>
            </w:pPr>
            <w:r>
              <w:t>Nerli 2009</w:t>
            </w:r>
            <w:r w:rsidR="00F43CA6">
              <w:t xml:space="preserve"> (ID: 110)</w:t>
            </w:r>
          </w:p>
          <w:p w14:paraId="1EE1473A" w14:textId="666CFBE9" w:rsidR="00D74242" w:rsidRPr="00BA77AE" w:rsidRDefault="00D74242" w:rsidP="00CB5DBD">
            <w:pPr>
              <w:pStyle w:val="051Tabletext228pt"/>
            </w:pPr>
          </w:p>
        </w:tc>
        <w:tc>
          <w:tcPr>
            <w:tcW w:w="1590" w:type="pct"/>
          </w:tcPr>
          <w:p w14:paraId="0E206A07" w14:textId="77777777" w:rsidR="00D74242" w:rsidRDefault="00740DB3" w:rsidP="00CB5DBD">
            <w:pPr>
              <w:pStyle w:val="051Tabletext228pt"/>
            </w:pPr>
            <w:r>
              <w:t>SUI</w:t>
            </w:r>
            <w:r w:rsidR="00020056">
              <w:t>, predominant SUI</w:t>
            </w:r>
          </w:p>
          <w:p w14:paraId="43763BC2" w14:textId="63359BF2" w:rsidR="000D7A6C" w:rsidRPr="00767EA6" w:rsidRDefault="000D7A6C" w:rsidP="00CB5DBD">
            <w:pPr>
              <w:pStyle w:val="051Tabletext228pt"/>
            </w:pPr>
            <w:r>
              <w:t>N=36</w:t>
            </w:r>
          </w:p>
        </w:tc>
        <w:tc>
          <w:tcPr>
            <w:tcW w:w="1129" w:type="pct"/>
          </w:tcPr>
          <w:p w14:paraId="177E28B9" w14:textId="77777777" w:rsidR="008F432B" w:rsidRDefault="008F432B" w:rsidP="008F432B">
            <w:pPr>
              <w:pStyle w:val="051Tabletext228pt"/>
            </w:pPr>
            <w:r>
              <w:t>Cure</w:t>
            </w:r>
          </w:p>
          <w:p w14:paraId="29DF6A74" w14:textId="5DED0CF5" w:rsidR="00D74242" w:rsidRPr="00767EA6" w:rsidRDefault="008F432B" w:rsidP="00CB5DBD">
            <w:pPr>
              <w:pStyle w:val="051Tabletext228pt"/>
            </w:pPr>
            <w:r>
              <w:t>Improvement</w:t>
            </w:r>
          </w:p>
        </w:tc>
        <w:tc>
          <w:tcPr>
            <w:tcW w:w="1031" w:type="pct"/>
          </w:tcPr>
          <w:p w14:paraId="7B03A9F8" w14:textId="0A2C18CB" w:rsidR="00D74242" w:rsidRPr="00767EA6" w:rsidRDefault="0062589F" w:rsidP="009E66FF">
            <w:pPr>
              <w:pStyle w:val="051Tabletext228pt"/>
            </w:pPr>
            <w:r>
              <w:t>12</w:t>
            </w:r>
          </w:p>
        </w:tc>
      </w:tr>
      <w:tr w:rsidR="00D74242" w:rsidRPr="00B0485F" w14:paraId="3F874D4C" w14:textId="77777777" w:rsidTr="00A363C4">
        <w:tc>
          <w:tcPr>
            <w:tcW w:w="1250" w:type="pct"/>
          </w:tcPr>
          <w:p w14:paraId="5E2B0E1F" w14:textId="5D3DF478" w:rsidR="005D53E6" w:rsidRDefault="00D74242" w:rsidP="005D53E6">
            <w:pPr>
              <w:pStyle w:val="051Tabletext228pt"/>
            </w:pPr>
            <w:proofErr w:type="spellStart"/>
            <w:r>
              <w:t>Nyyssonen</w:t>
            </w:r>
            <w:proofErr w:type="spellEnd"/>
            <w:r>
              <w:t xml:space="preserve"> 2014</w:t>
            </w:r>
            <w:r w:rsidR="00F43CA6">
              <w:t xml:space="preserve"> (ID: 135)</w:t>
            </w:r>
          </w:p>
          <w:p w14:paraId="53372141" w14:textId="4A696BB4" w:rsidR="00D74242" w:rsidRPr="008F432B" w:rsidRDefault="00D74242" w:rsidP="00CB5DBD">
            <w:pPr>
              <w:pStyle w:val="051Tabletext228pt"/>
            </w:pPr>
          </w:p>
        </w:tc>
        <w:tc>
          <w:tcPr>
            <w:tcW w:w="1590" w:type="pct"/>
          </w:tcPr>
          <w:p w14:paraId="39718236" w14:textId="77777777" w:rsidR="00D74242" w:rsidRDefault="00412496" w:rsidP="00CB5DBD">
            <w:pPr>
              <w:pStyle w:val="051Tabletext228pt"/>
            </w:pPr>
            <w:r>
              <w:t>SUI, predominant SUI</w:t>
            </w:r>
          </w:p>
          <w:p w14:paraId="050398A7" w14:textId="44AAF6F2" w:rsidR="000D7A6C" w:rsidRPr="00767EA6" w:rsidRDefault="000D7A6C" w:rsidP="00CB5DBD">
            <w:pPr>
              <w:pStyle w:val="051Tabletext228pt"/>
            </w:pPr>
            <w:r>
              <w:t>N=100</w:t>
            </w:r>
          </w:p>
        </w:tc>
        <w:tc>
          <w:tcPr>
            <w:tcW w:w="1129" w:type="pct"/>
          </w:tcPr>
          <w:p w14:paraId="56F13436" w14:textId="77777777" w:rsidR="00BA6C1A" w:rsidRDefault="00BA6C1A" w:rsidP="00BA6C1A">
            <w:pPr>
              <w:pStyle w:val="051Tabletext228pt"/>
            </w:pPr>
            <w:r>
              <w:t>Cure</w:t>
            </w:r>
          </w:p>
          <w:p w14:paraId="7603F091" w14:textId="7E6CF0A7" w:rsidR="00D74242" w:rsidRPr="00767EA6" w:rsidRDefault="00BA6C1A" w:rsidP="00CB5DBD">
            <w:pPr>
              <w:pStyle w:val="051Tabletext228pt"/>
            </w:pPr>
            <w:r>
              <w:t>Improvement</w:t>
            </w:r>
          </w:p>
        </w:tc>
        <w:tc>
          <w:tcPr>
            <w:tcW w:w="1031" w:type="pct"/>
          </w:tcPr>
          <w:p w14:paraId="1030E9D5" w14:textId="7279CC43" w:rsidR="00D74242" w:rsidRPr="00767EA6" w:rsidRDefault="00412496" w:rsidP="009E66FF">
            <w:pPr>
              <w:pStyle w:val="051Tabletext228pt"/>
            </w:pPr>
            <w:r>
              <w:t>46</w:t>
            </w:r>
          </w:p>
        </w:tc>
      </w:tr>
      <w:tr w:rsidR="00D74242" w:rsidRPr="00B0485F" w14:paraId="575DE272" w14:textId="77777777" w:rsidTr="00A363C4">
        <w:tc>
          <w:tcPr>
            <w:tcW w:w="1250" w:type="pct"/>
          </w:tcPr>
          <w:p w14:paraId="7B782C89" w14:textId="31EF61E7" w:rsidR="005D53E6" w:rsidRDefault="00D74242" w:rsidP="005D53E6">
            <w:pPr>
              <w:pStyle w:val="051Tabletext228pt"/>
            </w:pPr>
            <w:proofErr w:type="spellStart"/>
            <w:r>
              <w:t>Rechberger</w:t>
            </w:r>
            <w:proofErr w:type="spellEnd"/>
            <w:r>
              <w:t xml:space="preserve"> 2009</w:t>
            </w:r>
            <w:r w:rsidR="00F43CA6">
              <w:t xml:space="preserve"> (ID: 98)</w:t>
            </w:r>
          </w:p>
          <w:p w14:paraId="2BA74EDC" w14:textId="197D3C09" w:rsidR="00D74242" w:rsidRPr="005169DD" w:rsidRDefault="00D74242" w:rsidP="00CB5DBD">
            <w:pPr>
              <w:pStyle w:val="051Tabletext228pt"/>
            </w:pPr>
          </w:p>
        </w:tc>
        <w:tc>
          <w:tcPr>
            <w:tcW w:w="1590" w:type="pct"/>
          </w:tcPr>
          <w:p w14:paraId="797ABDE5" w14:textId="77777777" w:rsidR="00D74242" w:rsidRDefault="005169DD" w:rsidP="00CB5DBD">
            <w:pPr>
              <w:pStyle w:val="051Tabletext228pt"/>
            </w:pPr>
            <w:r>
              <w:t>SUI</w:t>
            </w:r>
          </w:p>
          <w:p w14:paraId="4C891315" w14:textId="5D89134D" w:rsidR="000D7A6C" w:rsidRPr="00767EA6" w:rsidRDefault="000D7A6C" w:rsidP="00CB5DBD">
            <w:pPr>
              <w:pStyle w:val="051Tabletext228pt"/>
            </w:pPr>
            <w:r>
              <w:t>N=537</w:t>
            </w:r>
          </w:p>
        </w:tc>
        <w:tc>
          <w:tcPr>
            <w:tcW w:w="1129" w:type="pct"/>
          </w:tcPr>
          <w:p w14:paraId="7DAF8A98" w14:textId="77777777" w:rsidR="006B486C" w:rsidRDefault="006B486C" w:rsidP="006B486C">
            <w:pPr>
              <w:pStyle w:val="051Tabletext228pt"/>
            </w:pPr>
            <w:r>
              <w:t>Cure</w:t>
            </w:r>
          </w:p>
          <w:p w14:paraId="41ADD935" w14:textId="5264D1AB" w:rsidR="00D74242" w:rsidRPr="00767EA6" w:rsidRDefault="006B486C" w:rsidP="00CB5DBD">
            <w:pPr>
              <w:pStyle w:val="051Tabletext228pt"/>
            </w:pPr>
            <w:r>
              <w:t>Improvement</w:t>
            </w:r>
          </w:p>
        </w:tc>
        <w:tc>
          <w:tcPr>
            <w:tcW w:w="1031" w:type="pct"/>
          </w:tcPr>
          <w:p w14:paraId="45729228" w14:textId="63D96217" w:rsidR="00D74242" w:rsidRPr="00767EA6" w:rsidRDefault="006B486C" w:rsidP="009E66FF">
            <w:pPr>
              <w:pStyle w:val="051Tabletext228pt"/>
            </w:pPr>
            <w:r>
              <w:t>18</w:t>
            </w:r>
          </w:p>
        </w:tc>
      </w:tr>
      <w:tr w:rsidR="00D74242" w:rsidRPr="00B0485F" w14:paraId="19E35755" w14:textId="77777777" w:rsidTr="00A363C4">
        <w:tc>
          <w:tcPr>
            <w:tcW w:w="1250" w:type="pct"/>
          </w:tcPr>
          <w:p w14:paraId="538F4FC4" w14:textId="2E0BCAEC" w:rsidR="005D53E6" w:rsidRDefault="00D74242" w:rsidP="005D53E6">
            <w:pPr>
              <w:pStyle w:val="051Tabletext228pt"/>
            </w:pPr>
            <w:r>
              <w:t>Richter 2010</w:t>
            </w:r>
            <w:r w:rsidR="00F43CA6">
              <w:t xml:space="preserve"> (ID: 99)</w:t>
            </w:r>
          </w:p>
          <w:p w14:paraId="2EB5F039" w14:textId="53D73996" w:rsidR="00D74242" w:rsidRPr="006B486C" w:rsidRDefault="00D74242" w:rsidP="00CB5DBD">
            <w:pPr>
              <w:pStyle w:val="051Tabletext228pt"/>
            </w:pPr>
          </w:p>
        </w:tc>
        <w:tc>
          <w:tcPr>
            <w:tcW w:w="1590" w:type="pct"/>
          </w:tcPr>
          <w:p w14:paraId="41F98591" w14:textId="77777777" w:rsidR="00D74242" w:rsidRDefault="00C77EC8" w:rsidP="00CB5DBD">
            <w:pPr>
              <w:pStyle w:val="051Tabletext228pt"/>
            </w:pPr>
            <w:r>
              <w:t>SUI, predominant SUI</w:t>
            </w:r>
          </w:p>
          <w:p w14:paraId="14CD7EBF" w14:textId="4C637E70" w:rsidR="000D7A6C" w:rsidRPr="00767EA6" w:rsidRDefault="000D7A6C" w:rsidP="00CB5DBD">
            <w:pPr>
              <w:pStyle w:val="051Tabletext228pt"/>
            </w:pPr>
            <w:r>
              <w:t>N=597</w:t>
            </w:r>
          </w:p>
        </w:tc>
        <w:tc>
          <w:tcPr>
            <w:tcW w:w="1129" w:type="pct"/>
          </w:tcPr>
          <w:p w14:paraId="5F802B78" w14:textId="77777777" w:rsidR="00C77EC8" w:rsidRDefault="00C77EC8" w:rsidP="00C77EC8">
            <w:pPr>
              <w:pStyle w:val="051Tabletext228pt"/>
            </w:pPr>
            <w:r>
              <w:t>Cure</w:t>
            </w:r>
          </w:p>
          <w:p w14:paraId="2A84162B" w14:textId="53107DBA" w:rsidR="00D74242" w:rsidRPr="00767EA6" w:rsidRDefault="00C77EC8" w:rsidP="00CB5DBD">
            <w:pPr>
              <w:pStyle w:val="051Tabletext228pt"/>
            </w:pPr>
            <w:r>
              <w:t>Improvement</w:t>
            </w:r>
          </w:p>
        </w:tc>
        <w:tc>
          <w:tcPr>
            <w:tcW w:w="1031" w:type="pct"/>
          </w:tcPr>
          <w:p w14:paraId="28532C9D" w14:textId="324789BF" w:rsidR="00D74242" w:rsidRPr="00767EA6" w:rsidRDefault="00C77EC8" w:rsidP="009E66FF">
            <w:pPr>
              <w:pStyle w:val="051Tabletext228pt"/>
            </w:pPr>
            <w:r>
              <w:t>60</w:t>
            </w:r>
          </w:p>
        </w:tc>
      </w:tr>
      <w:tr w:rsidR="00767EA6" w:rsidRPr="00B0485F" w14:paraId="3B909D34" w14:textId="77777777" w:rsidTr="00A363C4">
        <w:tc>
          <w:tcPr>
            <w:tcW w:w="1250" w:type="pct"/>
          </w:tcPr>
          <w:p w14:paraId="67688652" w14:textId="574AF058" w:rsidR="005D53E6" w:rsidRDefault="003B34CF" w:rsidP="005D53E6">
            <w:pPr>
              <w:pStyle w:val="051Tabletext228pt"/>
            </w:pPr>
            <w:r>
              <w:t>Riva 2006</w:t>
            </w:r>
            <w:r w:rsidR="00F43CA6">
              <w:t xml:space="preserve"> (ID: 71)</w:t>
            </w:r>
          </w:p>
          <w:p w14:paraId="2DCA8172" w14:textId="050B37DC" w:rsidR="00767EA6" w:rsidRPr="00C77EC8" w:rsidRDefault="00767EA6" w:rsidP="00CB5DBD">
            <w:pPr>
              <w:pStyle w:val="051Tabletext228pt"/>
            </w:pPr>
          </w:p>
        </w:tc>
        <w:tc>
          <w:tcPr>
            <w:tcW w:w="1590" w:type="pct"/>
          </w:tcPr>
          <w:p w14:paraId="77915B5D" w14:textId="77777777" w:rsidR="00767EA6" w:rsidRDefault="00866423" w:rsidP="00CB5DBD">
            <w:pPr>
              <w:pStyle w:val="051Tabletext228pt"/>
            </w:pPr>
            <w:r>
              <w:t>SUI</w:t>
            </w:r>
          </w:p>
          <w:p w14:paraId="4CD4C4FC" w14:textId="3E2BDCF5" w:rsidR="000D7A6C" w:rsidRPr="00767EA6" w:rsidRDefault="000D7A6C" w:rsidP="00CB5DBD">
            <w:pPr>
              <w:pStyle w:val="051Tabletext228pt"/>
            </w:pPr>
            <w:r>
              <w:t>N=131</w:t>
            </w:r>
          </w:p>
        </w:tc>
        <w:tc>
          <w:tcPr>
            <w:tcW w:w="1129" w:type="pct"/>
          </w:tcPr>
          <w:p w14:paraId="38AE3263" w14:textId="77777777" w:rsidR="00ED7E62" w:rsidRDefault="00ED7E62" w:rsidP="00ED7E62">
            <w:pPr>
              <w:pStyle w:val="051Tabletext228pt"/>
            </w:pPr>
            <w:r>
              <w:t>Cure</w:t>
            </w:r>
          </w:p>
          <w:p w14:paraId="1995D7D5" w14:textId="0DCFDB61" w:rsidR="00767EA6" w:rsidRPr="00767EA6" w:rsidRDefault="00ED7E62" w:rsidP="00CB5DBD">
            <w:pPr>
              <w:pStyle w:val="051Tabletext228pt"/>
            </w:pPr>
            <w:r>
              <w:t>Improvement</w:t>
            </w:r>
          </w:p>
        </w:tc>
        <w:tc>
          <w:tcPr>
            <w:tcW w:w="1031" w:type="pct"/>
          </w:tcPr>
          <w:p w14:paraId="2485C984" w14:textId="5287DEC0" w:rsidR="00767EA6" w:rsidRPr="00767EA6" w:rsidRDefault="00866423" w:rsidP="009E66FF">
            <w:pPr>
              <w:pStyle w:val="051Tabletext228pt"/>
            </w:pPr>
            <w:r>
              <w:t>12</w:t>
            </w:r>
          </w:p>
        </w:tc>
      </w:tr>
      <w:tr w:rsidR="00D74242" w:rsidRPr="00B0485F" w14:paraId="0B47DD3C" w14:textId="77777777" w:rsidTr="00A363C4">
        <w:trPr>
          <w:trHeight w:val="296"/>
        </w:trPr>
        <w:tc>
          <w:tcPr>
            <w:tcW w:w="1250" w:type="pct"/>
          </w:tcPr>
          <w:p w14:paraId="039E6C5F" w14:textId="5FA04171" w:rsidR="005D53E6" w:rsidRDefault="00D74242" w:rsidP="005D53E6">
            <w:pPr>
              <w:pStyle w:val="051Tabletext228pt"/>
            </w:pPr>
            <w:r>
              <w:t>Ross 2009</w:t>
            </w:r>
            <w:r w:rsidR="00F43CA6">
              <w:t xml:space="preserve"> (ID: 137)</w:t>
            </w:r>
          </w:p>
          <w:p w14:paraId="7A6F513F" w14:textId="6C1C0253" w:rsidR="00D74242" w:rsidRPr="00ED7E62" w:rsidRDefault="00D74242" w:rsidP="00CB5DBD">
            <w:pPr>
              <w:pStyle w:val="051Tabletext228pt"/>
            </w:pPr>
          </w:p>
        </w:tc>
        <w:tc>
          <w:tcPr>
            <w:tcW w:w="1590" w:type="pct"/>
          </w:tcPr>
          <w:p w14:paraId="0AC30E9B" w14:textId="77777777" w:rsidR="00D74242" w:rsidRDefault="00ED7E62" w:rsidP="00CB5DBD">
            <w:pPr>
              <w:pStyle w:val="051Tabletext228pt"/>
            </w:pPr>
            <w:r>
              <w:t xml:space="preserve">SUI (UUI </w:t>
            </w:r>
            <w:proofErr w:type="gramStart"/>
            <w:r>
              <w:t>included;</w:t>
            </w:r>
            <w:proofErr w:type="gramEnd"/>
            <w:r>
              <w:t xml:space="preserve"> OAB excluded)</w:t>
            </w:r>
          </w:p>
          <w:p w14:paraId="1B8CD5B3" w14:textId="1D5A9B31" w:rsidR="000D7A6C" w:rsidRPr="00767EA6" w:rsidRDefault="000D7A6C" w:rsidP="00CB5DBD">
            <w:pPr>
              <w:pStyle w:val="051Tabletext228pt"/>
            </w:pPr>
            <w:r>
              <w:t>N=199</w:t>
            </w:r>
          </w:p>
        </w:tc>
        <w:tc>
          <w:tcPr>
            <w:tcW w:w="1129" w:type="pct"/>
          </w:tcPr>
          <w:p w14:paraId="289BDE29" w14:textId="77777777" w:rsidR="00FD3CED" w:rsidRDefault="00FD3CED" w:rsidP="00FD3CED">
            <w:pPr>
              <w:pStyle w:val="051Tabletext228pt"/>
            </w:pPr>
            <w:r>
              <w:t>Cure</w:t>
            </w:r>
          </w:p>
          <w:p w14:paraId="04EEF897" w14:textId="7EA68257" w:rsidR="00D74242" w:rsidRPr="00767EA6" w:rsidRDefault="00FD3CED" w:rsidP="00CB5DBD">
            <w:pPr>
              <w:pStyle w:val="051Tabletext228pt"/>
            </w:pPr>
            <w:r>
              <w:t>Improvement</w:t>
            </w:r>
          </w:p>
        </w:tc>
        <w:tc>
          <w:tcPr>
            <w:tcW w:w="1031" w:type="pct"/>
          </w:tcPr>
          <w:p w14:paraId="5EC3740C" w14:textId="52178726" w:rsidR="00D74242" w:rsidRPr="00767EA6" w:rsidRDefault="00ED7E62" w:rsidP="009E66FF">
            <w:pPr>
              <w:pStyle w:val="051Tabletext228pt"/>
            </w:pPr>
            <w:r>
              <w:t>60</w:t>
            </w:r>
          </w:p>
        </w:tc>
      </w:tr>
      <w:tr w:rsidR="00D74242" w:rsidRPr="00B0485F" w14:paraId="71152A59" w14:textId="77777777" w:rsidTr="00A363C4">
        <w:tc>
          <w:tcPr>
            <w:tcW w:w="1250" w:type="pct"/>
          </w:tcPr>
          <w:p w14:paraId="0325C0BB" w14:textId="7861A4D6" w:rsidR="005D53E6" w:rsidRDefault="00D74242" w:rsidP="005D53E6">
            <w:pPr>
              <w:pStyle w:val="051Tabletext228pt"/>
            </w:pPr>
            <w:r>
              <w:t>Rudnicki 2016</w:t>
            </w:r>
            <w:r w:rsidR="00F43CA6">
              <w:t xml:space="preserve"> (ID: 72)</w:t>
            </w:r>
          </w:p>
          <w:p w14:paraId="3A54C0CB" w14:textId="5E4A118D" w:rsidR="00D74242" w:rsidRPr="00DE0C24" w:rsidRDefault="00D74242" w:rsidP="00CB5DBD">
            <w:pPr>
              <w:pStyle w:val="051Tabletext228pt"/>
              <w:rPr>
                <w:vertAlign w:val="superscript"/>
              </w:rPr>
            </w:pPr>
          </w:p>
        </w:tc>
        <w:tc>
          <w:tcPr>
            <w:tcW w:w="1590" w:type="pct"/>
          </w:tcPr>
          <w:p w14:paraId="44B821A4" w14:textId="77777777" w:rsidR="00D74242" w:rsidRDefault="009640B8" w:rsidP="00CB5DBD">
            <w:pPr>
              <w:pStyle w:val="051Tabletext228pt"/>
            </w:pPr>
            <w:r>
              <w:t>SUI, predominant SUI</w:t>
            </w:r>
          </w:p>
          <w:p w14:paraId="607500B7" w14:textId="5A9032ED" w:rsidR="000D7A6C" w:rsidRPr="00767EA6" w:rsidRDefault="000D7A6C" w:rsidP="00CB5DBD">
            <w:pPr>
              <w:pStyle w:val="051Tabletext228pt"/>
            </w:pPr>
            <w:r>
              <w:t>N=305</w:t>
            </w:r>
            <w:r>
              <w:rPr>
                <w:vertAlign w:val="superscript"/>
              </w:rPr>
              <w:t>1</w:t>
            </w:r>
          </w:p>
        </w:tc>
        <w:tc>
          <w:tcPr>
            <w:tcW w:w="1129" w:type="pct"/>
          </w:tcPr>
          <w:p w14:paraId="03A94593" w14:textId="0E95199B" w:rsidR="00D74242" w:rsidRPr="00767EA6" w:rsidRDefault="00A056E0" w:rsidP="00CB5DBD">
            <w:pPr>
              <w:pStyle w:val="051Tabletext228pt"/>
            </w:pPr>
            <w:r>
              <w:t>Improvement</w:t>
            </w:r>
          </w:p>
        </w:tc>
        <w:tc>
          <w:tcPr>
            <w:tcW w:w="1031" w:type="pct"/>
          </w:tcPr>
          <w:p w14:paraId="0FDECAC2" w14:textId="31619D85" w:rsidR="00D74242" w:rsidRPr="00767EA6" w:rsidRDefault="00F87229" w:rsidP="009E66FF">
            <w:pPr>
              <w:pStyle w:val="051Tabletext228pt"/>
            </w:pPr>
            <w:r>
              <w:t>12</w:t>
            </w:r>
          </w:p>
        </w:tc>
      </w:tr>
      <w:tr w:rsidR="00B060C8" w:rsidRPr="00B0485F" w14:paraId="054D20E8" w14:textId="77777777" w:rsidTr="00A363C4">
        <w:tc>
          <w:tcPr>
            <w:tcW w:w="1250" w:type="pct"/>
          </w:tcPr>
          <w:p w14:paraId="2E9133D4" w14:textId="5542DD18" w:rsidR="00B060C8" w:rsidRDefault="00B060C8" w:rsidP="005D53E6">
            <w:pPr>
              <w:pStyle w:val="051Tabletext228pt"/>
            </w:pPr>
            <w:r>
              <w:t>Scheiner 2012</w:t>
            </w:r>
            <w:r w:rsidR="00F43CA6">
              <w:t xml:space="preserve"> (ID: 119)</w:t>
            </w:r>
          </w:p>
          <w:p w14:paraId="137E1752" w14:textId="33A6BD2E" w:rsidR="00B060C8" w:rsidRPr="00B826DF" w:rsidRDefault="00B060C8" w:rsidP="005D53E6">
            <w:pPr>
              <w:pStyle w:val="051Tabletext228pt"/>
            </w:pPr>
          </w:p>
        </w:tc>
        <w:tc>
          <w:tcPr>
            <w:tcW w:w="1590" w:type="pct"/>
          </w:tcPr>
          <w:p w14:paraId="0869CB96" w14:textId="77777777" w:rsidR="00B060C8" w:rsidRDefault="004E0A9A" w:rsidP="005D53E6">
            <w:pPr>
              <w:pStyle w:val="051Tabletext228pt"/>
            </w:pPr>
            <w:r>
              <w:t>SUI, predominant SUI</w:t>
            </w:r>
          </w:p>
          <w:p w14:paraId="67516D51" w14:textId="60015891" w:rsidR="000D7A6C" w:rsidRPr="00767EA6" w:rsidRDefault="000D7A6C" w:rsidP="005D53E6">
            <w:pPr>
              <w:pStyle w:val="051Tabletext228pt"/>
            </w:pPr>
            <w:r>
              <w:t>N=160</w:t>
            </w:r>
          </w:p>
        </w:tc>
        <w:tc>
          <w:tcPr>
            <w:tcW w:w="1129" w:type="pct"/>
          </w:tcPr>
          <w:p w14:paraId="39DBB609" w14:textId="77777777" w:rsidR="00B060C8" w:rsidRDefault="00B060C8" w:rsidP="00764488">
            <w:pPr>
              <w:pStyle w:val="051Tabletext228pt"/>
            </w:pPr>
            <w:r>
              <w:t>Cure</w:t>
            </w:r>
          </w:p>
          <w:p w14:paraId="3CE3498B" w14:textId="77777777" w:rsidR="00B060C8" w:rsidRPr="00767EA6" w:rsidRDefault="00B060C8" w:rsidP="00764488">
            <w:pPr>
              <w:pStyle w:val="051Tabletext228pt"/>
            </w:pPr>
            <w:r>
              <w:t>Improvement</w:t>
            </w:r>
          </w:p>
        </w:tc>
        <w:tc>
          <w:tcPr>
            <w:tcW w:w="1031" w:type="pct"/>
          </w:tcPr>
          <w:p w14:paraId="76891DE7" w14:textId="769183CA" w:rsidR="00B060C8" w:rsidRPr="00767EA6" w:rsidRDefault="004E0A9A" w:rsidP="005D53E6">
            <w:pPr>
              <w:pStyle w:val="051Tabletext228pt"/>
            </w:pPr>
            <w:r>
              <w:t>12</w:t>
            </w:r>
          </w:p>
        </w:tc>
      </w:tr>
      <w:tr w:rsidR="00D74242" w:rsidRPr="00B0485F" w14:paraId="02C79E19" w14:textId="77777777" w:rsidTr="00A363C4">
        <w:tc>
          <w:tcPr>
            <w:tcW w:w="1250" w:type="pct"/>
          </w:tcPr>
          <w:p w14:paraId="1E65046E" w14:textId="4AAE0C43" w:rsidR="005D53E6" w:rsidRDefault="00D74242" w:rsidP="005D53E6">
            <w:pPr>
              <w:pStyle w:val="051Tabletext228pt"/>
            </w:pPr>
            <w:proofErr w:type="spellStart"/>
            <w:r>
              <w:t>Schierlitz</w:t>
            </w:r>
            <w:proofErr w:type="spellEnd"/>
            <w:r>
              <w:t xml:space="preserve"> 2008</w:t>
            </w:r>
            <w:r w:rsidR="00F43CA6">
              <w:t xml:space="preserve"> (ID: 138)</w:t>
            </w:r>
          </w:p>
          <w:p w14:paraId="32B15453" w14:textId="7C41BF41" w:rsidR="00D74242" w:rsidRPr="00B826DF" w:rsidRDefault="00D74242" w:rsidP="00CB5DBD">
            <w:pPr>
              <w:pStyle w:val="051Tabletext228pt"/>
            </w:pPr>
          </w:p>
        </w:tc>
        <w:tc>
          <w:tcPr>
            <w:tcW w:w="1590" w:type="pct"/>
          </w:tcPr>
          <w:p w14:paraId="0AC174B7" w14:textId="77777777" w:rsidR="00D74242" w:rsidRDefault="00E51C10" w:rsidP="00CB5DBD">
            <w:pPr>
              <w:pStyle w:val="051Tabletext228pt"/>
            </w:pPr>
            <w:r>
              <w:t>USI</w:t>
            </w:r>
          </w:p>
          <w:p w14:paraId="57FCC6CC" w14:textId="49A797BF" w:rsidR="000D7A6C" w:rsidRPr="00767EA6" w:rsidRDefault="000D7A6C" w:rsidP="00CB5DBD">
            <w:pPr>
              <w:pStyle w:val="051Tabletext228pt"/>
            </w:pPr>
            <w:r>
              <w:t>N=164</w:t>
            </w:r>
          </w:p>
        </w:tc>
        <w:tc>
          <w:tcPr>
            <w:tcW w:w="1129" w:type="pct"/>
          </w:tcPr>
          <w:p w14:paraId="670A72F4" w14:textId="77777777" w:rsidR="0090100D" w:rsidRDefault="0090100D" w:rsidP="0090100D">
            <w:pPr>
              <w:pStyle w:val="051Tabletext228pt"/>
            </w:pPr>
            <w:r>
              <w:t>Cure</w:t>
            </w:r>
          </w:p>
          <w:p w14:paraId="1763675D" w14:textId="16E8E890" w:rsidR="00D74242" w:rsidRPr="00767EA6" w:rsidRDefault="0090100D" w:rsidP="00CB5DBD">
            <w:pPr>
              <w:pStyle w:val="051Tabletext228pt"/>
            </w:pPr>
            <w:r>
              <w:t>Improvement</w:t>
            </w:r>
          </w:p>
        </w:tc>
        <w:tc>
          <w:tcPr>
            <w:tcW w:w="1031" w:type="pct"/>
          </w:tcPr>
          <w:p w14:paraId="5B8119CC" w14:textId="654FE1A7" w:rsidR="00D74242" w:rsidRPr="00767EA6" w:rsidRDefault="00A45B34" w:rsidP="009E66FF">
            <w:pPr>
              <w:pStyle w:val="051Tabletext228pt"/>
            </w:pPr>
            <w:r>
              <w:t>63</w:t>
            </w:r>
          </w:p>
        </w:tc>
      </w:tr>
      <w:tr w:rsidR="00D74242" w:rsidRPr="00B0485F" w14:paraId="0CC3C383" w14:textId="77777777" w:rsidTr="00A363C4">
        <w:tc>
          <w:tcPr>
            <w:tcW w:w="1250" w:type="pct"/>
          </w:tcPr>
          <w:p w14:paraId="3DAA107A" w14:textId="396E8079" w:rsidR="005D53E6" w:rsidRDefault="00D74242" w:rsidP="005D53E6">
            <w:pPr>
              <w:pStyle w:val="051Tabletext228pt"/>
            </w:pPr>
            <w:proofErr w:type="spellStart"/>
            <w:r>
              <w:t>Tanuri</w:t>
            </w:r>
            <w:proofErr w:type="spellEnd"/>
            <w:r>
              <w:t xml:space="preserve"> 2010</w:t>
            </w:r>
            <w:r w:rsidR="00F43CA6">
              <w:t xml:space="preserve"> (ID: 139)</w:t>
            </w:r>
          </w:p>
          <w:p w14:paraId="11C8A112" w14:textId="12603235" w:rsidR="00D74242" w:rsidRPr="00B826DF" w:rsidRDefault="00D74242" w:rsidP="00CB5DBD">
            <w:pPr>
              <w:pStyle w:val="051Tabletext228pt"/>
            </w:pPr>
          </w:p>
        </w:tc>
        <w:tc>
          <w:tcPr>
            <w:tcW w:w="1590" w:type="pct"/>
          </w:tcPr>
          <w:p w14:paraId="69EB889A" w14:textId="77777777" w:rsidR="00D74242" w:rsidRDefault="009916D5" w:rsidP="00CB5DBD">
            <w:pPr>
              <w:pStyle w:val="051Tabletext228pt"/>
            </w:pPr>
            <w:r>
              <w:t>SUI only</w:t>
            </w:r>
          </w:p>
          <w:p w14:paraId="58D7DA66" w14:textId="5A39123B" w:rsidR="000D7A6C" w:rsidRPr="00767EA6" w:rsidRDefault="000D7A6C" w:rsidP="00CB5DBD">
            <w:pPr>
              <w:pStyle w:val="051Tabletext228pt"/>
            </w:pPr>
            <w:r>
              <w:t>N=30</w:t>
            </w:r>
          </w:p>
        </w:tc>
        <w:tc>
          <w:tcPr>
            <w:tcW w:w="1129" w:type="pct"/>
          </w:tcPr>
          <w:p w14:paraId="74EF6D88" w14:textId="77777777" w:rsidR="00557E32" w:rsidRDefault="00557E32" w:rsidP="00557E32">
            <w:pPr>
              <w:pStyle w:val="051Tabletext228pt"/>
            </w:pPr>
            <w:r>
              <w:t>Cure</w:t>
            </w:r>
          </w:p>
          <w:p w14:paraId="6BE250FF" w14:textId="2049F6F0" w:rsidR="00D74242" w:rsidRPr="00767EA6" w:rsidRDefault="00557E32" w:rsidP="00CB5DBD">
            <w:pPr>
              <w:pStyle w:val="051Tabletext228pt"/>
            </w:pPr>
            <w:r>
              <w:t>Improvement</w:t>
            </w:r>
          </w:p>
        </w:tc>
        <w:tc>
          <w:tcPr>
            <w:tcW w:w="1031" w:type="pct"/>
          </w:tcPr>
          <w:p w14:paraId="644A2D96" w14:textId="4D6DAE84" w:rsidR="00D74242" w:rsidRPr="00767EA6" w:rsidRDefault="00A86C9A" w:rsidP="009E66FF">
            <w:pPr>
              <w:pStyle w:val="051Tabletext228pt"/>
            </w:pPr>
            <w:r>
              <w:t>12</w:t>
            </w:r>
          </w:p>
        </w:tc>
      </w:tr>
      <w:tr w:rsidR="00D74242" w:rsidRPr="00B0485F" w14:paraId="1A5AB41B" w14:textId="77777777" w:rsidTr="00A363C4">
        <w:tc>
          <w:tcPr>
            <w:tcW w:w="1250" w:type="pct"/>
          </w:tcPr>
          <w:p w14:paraId="79C28339" w14:textId="29F8DFC4" w:rsidR="005D53E6" w:rsidRDefault="00D74242" w:rsidP="005D53E6">
            <w:pPr>
              <w:pStyle w:val="051Tabletext228pt"/>
            </w:pPr>
            <w:proofErr w:type="spellStart"/>
            <w:r>
              <w:t>Tarcan</w:t>
            </w:r>
            <w:proofErr w:type="spellEnd"/>
            <w:r>
              <w:t xml:space="preserve"> 2011</w:t>
            </w:r>
            <w:r w:rsidR="00F43CA6">
              <w:t xml:space="preserve"> (ID: 31)</w:t>
            </w:r>
          </w:p>
          <w:p w14:paraId="71207A24" w14:textId="31F55198" w:rsidR="00D74242" w:rsidRPr="00B826DF" w:rsidRDefault="00D74242" w:rsidP="00CB5DBD">
            <w:pPr>
              <w:pStyle w:val="051Tabletext228pt"/>
            </w:pPr>
          </w:p>
        </w:tc>
        <w:tc>
          <w:tcPr>
            <w:tcW w:w="1590" w:type="pct"/>
          </w:tcPr>
          <w:p w14:paraId="430CE69F" w14:textId="77777777" w:rsidR="00D74242" w:rsidRDefault="003B428E" w:rsidP="00CB5DBD">
            <w:pPr>
              <w:pStyle w:val="051Tabletext228pt"/>
            </w:pPr>
            <w:r>
              <w:t>USI, predominant SUI</w:t>
            </w:r>
          </w:p>
          <w:p w14:paraId="05FAAB85" w14:textId="3E22C913" w:rsidR="000D7A6C" w:rsidRPr="00767EA6" w:rsidRDefault="000D7A6C" w:rsidP="00CB5DBD">
            <w:pPr>
              <w:pStyle w:val="051Tabletext228pt"/>
            </w:pPr>
            <w:r>
              <w:t>N=54</w:t>
            </w:r>
          </w:p>
        </w:tc>
        <w:tc>
          <w:tcPr>
            <w:tcW w:w="1129" w:type="pct"/>
          </w:tcPr>
          <w:p w14:paraId="424941F1" w14:textId="77777777" w:rsidR="00276373" w:rsidRDefault="00276373" w:rsidP="00276373">
            <w:pPr>
              <w:pStyle w:val="051Tabletext228pt"/>
            </w:pPr>
            <w:r>
              <w:t>Cure</w:t>
            </w:r>
          </w:p>
          <w:p w14:paraId="7C92CB47" w14:textId="0F738C73" w:rsidR="00D74242" w:rsidRPr="00767EA6" w:rsidRDefault="00276373" w:rsidP="00CB5DBD">
            <w:pPr>
              <w:pStyle w:val="051Tabletext228pt"/>
            </w:pPr>
            <w:r>
              <w:t>Improvement</w:t>
            </w:r>
          </w:p>
        </w:tc>
        <w:tc>
          <w:tcPr>
            <w:tcW w:w="1031" w:type="pct"/>
          </w:tcPr>
          <w:p w14:paraId="268D6B50" w14:textId="73B7AEC2" w:rsidR="00D74242" w:rsidRPr="00767EA6" w:rsidRDefault="003B428E" w:rsidP="009E66FF">
            <w:pPr>
              <w:pStyle w:val="051Tabletext228pt"/>
            </w:pPr>
            <w:r>
              <w:t>12</w:t>
            </w:r>
          </w:p>
        </w:tc>
      </w:tr>
      <w:tr w:rsidR="00D74242" w:rsidRPr="00B0485F" w14:paraId="6157BA1B" w14:textId="77777777" w:rsidTr="00A363C4">
        <w:tc>
          <w:tcPr>
            <w:tcW w:w="1250" w:type="pct"/>
          </w:tcPr>
          <w:p w14:paraId="14A70823" w14:textId="3CA31FD5" w:rsidR="005D53E6" w:rsidRDefault="00D74242" w:rsidP="005D53E6">
            <w:pPr>
              <w:pStyle w:val="051Tabletext228pt"/>
            </w:pPr>
            <w:r>
              <w:t>Teo 2011</w:t>
            </w:r>
            <w:r w:rsidR="00F43CA6">
              <w:t xml:space="preserve"> (ID: 140)</w:t>
            </w:r>
          </w:p>
          <w:p w14:paraId="24BC33B2" w14:textId="6EF631FB" w:rsidR="00D74242" w:rsidRPr="00B826DF" w:rsidRDefault="00D74242" w:rsidP="00CB5DBD">
            <w:pPr>
              <w:pStyle w:val="051Tabletext228pt"/>
            </w:pPr>
          </w:p>
        </w:tc>
        <w:tc>
          <w:tcPr>
            <w:tcW w:w="1590" w:type="pct"/>
          </w:tcPr>
          <w:p w14:paraId="05926FA9" w14:textId="77777777" w:rsidR="00D74242" w:rsidRDefault="00914EC7" w:rsidP="00CB5DBD">
            <w:pPr>
              <w:pStyle w:val="051Tabletext228pt"/>
            </w:pPr>
            <w:r>
              <w:t>USI (DO excluded)</w:t>
            </w:r>
          </w:p>
          <w:p w14:paraId="6317FCDE" w14:textId="5E7C0559" w:rsidR="000D7A6C" w:rsidRPr="00767EA6" w:rsidRDefault="000D7A6C" w:rsidP="00CB5DBD">
            <w:pPr>
              <w:pStyle w:val="051Tabletext228pt"/>
            </w:pPr>
            <w:r>
              <w:t>N=127</w:t>
            </w:r>
          </w:p>
        </w:tc>
        <w:tc>
          <w:tcPr>
            <w:tcW w:w="1129" w:type="pct"/>
          </w:tcPr>
          <w:p w14:paraId="6A1262A6" w14:textId="77777777" w:rsidR="00125CB9" w:rsidRDefault="00125CB9" w:rsidP="00125CB9">
            <w:pPr>
              <w:pStyle w:val="051Tabletext228pt"/>
            </w:pPr>
            <w:r>
              <w:t>Cure</w:t>
            </w:r>
          </w:p>
          <w:p w14:paraId="2A4CBC3F" w14:textId="5E5F64DA" w:rsidR="00D74242" w:rsidRPr="00767EA6" w:rsidRDefault="00125CB9" w:rsidP="00CB5DBD">
            <w:pPr>
              <w:pStyle w:val="051Tabletext228pt"/>
            </w:pPr>
            <w:r>
              <w:t>Improvement</w:t>
            </w:r>
          </w:p>
        </w:tc>
        <w:tc>
          <w:tcPr>
            <w:tcW w:w="1031" w:type="pct"/>
          </w:tcPr>
          <w:p w14:paraId="5CDE906E" w14:textId="5FA801E0" w:rsidR="00D74242" w:rsidRPr="00767EA6" w:rsidRDefault="003975BE" w:rsidP="009E66FF">
            <w:pPr>
              <w:pStyle w:val="051Tabletext228pt"/>
            </w:pPr>
            <w:r>
              <w:t>12</w:t>
            </w:r>
          </w:p>
        </w:tc>
      </w:tr>
      <w:tr w:rsidR="00D74242" w:rsidRPr="00B0485F" w14:paraId="3174CEFD" w14:textId="77777777" w:rsidTr="00A363C4">
        <w:tc>
          <w:tcPr>
            <w:tcW w:w="1250" w:type="pct"/>
          </w:tcPr>
          <w:p w14:paraId="1CF69FEE" w14:textId="5508A9F9" w:rsidR="005D53E6" w:rsidRDefault="00D74242" w:rsidP="005D53E6">
            <w:pPr>
              <w:pStyle w:val="051Tabletext228pt"/>
            </w:pPr>
            <w:r>
              <w:t>Wang 2009</w:t>
            </w:r>
            <w:r w:rsidR="00F43CA6">
              <w:t xml:space="preserve"> (ID: 37)</w:t>
            </w:r>
          </w:p>
          <w:p w14:paraId="16FDDA9A" w14:textId="06865335" w:rsidR="00D74242" w:rsidRPr="00B826DF" w:rsidRDefault="00D74242" w:rsidP="00CB5DBD">
            <w:pPr>
              <w:pStyle w:val="051Tabletext228pt"/>
            </w:pPr>
          </w:p>
        </w:tc>
        <w:tc>
          <w:tcPr>
            <w:tcW w:w="1590" w:type="pct"/>
          </w:tcPr>
          <w:p w14:paraId="7068A828" w14:textId="77777777" w:rsidR="00D74242" w:rsidRDefault="001769D9" w:rsidP="00CB5DBD">
            <w:pPr>
              <w:pStyle w:val="051Tabletext228pt"/>
            </w:pPr>
            <w:r>
              <w:t>USI only (no UUI)</w:t>
            </w:r>
          </w:p>
          <w:p w14:paraId="23B800EA" w14:textId="34F7B249" w:rsidR="000D7A6C" w:rsidRPr="00767EA6" w:rsidRDefault="000D7A6C" w:rsidP="00CB5DBD">
            <w:pPr>
              <w:pStyle w:val="051Tabletext228pt"/>
            </w:pPr>
            <w:r>
              <w:t>N=315</w:t>
            </w:r>
          </w:p>
        </w:tc>
        <w:tc>
          <w:tcPr>
            <w:tcW w:w="1129" w:type="pct"/>
          </w:tcPr>
          <w:p w14:paraId="6507E8F9" w14:textId="3EDAE390" w:rsidR="00D74242" w:rsidRPr="00767EA6" w:rsidRDefault="00EE4F98" w:rsidP="00CB5DBD">
            <w:pPr>
              <w:pStyle w:val="051Tabletext228pt"/>
            </w:pPr>
            <w:r>
              <w:t>Improvement</w:t>
            </w:r>
          </w:p>
        </w:tc>
        <w:tc>
          <w:tcPr>
            <w:tcW w:w="1031" w:type="pct"/>
          </w:tcPr>
          <w:p w14:paraId="7B817BBC" w14:textId="583D53D9" w:rsidR="00D74242" w:rsidRPr="00767EA6" w:rsidRDefault="00F21975" w:rsidP="009E66FF">
            <w:pPr>
              <w:pStyle w:val="051Tabletext228pt"/>
            </w:pPr>
            <w:r>
              <w:t>20</w:t>
            </w:r>
          </w:p>
        </w:tc>
      </w:tr>
      <w:tr w:rsidR="00D74242" w:rsidRPr="00B0485F" w14:paraId="0193ACFC" w14:textId="77777777" w:rsidTr="00A363C4">
        <w:tc>
          <w:tcPr>
            <w:tcW w:w="1250" w:type="pct"/>
          </w:tcPr>
          <w:p w14:paraId="1C3481C0" w14:textId="298426C1" w:rsidR="005D53E6" w:rsidRDefault="00D74242" w:rsidP="005D53E6">
            <w:pPr>
              <w:pStyle w:val="051Tabletext228pt"/>
            </w:pPr>
            <w:r>
              <w:t>Wang 2010</w:t>
            </w:r>
            <w:r w:rsidR="00F43CA6">
              <w:t xml:space="preserve"> (ID: 142)</w:t>
            </w:r>
          </w:p>
          <w:p w14:paraId="4630158B" w14:textId="3D8158CE" w:rsidR="00D74242" w:rsidRPr="00B826DF" w:rsidRDefault="00D74242" w:rsidP="00CB5DBD">
            <w:pPr>
              <w:pStyle w:val="051Tabletext228pt"/>
            </w:pPr>
          </w:p>
        </w:tc>
        <w:tc>
          <w:tcPr>
            <w:tcW w:w="1590" w:type="pct"/>
          </w:tcPr>
          <w:p w14:paraId="3C5698BB" w14:textId="77777777" w:rsidR="00D74242" w:rsidRDefault="00DC0042" w:rsidP="00CB5DBD">
            <w:pPr>
              <w:pStyle w:val="051Tabletext228pt"/>
            </w:pPr>
            <w:r>
              <w:t>USI only (no UUI)</w:t>
            </w:r>
          </w:p>
          <w:p w14:paraId="3DB75CE6" w14:textId="3C314130" w:rsidR="000D7A6C" w:rsidRPr="00767EA6" w:rsidRDefault="000D7A6C" w:rsidP="00CB5DBD">
            <w:pPr>
              <w:pStyle w:val="051Tabletext228pt"/>
            </w:pPr>
            <w:r>
              <w:t>N=140</w:t>
            </w:r>
          </w:p>
        </w:tc>
        <w:tc>
          <w:tcPr>
            <w:tcW w:w="1129" w:type="pct"/>
          </w:tcPr>
          <w:p w14:paraId="04011AD2" w14:textId="77777777" w:rsidR="00C66C75" w:rsidRDefault="00C66C75" w:rsidP="00C66C75">
            <w:pPr>
              <w:pStyle w:val="051Tabletext228pt"/>
            </w:pPr>
            <w:r>
              <w:t>Cure</w:t>
            </w:r>
          </w:p>
          <w:p w14:paraId="3E73B082" w14:textId="396E8B7C" w:rsidR="00D74242" w:rsidRPr="00767EA6" w:rsidRDefault="00C66C75" w:rsidP="00CB5DBD">
            <w:pPr>
              <w:pStyle w:val="051Tabletext228pt"/>
            </w:pPr>
            <w:r>
              <w:t>Improvement</w:t>
            </w:r>
          </w:p>
        </w:tc>
        <w:tc>
          <w:tcPr>
            <w:tcW w:w="1031" w:type="pct"/>
          </w:tcPr>
          <w:p w14:paraId="7747339B" w14:textId="0415B738" w:rsidR="00D74242" w:rsidRPr="00767EA6" w:rsidRDefault="00DC0042" w:rsidP="009E66FF">
            <w:pPr>
              <w:pStyle w:val="051Tabletext228pt"/>
            </w:pPr>
            <w:r>
              <w:t>12</w:t>
            </w:r>
          </w:p>
        </w:tc>
      </w:tr>
      <w:tr w:rsidR="00D74242" w:rsidRPr="00B0485F" w14:paraId="47B20877" w14:textId="77777777" w:rsidTr="00A363C4">
        <w:tc>
          <w:tcPr>
            <w:tcW w:w="1250" w:type="pct"/>
          </w:tcPr>
          <w:p w14:paraId="49089B71" w14:textId="3210D1E1" w:rsidR="005D53E6" w:rsidRDefault="00D74242" w:rsidP="005D53E6">
            <w:pPr>
              <w:pStyle w:val="051Tabletext228pt"/>
            </w:pPr>
            <w:r>
              <w:t>Wang 2011</w:t>
            </w:r>
            <w:r w:rsidR="00F43CA6">
              <w:t xml:space="preserve"> (ID: 116)</w:t>
            </w:r>
          </w:p>
          <w:p w14:paraId="195FF3C6" w14:textId="13021A10" w:rsidR="00D74242" w:rsidRPr="000F3A12" w:rsidRDefault="00D74242" w:rsidP="00CB5DBD">
            <w:pPr>
              <w:pStyle w:val="051Tabletext228pt"/>
              <w:rPr>
                <w:vertAlign w:val="superscript"/>
              </w:rPr>
            </w:pPr>
          </w:p>
        </w:tc>
        <w:tc>
          <w:tcPr>
            <w:tcW w:w="1590" w:type="pct"/>
          </w:tcPr>
          <w:p w14:paraId="0DC08072" w14:textId="77777777" w:rsidR="00D74242" w:rsidRDefault="00305E1A" w:rsidP="00CB5DBD">
            <w:pPr>
              <w:pStyle w:val="051Tabletext228pt"/>
            </w:pPr>
            <w:r>
              <w:t>SUI, predominant SUI</w:t>
            </w:r>
          </w:p>
          <w:p w14:paraId="1117BD90" w14:textId="34D788A1" w:rsidR="000D7A6C" w:rsidRPr="00767EA6" w:rsidRDefault="000D7A6C" w:rsidP="00A363C4">
            <w:pPr>
              <w:pStyle w:val="051Tabletext228pt"/>
            </w:pPr>
            <w:r>
              <w:t>N=108 randomised</w:t>
            </w:r>
            <w:r>
              <w:rPr>
                <w:vertAlign w:val="superscript"/>
              </w:rPr>
              <w:t>2</w:t>
            </w:r>
            <w:r w:rsidR="00A363C4">
              <w:t xml:space="preserve">, </w:t>
            </w:r>
            <w:r>
              <w:t>N=102 followed-up</w:t>
            </w:r>
            <w:r>
              <w:rPr>
                <w:vertAlign w:val="superscript"/>
              </w:rPr>
              <w:t>2</w:t>
            </w:r>
          </w:p>
        </w:tc>
        <w:tc>
          <w:tcPr>
            <w:tcW w:w="1129" w:type="pct"/>
          </w:tcPr>
          <w:p w14:paraId="56CFF8FE" w14:textId="6767A34E" w:rsidR="00D74242" w:rsidRPr="00767EA6" w:rsidRDefault="004D37D4" w:rsidP="00CB5DBD">
            <w:pPr>
              <w:pStyle w:val="051Tabletext228pt"/>
            </w:pPr>
            <w:r>
              <w:t>Cure</w:t>
            </w:r>
          </w:p>
        </w:tc>
        <w:tc>
          <w:tcPr>
            <w:tcW w:w="1031" w:type="pct"/>
          </w:tcPr>
          <w:p w14:paraId="039008E6" w14:textId="2AFD8B0F" w:rsidR="00D74242" w:rsidRPr="00767EA6" w:rsidRDefault="00305E1A" w:rsidP="009E66FF">
            <w:pPr>
              <w:pStyle w:val="051Tabletext228pt"/>
            </w:pPr>
            <w:r>
              <w:t>12</w:t>
            </w:r>
          </w:p>
        </w:tc>
      </w:tr>
      <w:tr w:rsidR="002F5436" w:rsidRPr="00B0485F" w14:paraId="3290DC51" w14:textId="77777777" w:rsidTr="00A363C4">
        <w:tc>
          <w:tcPr>
            <w:tcW w:w="1250" w:type="pct"/>
          </w:tcPr>
          <w:p w14:paraId="357D130C" w14:textId="0C4C9650" w:rsidR="005D53E6" w:rsidRDefault="00A705B9" w:rsidP="005D53E6">
            <w:pPr>
              <w:pStyle w:val="051Tabletext228pt"/>
            </w:pPr>
            <w:r>
              <w:t>Zullo 2007</w:t>
            </w:r>
            <w:r w:rsidR="00F43CA6">
              <w:t xml:space="preserve"> (ID: 144)</w:t>
            </w:r>
          </w:p>
          <w:p w14:paraId="3699719E" w14:textId="4CFA54A4" w:rsidR="002F5436" w:rsidRPr="00B826DF" w:rsidRDefault="002F5436" w:rsidP="00CB5DBD">
            <w:pPr>
              <w:pStyle w:val="051Tabletext228pt"/>
            </w:pPr>
          </w:p>
        </w:tc>
        <w:tc>
          <w:tcPr>
            <w:tcW w:w="1590" w:type="pct"/>
          </w:tcPr>
          <w:p w14:paraId="47650B7F" w14:textId="77777777" w:rsidR="002F5436" w:rsidRDefault="00585BCB" w:rsidP="00CB5DBD">
            <w:pPr>
              <w:pStyle w:val="051Tabletext228pt"/>
            </w:pPr>
            <w:r>
              <w:t>SUI (DO/OAB excluded)</w:t>
            </w:r>
          </w:p>
          <w:p w14:paraId="37A88896" w14:textId="7F33278F" w:rsidR="000D7A6C" w:rsidRPr="00767EA6" w:rsidRDefault="000D7A6C" w:rsidP="00CB5DBD">
            <w:pPr>
              <w:pStyle w:val="051Tabletext228pt"/>
            </w:pPr>
            <w:r>
              <w:t>N=72</w:t>
            </w:r>
          </w:p>
        </w:tc>
        <w:tc>
          <w:tcPr>
            <w:tcW w:w="1129" w:type="pct"/>
          </w:tcPr>
          <w:p w14:paraId="68B30F0F" w14:textId="77777777" w:rsidR="00D62627" w:rsidRDefault="00D62627" w:rsidP="00D62627">
            <w:pPr>
              <w:pStyle w:val="051Tabletext228pt"/>
            </w:pPr>
            <w:r>
              <w:t>Cure</w:t>
            </w:r>
          </w:p>
          <w:p w14:paraId="578CBDE7" w14:textId="3855A072" w:rsidR="002F5436" w:rsidRPr="00767EA6" w:rsidRDefault="00D62627" w:rsidP="00CB5DBD">
            <w:pPr>
              <w:pStyle w:val="051Tabletext228pt"/>
            </w:pPr>
            <w:r>
              <w:t>Improvement</w:t>
            </w:r>
          </w:p>
        </w:tc>
        <w:tc>
          <w:tcPr>
            <w:tcW w:w="1031" w:type="pct"/>
          </w:tcPr>
          <w:p w14:paraId="4D5E37D6" w14:textId="6B5949BB" w:rsidR="002F5436" w:rsidRPr="00767EA6" w:rsidRDefault="00E74069" w:rsidP="009E66FF">
            <w:pPr>
              <w:pStyle w:val="051Tabletext228pt"/>
            </w:pPr>
            <w:r>
              <w:t>60</w:t>
            </w:r>
          </w:p>
        </w:tc>
      </w:tr>
    </w:tbl>
    <w:p w14:paraId="3C7DB580" w14:textId="2E4D43A9" w:rsidR="003D5E33" w:rsidRDefault="003D5E33" w:rsidP="00C6458D">
      <w:pPr>
        <w:pStyle w:val="101Tablefootnotes8pt"/>
      </w:pPr>
      <w:r>
        <w:t xml:space="preserve">Source: </w:t>
      </w:r>
      <w:r w:rsidR="00245CE2">
        <w:rPr>
          <w:noProof/>
        </w:rPr>
        <w:t>(Brazzelli 2019)</w:t>
      </w:r>
    </w:p>
    <w:p w14:paraId="35E9EFDD" w14:textId="77777777" w:rsidR="00C6458D" w:rsidRPr="00AC17AB" w:rsidRDefault="00C6458D" w:rsidP="00C6458D">
      <w:pPr>
        <w:pStyle w:val="101Tablefootnotes8pt"/>
      </w:pPr>
      <w:r>
        <w:t xml:space="preserve">Abbreviations: DO, detrusor overactivity; MUI, mixed urinary incontinence; MUS, mid-urethral sling; NR, not reported; OAB, overactive bladder; RCT, randomised controlled trial; RP, retropubic; SUI, stress urinary incontinence; TO, </w:t>
      </w:r>
      <w:proofErr w:type="spellStart"/>
      <w:r>
        <w:t>transobturator</w:t>
      </w:r>
      <w:proofErr w:type="spellEnd"/>
      <w:r>
        <w:t>; USI, urodynamic stress incontinence; UUI, urge urinary incontinence.</w:t>
      </w:r>
    </w:p>
    <w:p w14:paraId="1E50F5E4" w14:textId="039DA8ED" w:rsidR="00DE0C24" w:rsidRDefault="00DE0C24" w:rsidP="003B6E46">
      <w:pPr>
        <w:pStyle w:val="101Tablefootnotes8pt"/>
      </w:pPr>
      <w:r>
        <w:rPr>
          <w:vertAlign w:val="superscript"/>
        </w:rPr>
        <w:t>1</w:t>
      </w:r>
      <w:r w:rsidR="003B6E46">
        <w:t xml:space="preserve"> Three-arm trial of RP-MUS, TO-</w:t>
      </w:r>
      <w:proofErr w:type="gramStart"/>
      <w:r w:rsidR="003B6E46">
        <w:t>MUS</w:t>
      </w:r>
      <w:proofErr w:type="gramEnd"/>
      <w:r w:rsidR="003B6E46">
        <w:t xml:space="preserve"> and single-incision mini-sling. N = total participants across all three arms. </w:t>
      </w:r>
    </w:p>
    <w:p w14:paraId="1F6DD5F1" w14:textId="2506E43A" w:rsidR="000F3A12" w:rsidRPr="000F3A12" w:rsidRDefault="000F3A12" w:rsidP="003B6E46">
      <w:pPr>
        <w:pStyle w:val="101Tablefootnotes8pt"/>
      </w:pPr>
      <w:r>
        <w:rPr>
          <w:vertAlign w:val="superscript"/>
        </w:rPr>
        <w:t>2</w:t>
      </w:r>
      <w:r>
        <w:t xml:space="preserve"> Three-arm trial of </w:t>
      </w:r>
      <w:r w:rsidR="00496C91">
        <w:t>RP-MUS, TO-</w:t>
      </w:r>
      <w:proofErr w:type="gramStart"/>
      <w:r w:rsidR="00496C91">
        <w:t>MUS</w:t>
      </w:r>
      <w:proofErr w:type="gramEnd"/>
      <w:r w:rsidR="00496C91">
        <w:t xml:space="preserve"> and single-incision mini-sling. N = total participants across all three arms.</w:t>
      </w:r>
    </w:p>
    <w:p w14:paraId="60267264" w14:textId="76074C2A" w:rsidR="007F65AC" w:rsidRDefault="007F65AC" w:rsidP="00C6458D">
      <w:pPr>
        <w:pStyle w:val="111Tablefootnoteslast-nostick8pt"/>
      </w:pPr>
      <w:r>
        <w:t xml:space="preserve">Note: </w:t>
      </w:r>
      <w:r w:rsidR="001D3EB6">
        <w:t>Barber 2008 (ID: 87)</w:t>
      </w:r>
      <w:r w:rsidR="00DD25D5">
        <w:t xml:space="preserve"> </w:t>
      </w:r>
      <w:r w:rsidR="00F5482C">
        <w:t>included in</w:t>
      </w:r>
      <w:r w:rsidR="00430F91">
        <w:t xml:space="preserve"> source</w:t>
      </w:r>
      <w:r w:rsidR="00F5482C">
        <w:t xml:space="preserve"> but unable to identify corresponding reference</w:t>
      </w:r>
      <w:r w:rsidR="00430F91">
        <w:t>.</w:t>
      </w:r>
    </w:p>
    <w:p w14:paraId="1766E9D5" w14:textId="17978F48" w:rsidR="00A20E7C" w:rsidRDefault="00A20E7C" w:rsidP="00A20E7C">
      <w:pPr>
        <w:pStyle w:val="Heading8"/>
      </w:pPr>
      <w:bookmarkStart w:id="225" w:name="_Toc165627865"/>
      <w:r>
        <w:lastRenderedPageBreak/>
        <w:t>References</w:t>
      </w:r>
      <w:bookmarkEnd w:id="225"/>
    </w:p>
    <w:p w14:paraId="3CD22DD5" w14:textId="537AC35B" w:rsidR="006A154E" w:rsidRPr="00A20E7C" w:rsidRDefault="00857BF8" w:rsidP="006A154E">
      <w:pPr>
        <w:pStyle w:val="Heading9"/>
      </w:pPr>
      <w:r>
        <w:t xml:space="preserve">Open </w:t>
      </w:r>
      <w:proofErr w:type="spellStart"/>
      <w:r>
        <w:t>colposuspension</w:t>
      </w:r>
      <w:proofErr w:type="spellEnd"/>
      <w:r>
        <w:t xml:space="preserve"> versus RP-MUS</w:t>
      </w:r>
    </w:p>
    <w:p w14:paraId="3A8E1AE1" w14:textId="7B26D25F" w:rsidR="00280A6F" w:rsidRPr="00B201AB" w:rsidRDefault="00800084" w:rsidP="00B201AB">
      <w:pPr>
        <w:pStyle w:val="BodyText"/>
        <w:spacing w:after="200" w:line="240" w:lineRule="auto"/>
        <w:rPr>
          <w:sz w:val="18"/>
          <w:szCs w:val="18"/>
        </w:rPr>
      </w:pPr>
      <w:r w:rsidRPr="00B201AB">
        <w:rPr>
          <w:sz w:val="18"/>
          <w:szCs w:val="18"/>
        </w:rPr>
        <w:t xml:space="preserve">32. Trabuco E, Klingele C, Blandon R, Occhino J, McGree M, Weaver A, et al. A randomized comparison of incontinence procedures performed concomitantly with abdominal </w:t>
      </w:r>
      <w:proofErr w:type="spellStart"/>
      <w:r w:rsidRPr="00B201AB">
        <w:rPr>
          <w:sz w:val="18"/>
          <w:szCs w:val="18"/>
        </w:rPr>
        <w:t>sacrocolpopexy</w:t>
      </w:r>
      <w:proofErr w:type="spellEnd"/>
      <w:r w:rsidRPr="00B201AB">
        <w:rPr>
          <w:sz w:val="18"/>
          <w:szCs w:val="18"/>
        </w:rPr>
        <w:t xml:space="preserve">: the Burch versus mid-urethral sling trial. </w:t>
      </w:r>
      <w:proofErr w:type="spellStart"/>
      <w:r w:rsidRPr="00B201AB">
        <w:rPr>
          <w:sz w:val="18"/>
          <w:szCs w:val="18"/>
        </w:rPr>
        <w:t>Neurourol</w:t>
      </w:r>
      <w:proofErr w:type="spellEnd"/>
      <w:r w:rsidRPr="00B201AB">
        <w:rPr>
          <w:sz w:val="18"/>
          <w:szCs w:val="18"/>
        </w:rPr>
        <w:t xml:space="preserve"> </w:t>
      </w:r>
      <w:proofErr w:type="spellStart"/>
      <w:r w:rsidRPr="00B201AB">
        <w:rPr>
          <w:sz w:val="18"/>
          <w:szCs w:val="18"/>
        </w:rPr>
        <w:t>Urodyn</w:t>
      </w:r>
      <w:proofErr w:type="spellEnd"/>
      <w:r w:rsidRPr="00B201AB">
        <w:rPr>
          <w:sz w:val="18"/>
          <w:szCs w:val="18"/>
        </w:rPr>
        <w:t xml:space="preserve"> 2014;33:1005.</w:t>
      </w:r>
    </w:p>
    <w:p w14:paraId="3F5C77BB" w14:textId="26900AD6" w:rsidR="00A77586" w:rsidRPr="00B201AB" w:rsidRDefault="00A77586" w:rsidP="00B201AB">
      <w:pPr>
        <w:pStyle w:val="BodyText"/>
        <w:spacing w:after="200" w:line="240" w:lineRule="auto"/>
        <w:rPr>
          <w:sz w:val="18"/>
          <w:szCs w:val="18"/>
        </w:rPr>
      </w:pPr>
      <w:r w:rsidRPr="00B201AB">
        <w:rPr>
          <w:sz w:val="18"/>
          <w:szCs w:val="18"/>
        </w:rPr>
        <w:t xml:space="preserve">46. </w:t>
      </w:r>
      <w:proofErr w:type="spellStart"/>
      <w:r w:rsidRPr="00B201AB">
        <w:rPr>
          <w:sz w:val="18"/>
          <w:szCs w:val="18"/>
        </w:rPr>
        <w:t>Drahoradova</w:t>
      </w:r>
      <w:proofErr w:type="spellEnd"/>
      <w:r w:rsidRPr="00B201AB">
        <w:rPr>
          <w:sz w:val="18"/>
          <w:szCs w:val="18"/>
        </w:rPr>
        <w:t xml:space="preserve"> P, </w:t>
      </w:r>
      <w:proofErr w:type="spellStart"/>
      <w:r w:rsidRPr="00B201AB">
        <w:rPr>
          <w:sz w:val="18"/>
          <w:szCs w:val="18"/>
        </w:rPr>
        <w:t>Masata</w:t>
      </w:r>
      <w:proofErr w:type="spellEnd"/>
      <w:r w:rsidRPr="00B201AB">
        <w:rPr>
          <w:sz w:val="18"/>
          <w:szCs w:val="18"/>
        </w:rPr>
        <w:t xml:space="preserve"> J, </w:t>
      </w:r>
      <w:proofErr w:type="spellStart"/>
      <w:r w:rsidRPr="00B201AB">
        <w:rPr>
          <w:sz w:val="18"/>
          <w:szCs w:val="18"/>
        </w:rPr>
        <w:t>Martan</w:t>
      </w:r>
      <w:proofErr w:type="spellEnd"/>
      <w:r w:rsidRPr="00B201AB">
        <w:rPr>
          <w:sz w:val="18"/>
          <w:szCs w:val="18"/>
        </w:rPr>
        <w:t xml:space="preserve"> A, </w:t>
      </w:r>
      <w:proofErr w:type="spellStart"/>
      <w:r w:rsidRPr="00B201AB">
        <w:rPr>
          <w:sz w:val="18"/>
          <w:szCs w:val="18"/>
        </w:rPr>
        <w:t>Svabik</w:t>
      </w:r>
      <w:proofErr w:type="spellEnd"/>
      <w:r w:rsidRPr="00B201AB">
        <w:rPr>
          <w:sz w:val="18"/>
          <w:szCs w:val="18"/>
        </w:rPr>
        <w:t xml:space="preserve"> K. Comparative Development of Quality of Life Between TVT and Burch </w:t>
      </w:r>
      <w:proofErr w:type="spellStart"/>
      <w:r w:rsidRPr="00B201AB">
        <w:rPr>
          <w:sz w:val="18"/>
          <w:szCs w:val="18"/>
        </w:rPr>
        <w:t>Colposuspension</w:t>
      </w:r>
      <w:proofErr w:type="spellEnd"/>
      <w:r w:rsidRPr="00B201AB">
        <w:rPr>
          <w:sz w:val="18"/>
          <w:szCs w:val="18"/>
        </w:rPr>
        <w:t xml:space="preserve">. Proceedings of the Joint Meeting of the International Continence Society (ICS), 34th Annual Meeting, and the International </w:t>
      </w:r>
      <w:proofErr w:type="spellStart"/>
      <w:r w:rsidRPr="00B201AB">
        <w:rPr>
          <w:sz w:val="18"/>
          <w:szCs w:val="18"/>
        </w:rPr>
        <w:t>Urogynecological</w:t>
      </w:r>
      <w:proofErr w:type="spellEnd"/>
      <w:r w:rsidRPr="00B201AB">
        <w:rPr>
          <w:sz w:val="18"/>
          <w:szCs w:val="18"/>
        </w:rPr>
        <w:t xml:space="preserve"> Association (IUGA), Paris, France, 23–27 August 2004, abstract no. 278.</w:t>
      </w:r>
    </w:p>
    <w:p w14:paraId="1323EC9F" w14:textId="4A623B1C" w:rsidR="00EF4B12" w:rsidRPr="00B201AB" w:rsidRDefault="00EF4B12" w:rsidP="00B201AB">
      <w:pPr>
        <w:pStyle w:val="BodyText"/>
        <w:spacing w:after="200" w:line="240" w:lineRule="auto"/>
        <w:rPr>
          <w:sz w:val="18"/>
          <w:szCs w:val="18"/>
        </w:rPr>
      </w:pPr>
      <w:r w:rsidRPr="00B201AB">
        <w:rPr>
          <w:sz w:val="18"/>
          <w:szCs w:val="18"/>
        </w:rPr>
        <w:t xml:space="preserve">100. Ward K, Hilton P, United </w:t>
      </w:r>
      <w:proofErr w:type="gramStart"/>
      <w:r w:rsidRPr="00B201AB">
        <w:rPr>
          <w:sz w:val="18"/>
          <w:szCs w:val="18"/>
        </w:rPr>
        <w:t>Kingdom</w:t>
      </w:r>
      <w:proofErr w:type="gramEnd"/>
      <w:r w:rsidRPr="00B201AB">
        <w:rPr>
          <w:sz w:val="18"/>
          <w:szCs w:val="18"/>
        </w:rPr>
        <w:t xml:space="preserve"> and Ireland Tension-free Vaginal Tape Trial Group. Prospective multicentre randomised trial of tension-free vaginal tape and </w:t>
      </w:r>
      <w:proofErr w:type="spellStart"/>
      <w:r w:rsidRPr="00B201AB">
        <w:rPr>
          <w:sz w:val="18"/>
          <w:szCs w:val="18"/>
        </w:rPr>
        <w:t>colposuspension</w:t>
      </w:r>
      <w:proofErr w:type="spellEnd"/>
      <w:r w:rsidRPr="00B201AB">
        <w:rPr>
          <w:sz w:val="18"/>
          <w:szCs w:val="18"/>
        </w:rPr>
        <w:t xml:space="preserve"> as primary treatment for stress incontinence. BMJ 2002;325:67. https://doi.org/10.1136/bmj.325.7355.67</w:t>
      </w:r>
    </w:p>
    <w:p w14:paraId="35893013" w14:textId="631221DB" w:rsidR="00A77586" w:rsidRPr="00B201AB" w:rsidRDefault="00523BEB" w:rsidP="00B201AB">
      <w:pPr>
        <w:pStyle w:val="BodyText"/>
        <w:spacing w:after="200" w:line="240" w:lineRule="auto"/>
        <w:rPr>
          <w:sz w:val="18"/>
          <w:szCs w:val="18"/>
        </w:rPr>
      </w:pPr>
      <w:r w:rsidRPr="00B201AB">
        <w:rPr>
          <w:sz w:val="18"/>
          <w:szCs w:val="18"/>
        </w:rPr>
        <w:t xml:space="preserve">145. Bai SW, Sohn WH, Chung DJ, Park JH, Kim SK. Comparison of the efficacy of Burch </w:t>
      </w:r>
      <w:proofErr w:type="spellStart"/>
      <w:r w:rsidRPr="00B201AB">
        <w:rPr>
          <w:sz w:val="18"/>
          <w:szCs w:val="18"/>
        </w:rPr>
        <w:t>colposuspension</w:t>
      </w:r>
      <w:proofErr w:type="spellEnd"/>
      <w:r w:rsidRPr="00B201AB">
        <w:rPr>
          <w:sz w:val="18"/>
          <w:szCs w:val="18"/>
        </w:rPr>
        <w:t>, pubovaginal sling, and tension-free vaginal tape for stress urinary incontinence. Int</w:t>
      </w:r>
      <w:r w:rsidR="0059398A">
        <w:rPr>
          <w:sz w:val="18"/>
          <w:szCs w:val="18"/>
        </w:rPr>
        <w:t xml:space="preserve"> </w:t>
      </w:r>
      <w:r w:rsidRPr="00B201AB">
        <w:rPr>
          <w:sz w:val="18"/>
          <w:szCs w:val="18"/>
        </w:rPr>
        <w:t>J</w:t>
      </w:r>
      <w:r w:rsidR="0059398A">
        <w:rPr>
          <w:sz w:val="18"/>
          <w:szCs w:val="18"/>
        </w:rPr>
        <w:t xml:space="preserve"> </w:t>
      </w:r>
      <w:proofErr w:type="spellStart"/>
      <w:r w:rsidRPr="00B201AB">
        <w:rPr>
          <w:sz w:val="18"/>
          <w:szCs w:val="18"/>
        </w:rPr>
        <w:t>Gynaecol</w:t>
      </w:r>
      <w:proofErr w:type="spellEnd"/>
      <w:r w:rsidR="0059398A">
        <w:rPr>
          <w:sz w:val="18"/>
          <w:szCs w:val="18"/>
        </w:rPr>
        <w:t xml:space="preserve"> </w:t>
      </w:r>
      <w:proofErr w:type="spellStart"/>
      <w:r w:rsidRPr="00B201AB">
        <w:rPr>
          <w:sz w:val="18"/>
          <w:szCs w:val="18"/>
        </w:rPr>
        <w:t>Obstet</w:t>
      </w:r>
      <w:proofErr w:type="spellEnd"/>
      <w:r w:rsidRPr="00B201AB">
        <w:rPr>
          <w:sz w:val="18"/>
          <w:szCs w:val="18"/>
        </w:rPr>
        <w:t xml:space="preserve"> 2005;91:246–51. </w:t>
      </w:r>
      <w:hyperlink r:id="rId47" w:tooltip="This link goes to the Bai et al (2005) article in the International Journal of Gynecology and Obstetrics" w:history="1">
        <w:r w:rsidR="005651D7" w:rsidRPr="00B201AB">
          <w:rPr>
            <w:rStyle w:val="Hyperlink"/>
            <w:sz w:val="18"/>
            <w:szCs w:val="18"/>
          </w:rPr>
          <w:t>https://doi.org/10.1016/j.ijgo.2005.08.023</w:t>
        </w:r>
      </w:hyperlink>
      <w:r w:rsidR="005651D7" w:rsidRPr="00B201AB">
        <w:rPr>
          <w:sz w:val="18"/>
          <w:szCs w:val="18"/>
        </w:rPr>
        <w:t>.</w:t>
      </w:r>
    </w:p>
    <w:p w14:paraId="57FE4DF1" w14:textId="0D4F1B7D" w:rsidR="005651D7" w:rsidRPr="00B201AB" w:rsidRDefault="005651D7" w:rsidP="00B201AB">
      <w:pPr>
        <w:pStyle w:val="BodyText"/>
        <w:spacing w:after="200" w:line="240" w:lineRule="auto"/>
        <w:rPr>
          <w:sz w:val="18"/>
          <w:szCs w:val="18"/>
        </w:rPr>
      </w:pPr>
      <w:r w:rsidRPr="00B201AB">
        <w:rPr>
          <w:sz w:val="18"/>
          <w:szCs w:val="18"/>
        </w:rPr>
        <w:t>201. El-Barky E, El-</w:t>
      </w:r>
      <w:proofErr w:type="spellStart"/>
      <w:r w:rsidRPr="00B201AB">
        <w:rPr>
          <w:sz w:val="18"/>
          <w:szCs w:val="18"/>
        </w:rPr>
        <w:t>Shazly</w:t>
      </w:r>
      <w:proofErr w:type="spellEnd"/>
      <w:r w:rsidRPr="00B201AB">
        <w:rPr>
          <w:sz w:val="18"/>
          <w:szCs w:val="18"/>
        </w:rPr>
        <w:t xml:space="preserve"> A, El-Wahab OA, Kehinde EO, Al-</w:t>
      </w:r>
      <w:proofErr w:type="spellStart"/>
      <w:r w:rsidRPr="00B201AB">
        <w:rPr>
          <w:sz w:val="18"/>
          <w:szCs w:val="18"/>
        </w:rPr>
        <w:t>Hunayan</w:t>
      </w:r>
      <w:proofErr w:type="spellEnd"/>
      <w:r w:rsidRPr="00B201AB">
        <w:rPr>
          <w:sz w:val="18"/>
          <w:szCs w:val="18"/>
        </w:rPr>
        <w:t xml:space="preserve"> A, Al-</w:t>
      </w:r>
      <w:proofErr w:type="spellStart"/>
      <w:r w:rsidRPr="00B201AB">
        <w:rPr>
          <w:sz w:val="18"/>
          <w:szCs w:val="18"/>
        </w:rPr>
        <w:t>Awadi</w:t>
      </w:r>
      <w:proofErr w:type="spellEnd"/>
      <w:r w:rsidRPr="00B201AB">
        <w:rPr>
          <w:sz w:val="18"/>
          <w:szCs w:val="18"/>
        </w:rPr>
        <w:t xml:space="preserve"> KA. Tension free vaginal tape versus Burch </w:t>
      </w:r>
      <w:proofErr w:type="spellStart"/>
      <w:r w:rsidRPr="00B201AB">
        <w:rPr>
          <w:sz w:val="18"/>
          <w:szCs w:val="18"/>
        </w:rPr>
        <w:t>colposuspension</w:t>
      </w:r>
      <w:proofErr w:type="spellEnd"/>
      <w:r w:rsidRPr="00B201AB">
        <w:rPr>
          <w:sz w:val="18"/>
          <w:szCs w:val="18"/>
        </w:rPr>
        <w:t xml:space="preserve"> for treatment of female stress urinary incontinence. Int </w:t>
      </w:r>
      <w:proofErr w:type="spellStart"/>
      <w:r w:rsidRPr="00B201AB">
        <w:rPr>
          <w:sz w:val="18"/>
          <w:szCs w:val="18"/>
        </w:rPr>
        <w:t>Urol</w:t>
      </w:r>
      <w:proofErr w:type="spellEnd"/>
      <w:r w:rsidRPr="00B201AB">
        <w:rPr>
          <w:sz w:val="18"/>
          <w:szCs w:val="18"/>
        </w:rPr>
        <w:t xml:space="preserve"> Nephrol 2005;37:277–81. </w:t>
      </w:r>
      <w:hyperlink r:id="rId48" w:tooltip="This link goes to the El-Barky et al (2005) article" w:history="1">
        <w:r w:rsidRPr="00B201AB">
          <w:rPr>
            <w:rStyle w:val="Hyperlink"/>
            <w:sz w:val="18"/>
            <w:szCs w:val="18"/>
          </w:rPr>
          <w:t>https://doi.org/10.1007/s11255-004-6101-6</w:t>
        </w:r>
      </w:hyperlink>
      <w:r w:rsidRPr="00B201AB">
        <w:rPr>
          <w:sz w:val="18"/>
          <w:szCs w:val="18"/>
        </w:rPr>
        <w:t xml:space="preserve"> </w:t>
      </w:r>
    </w:p>
    <w:p w14:paraId="78B8DD94" w14:textId="67197DDC" w:rsidR="005651D7" w:rsidRPr="00B201AB" w:rsidRDefault="005651D7" w:rsidP="00B201AB">
      <w:pPr>
        <w:pStyle w:val="BodyText"/>
        <w:spacing w:after="200" w:line="240" w:lineRule="auto"/>
        <w:rPr>
          <w:sz w:val="18"/>
          <w:szCs w:val="18"/>
        </w:rPr>
      </w:pPr>
      <w:r w:rsidRPr="00B201AB">
        <w:rPr>
          <w:sz w:val="18"/>
          <w:szCs w:val="18"/>
        </w:rPr>
        <w:t>202. Téllez Martínez-</w:t>
      </w:r>
      <w:proofErr w:type="spellStart"/>
      <w:r w:rsidRPr="00B201AB">
        <w:rPr>
          <w:sz w:val="18"/>
          <w:szCs w:val="18"/>
        </w:rPr>
        <w:t>Fornés</w:t>
      </w:r>
      <w:proofErr w:type="spellEnd"/>
      <w:r w:rsidRPr="00B201AB">
        <w:rPr>
          <w:sz w:val="18"/>
          <w:szCs w:val="18"/>
        </w:rPr>
        <w:t xml:space="preserve"> M, Fernández Pérez C, Fouz López C, Fernández Lucas C, Borrego Hernando J. A </w:t>
      </w:r>
      <w:proofErr w:type="gramStart"/>
      <w:r w:rsidRPr="00B201AB">
        <w:rPr>
          <w:sz w:val="18"/>
          <w:szCs w:val="18"/>
        </w:rPr>
        <w:t>three year</w:t>
      </w:r>
      <w:proofErr w:type="gramEnd"/>
      <w:r w:rsidRPr="00B201AB">
        <w:rPr>
          <w:sz w:val="18"/>
          <w:szCs w:val="18"/>
        </w:rPr>
        <w:t xml:space="preserve"> follow-up of a prospective open randomized trial to compare tension-free vaginal tape with Burch </w:t>
      </w:r>
      <w:proofErr w:type="spellStart"/>
      <w:r w:rsidRPr="00B201AB">
        <w:rPr>
          <w:sz w:val="18"/>
          <w:szCs w:val="18"/>
        </w:rPr>
        <w:t>colposuspension</w:t>
      </w:r>
      <w:proofErr w:type="spellEnd"/>
      <w:r w:rsidRPr="00B201AB">
        <w:rPr>
          <w:sz w:val="18"/>
          <w:szCs w:val="18"/>
        </w:rPr>
        <w:t xml:space="preserve"> for treatment of female stress urinary incontinence. </w:t>
      </w:r>
      <w:proofErr w:type="spellStart"/>
      <w:r w:rsidRPr="00B201AB">
        <w:rPr>
          <w:sz w:val="18"/>
          <w:szCs w:val="18"/>
        </w:rPr>
        <w:t>Actas</w:t>
      </w:r>
      <w:proofErr w:type="spellEnd"/>
      <w:r w:rsidRPr="00B201AB">
        <w:rPr>
          <w:sz w:val="18"/>
          <w:szCs w:val="18"/>
        </w:rPr>
        <w:t xml:space="preserve"> </w:t>
      </w:r>
      <w:proofErr w:type="spellStart"/>
      <w:r w:rsidRPr="00B201AB">
        <w:rPr>
          <w:sz w:val="18"/>
          <w:szCs w:val="18"/>
        </w:rPr>
        <w:t>Urol</w:t>
      </w:r>
      <w:proofErr w:type="spellEnd"/>
      <w:r w:rsidRPr="00B201AB">
        <w:rPr>
          <w:sz w:val="18"/>
          <w:szCs w:val="18"/>
        </w:rPr>
        <w:t xml:space="preserve"> Esp 2009;33:1088–96. </w:t>
      </w:r>
    </w:p>
    <w:p w14:paraId="207B055D" w14:textId="1ED0C0F3" w:rsidR="005651D7" w:rsidRPr="00B201AB" w:rsidRDefault="005651D7" w:rsidP="00B201AB">
      <w:pPr>
        <w:pStyle w:val="BodyText"/>
        <w:spacing w:after="200" w:line="240" w:lineRule="auto"/>
        <w:rPr>
          <w:sz w:val="18"/>
          <w:szCs w:val="18"/>
        </w:rPr>
      </w:pPr>
      <w:r w:rsidRPr="00B201AB">
        <w:rPr>
          <w:sz w:val="18"/>
          <w:szCs w:val="18"/>
        </w:rPr>
        <w:t xml:space="preserve">203. Wang AC, Chen MC. Comparison of tension-free vaginal taping versus modified Burch </w:t>
      </w:r>
      <w:proofErr w:type="spellStart"/>
      <w:r w:rsidRPr="00B201AB">
        <w:rPr>
          <w:sz w:val="18"/>
          <w:szCs w:val="18"/>
        </w:rPr>
        <w:t>colposuspension</w:t>
      </w:r>
      <w:proofErr w:type="spellEnd"/>
      <w:r w:rsidRPr="00B201AB">
        <w:rPr>
          <w:sz w:val="18"/>
          <w:szCs w:val="18"/>
        </w:rPr>
        <w:t xml:space="preserve"> on urethral obstruction: a randomized controlled trial. </w:t>
      </w:r>
      <w:proofErr w:type="spellStart"/>
      <w:r w:rsidRPr="00B201AB">
        <w:rPr>
          <w:sz w:val="18"/>
          <w:szCs w:val="18"/>
        </w:rPr>
        <w:t>Neurourol</w:t>
      </w:r>
      <w:proofErr w:type="spellEnd"/>
      <w:r w:rsidRPr="00B201AB">
        <w:rPr>
          <w:sz w:val="18"/>
          <w:szCs w:val="18"/>
        </w:rPr>
        <w:t xml:space="preserve"> </w:t>
      </w:r>
      <w:proofErr w:type="spellStart"/>
      <w:r w:rsidRPr="00B201AB">
        <w:rPr>
          <w:sz w:val="18"/>
          <w:szCs w:val="18"/>
        </w:rPr>
        <w:t>Urodyn</w:t>
      </w:r>
      <w:proofErr w:type="spellEnd"/>
      <w:r w:rsidRPr="00B201AB">
        <w:rPr>
          <w:sz w:val="18"/>
          <w:szCs w:val="18"/>
        </w:rPr>
        <w:t xml:space="preserve"> 2003;22:185–90. </w:t>
      </w:r>
      <w:hyperlink r:id="rId49" w:tooltip="This link goes to the Wang and Chen (2003) article in Neurology and Urodynamics" w:history="1">
        <w:r w:rsidR="00935FCA" w:rsidRPr="00B201AB">
          <w:rPr>
            <w:rStyle w:val="Hyperlink"/>
            <w:sz w:val="18"/>
            <w:szCs w:val="18"/>
          </w:rPr>
          <w:t>https://doi.org/10.1002/nau.10092</w:t>
        </w:r>
      </w:hyperlink>
    </w:p>
    <w:p w14:paraId="42D0C818" w14:textId="17964BC1" w:rsidR="00935FCA" w:rsidRPr="00280A6F" w:rsidRDefault="001E6EEA" w:rsidP="00935FCA">
      <w:pPr>
        <w:pStyle w:val="Heading9"/>
      </w:pPr>
      <w:r>
        <w:t xml:space="preserve">Laparoscopic </w:t>
      </w:r>
      <w:proofErr w:type="spellStart"/>
      <w:r>
        <w:t>colposuspension</w:t>
      </w:r>
      <w:proofErr w:type="spellEnd"/>
      <w:r>
        <w:t xml:space="preserve"> versus RP-MUS</w:t>
      </w:r>
    </w:p>
    <w:p w14:paraId="6E7A9C8A" w14:textId="31F86C42" w:rsidR="00301BF7" w:rsidRPr="00B201AB" w:rsidRDefault="00301BF7" w:rsidP="00B201AB">
      <w:pPr>
        <w:pStyle w:val="BodyText"/>
        <w:spacing w:after="200" w:line="240" w:lineRule="auto"/>
        <w:rPr>
          <w:sz w:val="18"/>
          <w:szCs w:val="18"/>
        </w:rPr>
      </w:pPr>
      <w:r w:rsidRPr="00B201AB">
        <w:rPr>
          <w:sz w:val="18"/>
          <w:szCs w:val="18"/>
        </w:rPr>
        <w:t xml:space="preserve">63. Maher C, </w:t>
      </w:r>
      <w:proofErr w:type="spellStart"/>
      <w:r w:rsidRPr="00B201AB">
        <w:rPr>
          <w:sz w:val="18"/>
          <w:szCs w:val="18"/>
        </w:rPr>
        <w:t>Qatawneh</w:t>
      </w:r>
      <w:proofErr w:type="spellEnd"/>
      <w:r w:rsidRPr="00B201AB">
        <w:rPr>
          <w:sz w:val="18"/>
          <w:szCs w:val="18"/>
        </w:rPr>
        <w:t xml:space="preserve"> A, </w:t>
      </w:r>
      <w:proofErr w:type="spellStart"/>
      <w:r w:rsidRPr="00B201AB">
        <w:rPr>
          <w:sz w:val="18"/>
          <w:szCs w:val="18"/>
        </w:rPr>
        <w:t>Baessler</w:t>
      </w:r>
      <w:proofErr w:type="spellEnd"/>
      <w:r w:rsidRPr="00B201AB">
        <w:rPr>
          <w:sz w:val="18"/>
          <w:szCs w:val="18"/>
        </w:rPr>
        <w:t xml:space="preserve"> K, Cropper M, Schluter P. Laparoscopic </w:t>
      </w:r>
      <w:proofErr w:type="spellStart"/>
      <w:r w:rsidRPr="00B201AB">
        <w:rPr>
          <w:sz w:val="18"/>
          <w:szCs w:val="18"/>
        </w:rPr>
        <w:t>colposuspension</w:t>
      </w:r>
      <w:proofErr w:type="spellEnd"/>
      <w:r w:rsidRPr="00B201AB">
        <w:rPr>
          <w:sz w:val="18"/>
          <w:szCs w:val="18"/>
        </w:rPr>
        <w:t xml:space="preserve"> or tension-free vaginal tape for recurrent stress urinary incontinence and/or intrinsic sphincter deficiency– a randomised controlled trial. </w:t>
      </w:r>
      <w:proofErr w:type="spellStart"/>
      <w:r w:rsidRPr="00B201AB">
        <w:rPr>
          <w:sz w:val="18"/>
          <w:szCs w:val="18"/>
        </w:rPr>
        <w:t>Neurourol</w:t>
      </w:r>
      <w:proofErr w:type="spellEnd"/>
      <w:r w:rsidRPr="00B201AB">
        <w:rPr>
          <w:sz w:val="18"/>
          <w:szCs w:val="18"/>
        </w:rPr>
        <w:t xml:space="preserve"> </w:t>
      </w:r>
      <w:proofErr w:type="spellStart"/>
      <w:r w:rsidRPr="00B201AB">
        <w:rPr>
          <w:sz w:val="18"/>
          <w:szCs w:val="18"/>
        </w:rPr>
        <w:t>Urodyn</w:t>
      </w:r>
      <w:proofErr w:type="spellEnd"/>
      <w:r w:rsidRPr="00B201AB">
        <w:rPr>
          <w:sz w:val="18"/>
          <w:szCs w:val="18"/>
        </w:rPr>
        <w:t xml:space="preserve"> 2004;23:433–4.</w:t>
      </w:r>
    </w:p>
    <w:p w14:paraId="0C9EE22B" w14:textId="141115B6" w:rsidR="00E5429A" w:rsidRPr="00B201AB" w:rsidRDefault="008457B2" w:rsidP="00B201AB">
      <w:pPr>
        <w:pStyle w:val="BodyText"/>
        <w:spacing w:after="200" w:line="240" w:lineRule="auto"/>
        <w:rPr>
          <w:sz w:val="18"/>
          <w:szCs w:val="18"/>
        </w:rPr>
      </w:pPr>
      <w:r w:rsidRPr="00B201AB">
        <w:rPr>
          <w:sz w:val="18"/>
          <w:szCs w:val="18"/>
        </w:rPr>
        <w:t xml:space="preserve">146. Foote AJ, Maughan V, Carne C. Laparoscopic </w:t>
      </w:r>
      <w:proofErr w:type="spellStart"/>
      <w:r w:rsidRPr="00B201AB">
        <w:rPr>
          <w:sz w:val="18"/>
          <w:szCs w:val="18"/>
        </w:rPr>
        <w:t>colposuspension</w:t>
      </w:r>
      <w:proofErr w:type="spellEnd"/>
      <w:r w:rsidRPr="00B201AB">
        <w:rPr>
          <w:sz w:val="18"/>
          <w:szCs w:val="18"/>
        </w:rPr>
        <w:t xml:space="preserve"> versus vaginal </w:t>
      </w:r>
      <w:proofErr w:type="spellStart"/>
      <w:r w:rsidRPr="00B201AB">
        <w:rPr>
          <w:sz w:val="18"/>
          <w:szCs w:val="18"/>
        </w:rPr>
        <w:t>suburethral</w:t>
      </w:r>
      <w:proofErr w:type="spellEnd"/>
      <w:r w:rsidRPr="00B201AB">
        <w:rPr>
          <w:sz w:val="18"/>
          <w:szCs w:val="18"/>
        </w:rPr>
        <w:t xml:space="preserve"> </w:t>
      </w:r>
      <w:proofErr w:type="spellStart"/>
      <w:r w:rsidRPr="00B201AB">
        <w:rPr>
          <w:sz w:val="18"/>
          <w:szCs w:val="18"/>
        </w:rPr>
        <w:t>slingplasty</w:t>
      </w:r>
      <w:proofErr w:type="spellEnd"/>
      <w:r w:rsidRPr="00B201AB">
        <w:rPr>
          <w:sz w:val="18"/>
          <w:szCs w:val="18"/>
        </w:rPr>
        <w:t xml:space="preserve">: a randomised prospective trial. Aust N Z J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Gynaecol</w:t>
      </w:r>
      <w:proofErr w:type="spellEnd"/>
      <w:r w:rsidRPr="00B201AB">
        <w:rPr>
          <w:sz w:val="18"/>
          <w:szCs w:val="18"/>
        </w:rPr>
        <w:t xml:space="preserve"> 2006;46:517–20. https://doi.org/10.1111/j.1479-828X.2006.00652.x </w:t>
      </w:r>
    </w:p>
    <w:p w14:paraId="33616B3A" w14:textId="2FF0ADF7" w:rsidR="008457B2" w:rsidRPr="00B201AB" w:rsidRDefault="008457B2" w:rsidP="00B201AB">
      <w:pPr>
        <w:pStyle w:val="BodyText"/>
        <w:spacing w:after="200" w:line="240" w:lineRule="auto"/>
        <w:rPr>
          <w:sz w:val="18"/>
          <w:szCs w:val="18"/>
        </w:rPr>
      </w:pPr>
      <w:r w:rsidRPr="00B201AB">
        <w:rPr>
          <w:sz w:val="18"/>
          <w:szCs w:val="18"/>
        </w:rPr>
        <w:t xml:space="preserve">147. Paraiso MF, Walters MD, Karram MM, Barber MD. Laparoscopic Burch </w:t>
      </w:r>
      <w:proofErr w:type="spellStart"/>
      <w:r w:rsidRPr="00B201AB">
        <w:rPr>
          <w:sz w:val="18"/>
          <w:szCs w:val="18"/>
        </w:rPr>
        <w:t>colposuspension</w:t>
      </w:r>
      <w:proofErr w:type="spellEnd"/>
      <w:r w:rsidRPr="00B201AB">
        <w:rPr>
          <w:sz w:val="18"/>
          <w:szCs w:val="18"/>
        </w:rPr>
        <w:t xml:space="preserve"> versus tension-free vaginal tape: a randomized trial.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2004;104:1249–58. https://doi.org/ 10.1097/01.AOG.0000146290.10472.b3</w:t>
      </w:r>
      <w:r w:rsidR="00692D8D">
        <w:rPr>
          <w:sz w:val="18"/>
          <w:szCs w:val="18"/>
        </w:rPr>
        <w:t xml:space="preserve"> </w:t>
      </w:r>
    </w:p>
    <w:p w14:paraId="16029B1E" w14:textId="58CA6632" w:rsidR="001E6EEA" w:rsidRPr="00B201AB" w:rsidRDefault="00826A70" w:rsidP="00B201AB">
      <w:pPr>
        <w:pStyle w:val="BodyText"/>
        <w:spacing w:after="200" w:line="240" w:lineRule="auto"/>
        <w:rPr>
          <w:sz w:val="18"/>
          <w:szCs w:val="18"/>
        </w:rPr>
      </w:pPr>
      <w:r w:rsidRPr="00B201AB">
        <w:rPr>
          <w:sz w:val="18"/>
          <w:szCs w:val="18"/>
        </w:rPr>
        <w:t xml:space="preserve">279. </w:t>
      </w:r>
      <w:proofErr w:type="spellStart"/>
      <w:r w:rsidRPr="00B201AB">
        <w:rPr>
          <w:sz w:val="18"/>
          <w:szCs w:val="18"/>
        </w:rPr>
        <w:t>Valpas</w:t>
      </w:r>
      <w:proofErr w:type="spellEnd"/>
      <w:r w:rsidRPr="00B201AB">
        <w:rPr>
          <w:sz w:val="18"/>
          <w:szCs w:val="18"/>
        </w:rPr>
        <w:t xml:space="preserve"> A, </w:t>
      </w:r>
      <w:proofErr w:type="spellStart"/>
      <w:r w:rsidRPr="00B201AB">
        <w:rPr>
          <w:sz w:val="18"/>
          <w:szCs w:val="18"/>
        </w:rPr>
        <w:t>Rissanen</w:t>
      </w:r>
      <w:proofErr w:type="spellEnd"/>
      <w:r w:rsidRPr="00B201AB">
        <w:rPr>
          <w:sz w:val="18"/>
          <w:szCs w:val="18"/>
        </w:rPr>
        <w:t xml:space="preserve"> P, </w:t>
      </w:r>
      <w:proofErr w:type="spellStart"/>
      <w:r w:rsidRPr="00B201AB">
        <w:rPr>
          <w:sz w:val="18"/>
          <w:szCs w:val="18"/>
        </w:rPr>
        <w:t>Kujansuu</w:t>
      </w:r>
      <w:proofErr w:type="spellEnd"/>
      <w:r w:rsidRPr="00B201AB">
        <w:rPr>
          <w:sz w:val="18"/>
          <w:szCs w:val="18"/>
        </w:rPr>
        <w:t xml:space="preserve"> E, Nilsson CG. A cost-effectiveness analysis of tension-free vaginal tape versus laparoscopic mesh </w:t>
      </w:r>
      <w:proofErr w:type="spellStart"/>
      <w:r w:rsidRPr="00B201AB">
        <w:rPr>
          <w:sz w:val="18"/>
          <w:szCs w:val="18"/>
        </w:rPr>
        <w:t>colposuspension</w:t>
      </w:r>
      <w:proofErr w:type="spellEnd"/>
      <w:r w:rsidRPr="00B201AB">
        <w:rPr>
          <w:sz w:val="18"/>
          <w:szCs w:val="18"/>
        </w:rPr>
        <w:t xml:space="preserve"> for primary female stress incontinence. Acta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w:t>
      </w:r>
      <w:proofErr w:type="spellStart"/>
      <w:r w:rsidRPr="00B201AB">
        <w:rPr>
          <w:sz w:val="18"/>
          <w:szCs w:val="18"/>
        </w:rPr>
        <w:t>Scand</w:t>
      </w:r>
      <w:proofErr w:type="spellEnd"/>
      <w:r w:rsidRPr="00B201AB">
        <w:rPr>
          <w:sz w:val="18"/>
          <w:szCs w:val="18"/>
        </w:rPr>
        <w:t xml:space="preserve"> 2006;85:1485–90. </w:t>
      </w:r>
      <w:hyperlink r:id="rId50" w:tooltip="This link goes to the Valpas et al (2006) article" w:history="1">
        <w:r w:rsidR="00C355DE" w:rsidRPr="00B201AB">
          <w:rPr>
            <w:rStyle w:val="Hyperlink"/>
            <w:sz w:val="18"/>
            <w:szCs w:val="18"/>
          </w:rPr>
          <w:t>https://doi.org/10.1080/00016340601033584</w:t>
        </w:r>
      </w:hyperlink>
    </w:p>
    <w:p w14:paraId="3BE19AAE" w14:textId="16272BCE" w:rsidR="00C355DE" w:rsidRPr="001E6EEA" w:rsidRDefault="00C355DE" w:rsidP="00C355DE">
      <w:pPr>
        <w:pStyle w:val="Heading9"/>
      </w:pPr>
      <w:r>
        <w:t xml:space="preserve">Open </w:t>
      </w:r>
      <w:proofErr w:type="spellStart"/>
      <w:r>
        <w:t>colposuspension</w:t>
      </w:r>
      <w:proofErr w:type="spellEnd"/>
      <w:r>
        <w:t xml:space="preserve"> versus TO-MUS</w:t>
      </w:r>
    </w:p>
    <w:p w14:paraId="2C6264C6" w14:textId="58AC7FEA" w:rsidR="008C6AD2" w:rsidRPr="00B201AB" w:rsidRDefault="003F5C80" w:rsidP="00B201AB">
      <w:pPr>
        <w:pStyle w:val="BodyText"/>
        <w:spacing w:after="200" w:line="240" w:lineRule="auto"/>
        <w:rPr>
          <w:sz w:val="18"/>
          <w:szCs w:val="18"/>
        </w:rPr>
      </w:pPr>
      <w:r w:rsidRPr="00B201AB">
        <w:rPr>
          <w:sz w:val="18"/>
          <w:szCs w:val="18"/>
        </w:rPr>
        <w:t xml:space="preserve">162. </w:t>
      </w:r>
      <w:proofErr w:type="spellStart"/>
      <w:r w:rsidRPr="00B201AB">
        <w:rPr>
          <w:sz w:val="18"/>
          <w:szCs w:val="18"/>
        </w:rPr>
        <w:t>Sivaslioglu</w:t>
      </w:r>
      <w:proofErr w:type="spellEnd"/>
      <w:r w:rsidRPr="00B201AB">
        <w:rPr>
          <w:sz w:val="18"/>
          <w:szCs w:val="18"/>
        </w:rPr>
        <w:t xml:space="preserve"> AA, </w:t>
      </w:r>
      <w:proofErr w:type="spellStart"/>
      <w:r w:rsidRPr="00B201AB">
        <w:rPr>
          <w:sz w:val="18"/>
          <w:szCs w:val="18"/>
        </w:rPr>
        <w:t>Caliskan</w:t>
      </w:r>
      <w:proofErr w:type="spellEnd"/>
      <w:r w:rsidRPr="00B201AB">
        <w:rPr>
          <w:sz w:val="18"/>
          <w:szCs w:val="18"/>
        </w:rPr>
        <w:t xml:space="preserve"> E, </w:t>
      </w:r>
      <w:proofErr w:type="spellStart"/>
      <w:r w:rsidRPr="00B201AB">
        <w:rPr>
          <w:sz w:val="18"/>
          <w:szCs w:val="18"/>
        </w:rPr>
        <w:t>Dolen</w:t>
      </w:r>
      <w:proofErr w:type="spellEnd"/>
      <w:r w:rsidRPr="00B201AB">
        <w:rPr>
          <w:sz w:val="18"/>
          <w:szCs w:val="18"/>
        </w:rPr>
        <w:t xml:space="preserve"> I, </w:t>
      </w:r>
      <w:proofErr w:type="spellStart"/>
      <w:r w:rsidRPr="00B201AB">
        <w:rPr>
          <w:sz w:val="18"/>
          <w:szCs w:val="18"/>
        </w:rPr>
        <w:t>Haberal</w:t>
      </w:r>
      <w:proofErr w:type="spellEnd"/>
      <w:r w:rsidRPr="00B201AB">
        <w:rPr>
          <w:sz w:val="18"/>
          <w:szCs w:val="18"/>
        </w:rPr>
        <w:t xml:space="preserve"> A. A randomized comparison of </w:t>
      </w:r>
      <w:proofErr w:type="spellStart"/>
      <w:r w:rsidRPr="00B201AB">
        <w:rPr>
          <w:sz w:val="18"/>
          <w:szCs w:val="18"/>
        </w:rPr>
        <w:t>transobturator</w:t>
      </w:r>
      <w:proofErr w:type="spellEnd"/>
      <w:r w:rsidRPr="00B201AB">
        <w:rPr>
          <w:sz w:val="18"/>
          <w:szCs w:val="18"/>
        </w:rPr>
        <w:t xml:space="preserve"> tape and Burch </w:t>
      </w:r>
      <w:proofErr w:type="spellStart"/>
      <w:r w:rsidRPr="00B201AB">
        <w:rPr>
          <w:sz w:val="18"/>
          <w:szCs w:val="18"/>
        </w:rPr>
        <w:t>colposuspension</w:t>
      </w:r>
      <w:proofErr w:type="spellEnd"/>
      <w:r w:rsidRPr="00B201AB">
        <w:rPr>
          <w:sz w:val="18"/>
          <w:szCs w:val="18"/>
        </w:rPr>
        <w:t xml:space="preserve"> in the treatment of female stress urinary incontinence. Int </w:t>
      </w:r>
      <w:proofErr w:type="spellStart"/>
      <w:r w:rsidRPr="00B201AB">
        <w:rPr>
          <w:sz w:val="18"/>
          <w:szCs w:val="18"/>
        </w:rPr>
        <w:t>Urogynecol</w:t>
      </w:r>
      <w:proofErr w:type="spellEnd"/>
      <w:r w:rsidRPr="00B201AB">
        <w:rPr>
          <w:sz w:val="18"/>
          <w:szCs w:val="18"/>
        </w:rPr>
        <w:t xml:space="preserve"> J Pelvic Floor </w:t>
      </w:r>
      <w:proofErr w:type="spellStart"/>
      <w:r w:rsidRPr="00B201AB">
        <w:rPr>
          <w:sz w:val="18"/>
          <w:szCs w:val="18"/>
        </w:rPr>
        <w:t>Dysfunct</w:t>
      </w:r>
      <w:proofErr w:type="spellEnd"/>
      <w:r w:rsidRPr="00B201AB">
        <w:rPr>
          <w:sz w:val="18"/>
          <w:szCs w:val="18"/>
        </w:rPr>
        <w:t xml:space="preserve"> 2007;18:1015–19. https://doi.org/10.1007/s00192-006-0279-3</w:t>
      </w:r>
    </w:p>
    <w:p w14:paraId="395E54F7" w14:textId="77777777" w:rsidR="007515E0" w:rsidRPr="00611C1E" w:rsidRDefault="007515E0" w:rsidP="007515E0">
      <w:pPr>
        <w:pStyle w:val="Heading9"/>
      </w:pPr>
      <w:r>
        <w:t>TO-MUS versus RP-MUS</w:t>
      </w:r>
    </w:p>
    <w:p w14:paraId="72EE5760" w14:textId="77777777" w:rsidR="007515E0" w:rsidRPr="00B201AB" w:rsidRDefault="007515E0" w:rsidP="00B201AB">
      <w:pPr>
        <w:pStyle w:val="BodyText"/>
        <w:spacing w:after="200" w:line="240" w:lineRule="auto"/>
        <w:rPr>
          <w:sz w:val="18"/>
          <w:szCs w:val="18"/>
        </w:rPr>
      </w:pPr>
      <w:r w:rsidRPr="00B201AB">
        <w:rPr>
          <w:sz w:val="18"/>
          <w:szCs w:val="18"/>
        </w:rPr>
        <w:t xml:space="preserve">31. </w:t>
      </w:r>
      <w:proofErr w:type="spellStart"/>
      <w:r w:rsidRPr="00B201AB">
        <w:rPr>
          <w:sz w:val="18"/>
          <w:szCs w:val="18"/>
        </w:rPr>
        <w:t>Tarcan</w:t>
      </w:r>
      <w:proofErr w:type="spellEnd"/>
      <w:r w:rsidRPr="00B201AB">
        <w:rPr>
          <w:sz w:val="18"/>
          <w:szCs w:val="18"/>
        </w:rPr>
        <w:t xml:space="preserve"> T, </w:t>
      </w:r>
      <w:proofErr w:type="spellStart"/>
      <w:r w:rsidRPr="00B201AB">
        <w:rPr>
          <w:sz w:val="18"/>
          <w:szCs w:val="18"/>
        </w:rPr>
        <w:t>Mangir</w:t>
      </w:r>
      <w:proofErr w:type="spellEnd"/>
      <w:r w:rsidRPr="00B201AB">
        <w:rPr>
          <w:sz w:val="18"/>
          <w:szCs w:val="18"/>
        </w:rPr>
        <w:t xml:space="preserve"> N, </w:t>
      </w:r>
      <w:proofErr w:type="spellStart"/>
      <w:r w:rsidRPr="00B201AB">
        <w:rPr>
          <w:sz w:val="18"/>
          <w:szCs w:val="18"/>
        </w:rPr>
        <w:t>Tanidir</w:t>
      </w:r>
      <w:proofErr w:type="spellEnd"/>
      <w:r w:rsidRPr="00B201AB">
        <w:rPr>
          <w:sz w:val="18"/>
          <w:szCs w:val="18"/>
        </w:rPr>
        <w:t xml:space="preserve"> Y, Top T, Ilker Y. A Randomised Study Comparing Transvaginal and </w:t>
      </w:r>
      <w:proofErr w:type="spellStart"/>
      <w:r w:rsidRPr="00B201AB">
        <w:rPr>
          <w:sz w:val="18"/>
          <w:szCs w:val="18"/>
        </w:rPr>
        <w:t>Transobturator</w:t>
      </w:r>
      <w:proofErr w:type="spellEnd"/>
      <w:r w:rsidRPr="00B201AB">
        <w:rPr>
          <w:sz w:val="18"/>
          <w:szCs w:val="18"/>
        </w:rPr>
        <w:t xml:space="preserve"> Mid-urethral Sling Surgeries in Women with STRESS urinary Incontinence. Proceedings of the 41st Annual Meeting of the International Continence Society (ICS), Glasgow, UK, 29 August to 2 September 2011, abstract no. 845.</w:t>
      </w:r>
    </w:p>
    <w:p w14:paraId="3C9B014D" w14:textId="77777777" w:rsidR="007515E0" w:rsidRPr="00B201AB" w:rsidRDefault="007515E0" w:rsidP="00B201AB">
      <w:pPr>
        <w:pStyle w:val="BodyText"/>
        <w:spacing w:after="200" w:line="240" w:lineRule="auto"/>
        <w:rPr>
          <w:sz w:val="18"/>
          <w:szCs w:val="18"/>
        </w:rPr>
      </w:pPr>
      <w:r w:rsidRPr="00B201AB">
        <w:rPr>
          <w:sz w:val="18"/>
          <w:szCs w:val="18"/>
        </w:rPr>
        <w:t xml:space="preserve">37. Wang W, Zhu L, Lang J. </w:t>
      </w:r>
      <w:proofErr w:type="spellStart"/>
      <w:r w:rsidRPr="00B201AB">
        <w:rPr>
          <w:sz w:val="18"/>
          <w:szCs w:val="18"/>
        </w:rPr>
        <w:t>Transobturator</w:t>
      </w:r>
      <w:proofErr w:type="spellEnd"/>
      <w:r w:rsidRPr="00B201AB">
        <w:rPr>
          <w:sz w:val="18"/>
          <w:szCs w:val="18"/>
        </w:rPr>
        <w:t xml:space="preserve"> tape procedure versus tension-free vaginal tape for treatment of stress urinary incontinence. Int J </w:t>
      </w:r>
      <w:proofErr w:type="spellStart"/>
      <w:r w:rsidRPr="00B201AB">
        <w:rPr>
          <w:sz w:val="18"/>
          <w:szCs w:val="18"/>
        </w:rPr>
        <w:t>Gynaecol</w:t>
      </w:r>
      <w:proofErr w:type="spellEnd"/>
      <w:r w:rsidRPr="00B201AB">
        <w:rPr>
          <w:sz w:val="18"/>
          <w:szCs w:val="18"/>
        </w:rPr>
        <w:t xml:space="preserve"> </w:t>
      </w:r>
      <w:proofErr w:type="spellStart"/>
      <w:r w:rsidRPr="00B201AB">
        <w:rPr>
          <w:sz w:val="18"/>
          <w:szCs w:val="18"/>
        </w:rPr>
        <w:t>Obstet</w:t>
      </w:r>
      <w:proofErr w:type="spellEnd"/>
      <w:r w:rsidRPr="00B201AB">
        <w:rPr>
          <w:sz w:val="18"/>
          <w:szCs w:val="18"/>
        </w:rPr>
        <w:t xml:space="preserve"> 2009;104:113–16. https://doi.org/ 10.1016/j.ijgo.2008.09.013</w:t>
      </w:r>
    </w:p>
    <w:p w14:paraId="218DB187" w14:textId="77777777" w:rsidR="007515E0" w:rsidRPr="00B201AB" w:rsidRDefault="007515E0" w:rsidP="00B201AB">
      <w:pPr>
        <w:pStyle w:val="BodyText"/>
        <w:spacing w:after="200" w:line="240" w:lineRule="auto"/>
        <w:rPr>
          <w:sz w:val="18"/>
          <w:szCs w:val="18"/>
        </w:rPr>
      </w:pPr>
      <w:r w:rsidRPr="00B201AB">
        <w:rPr>
          <w:sz w:val="18"/>
          <w:szCs w:val="18"/>
        </w:rPr>
        <w:t xml:space="preserve">44. de Oliveira LM, Girao MJBC, Sartori MGF, Castro RA, Fonseca ESM, Prior EL. Comparison of retro pubic TVT, pre pubic TVT and TVT </w:t>
      </w:r>
      <w:proofErr w:type="spellStart"/>
      <w:r w:rsidRPr="00B201AB">
        <w:rPr>
          <w:sz w:val="18"/>
          <w:szCs w:val="18"/>
        </w:rPr>
        <w:t>transobturator</w:t>
      </w:r>
      <w:proofErr w:type="spellEnd"/>
      <w:r w:rsidRPr="00B201AB">
        <w:rPr>
          <w:sz w:val="18"/>
          <w:szCs w:val="18"/>
        </w:rPr>
        <w:t xml:space="preserve"> in surgical treatment of women with stress urinary incontinence. Int </w:t>
      </w:r>
      <w:proofErr w:type="spellStart"/>
      <w:r w:rsidRPr="00B201AB">
        <w:rPr>
          <w:sz w:val="18"/>
          <w:szCs w:val="18"/>
        </w:rPr>
        <w:t>Urogynecol</w:t>
      </w:r>
      <w:proofErr w:type="spellEnd"/>
      <w:r w:rsidRPr="00B201AB">
        <w:rPr>
          <w:sz w:val="18"/>
          <w:szCs w:val="18"/>
        </w:rPr>
        <w:t xml:space="preserve"> J 2006;17(Suppl. 2):S253.</w:t>
      </w:r>
    </w:p>
    <w:p w14:paraId="53E0579E" w14:textId="77777777" w:rsidR="007515E0" w:rsidRPr="00B201AB" w:rsidRDefault="007515E0" w:rsidP="00B201AB">
      <w:pPr>
        <w:pStyle w:val="BodyText"/>
        <w:spacing w:after="200" w:line="240" w:lineRule="auto"/>
        <w:rPr>
          <w:sz w:val="18"/>
          <w:szCs w:val="18"/>
        </w:rPr>
      </w:pPr>
      <w:r w:rsidRPr="00B201AB">
        <w:rPr>
          <w:sz w:val="18"/>
          <w:szCs w:val="18"/>
        </w:rPr>
        <w:lastRenderedPageBreak/>
        <w:t xml:space="preserve">56. Hammoud K, Elsheikh M, Haitham M, </w:t>
      </w:r>
      <w:proofErr w:type="spellStart"/>
      <w:r w:rsidRPr="00B201AB">
        <w:rPr>
          <w:sz w:val="18"/>
          <w:szCs w:val="18"/>
        </w:rPr>
        <w:t>Fayad</w:t>
      </w:r>
      <w:proofErr w:type="spellEnd"/>
      <w:r w:rsidRPr="00B201AB">
        <w:rPr>
          <w:sz w:val="18"/>
          <w:szCs w:val="18"/>
        </w:rPr>
        <w:t xml:space="preserve"> A, </w:t>
      </w:r>
      <w:proofErr w:type="spellStart"/>
      <w:r w:rsidRPr="00B201AB">
        <w:rPr>
          <w:sz w:val="18"/>
          <w:szCs w:val="18"/>
        </w:rPr>
        <w:t>Ghamrawy</w:t>
      </w:r>
      <w:proofErr w:type="spellEnd"/>
      <w:r w:rsidRPr="00B201AB">
        <w:rPr>
          <w:sz w:val="18"/>
          <w:szCs w:val="18"/>
        </w:rPr>
        <w:t xml:space="preserve"> H, </w:t>
      </w:r>
      <w:proofErr w:type="spellStart"/>
      <w:r w:rsidRPr="00B201AB">
        <w:rPr>
          <w:sz w:val="18"/>
          <w:szCs w:val="18"/>
        </w:rPr>
        <w:t>Aboumohamed</w:t>
      </w:r>
      <w:proofErr w:type="spellEnd"/>
      <w:r w:rsidRPr="00B201AB">
        <w:rPr>
          <w:sz w:val="18"/>
          <w:szCs w:val="18"/>
        </w:rPr>
        <w:t xml:space="preserve"> A. Tension-free vaginal tape versus </w:t>
      </w:r>
      <w:proofErr w:type="spellStart"/>
      <w:r w:rsidRPr="00B201AB">
        <w:rPr>
          <w:sz w:val="18"/>
          <w:szCs w:val="18"/>
        </w:rPr>
        <w:t>transobturator</w:t>
      </w:r>
      <w:proofErr w:type="spellEnd"/>
      <w:r w:rsidRPr="00B201AB">
        <w:rPr>
          <w:sz w:val="18"/>
          <w:szCs w:val="18"/>
        </w:rPr>
        <w:t xml:space="preserve"> vaginal tape in management of female stress urinary incontinence. Long-term follow-up: which to </w:t>
      </w:r>
      <w:proofErr w:type="gramStart"/>
      <w:r w:rsidRPr="00B201AB">
        <w:rPr>
          <w:sz w:val="18"/>
          <w:szCs w:val="18"/>
        </w:rPr>
        <w:t>choose?.</w:t>
      </w:r>
      <w:proofErr w:type="gramEnd"/>
      <w:r w:rsidRPr="00B201AB">
        <w:rPr>
          <w:sz w:val="18"/>
          <w:szCs w:val="18"/>
        </w:rPr>
        <w:t xml:space="preserve"> </w:t>
      </w:r>
      <w:proofErr w:type="spellStart"/>
      <w:r w:rsidRPr="00B201AB">
        <w:rPr>
          <w:sz w:val="18"/>
          <w:szCs w:val="18"/>
        </w:rPr>
        <w:t>Urol</w:t>
      </w:r>
      <w:proofErr w:type="spellEnd"/>
      <w:r w:rsidRPr="00B201AB">
        <w:rPr>
          <w:sz w:val="18"/>
          <w:szCs w:val="18"/>
        </w:rPr>
        <w:t xml:space="preserve"> 2011;78(Suppl. 1):S209–10. https://doi.org/10.1016/j.urology.2011.07.627</w:t>
      </w:r>
    </w:p>
    <w:p w14:paraId="608E1E7D" w14:textId="77777777" w:rsidR="007515E0" w:rsidRPr="00B201AB" w:rsidRDefault="007515E0" w:rsidP="00B201AB">
      <w:pPr>
        <w:pStyle w:val="BodyText"/>
        <w:spacing w:after="200" w:line="240" w:lineRule="auto"/>
        <w:rPr>
          <w:sz w:val="18"/>
          <w:szCs w:val="18"/>
        </w:rPr>
      </w:pPr>
      <w:r w:rsidRPr="00B201AB">
        <w:rPr>
          <w:sz w:val="18"/>
          <w:szCs w:val="18"/>
        </w:rPr>
        <w:t>58. Kamel A. A Comparison Between TVT &amp; TVTO As Regards Safety. An African Experience. Proceedings of the 39th Annual Meeting of the International Continence Society (ICS), 29 September to 3 October 2009, San Francisco, CA, USA, abstract no. 830.</w:t>
      </w:r>
    </w:p>
    <w:p w14:paraId="4734964C" w14:textId="77777777" w:rsidR="007515E0" w:rsidRPr="00B201AB" w:rsidRDefault="007515E0" w:rsidP="00B201AB">
      <w:pPr>
        <w:pStyle w:val="BodyText"/>
        <w:spacing w:after="200" w:line="240" w:lineRule="auto"/>
        <w:rPr>
          <w:sz w:val="18"/>
          <w:szCs w:val="18"/>
        </w:rPr>
      </w:pPr>
      <w:r w:rsidRPr="00B201AB">
        <w:rPr>
          <w:sz w:val="18"/>
          <w:szCs w:val="18"/>
        </w:rPr>
        <w:t xml:space="preserve">64. Mansoor A, Vedrine N, </w:t>
      </w:r>
      <w:proofErr w:type="spellStart"/>
      <w:r w:rsidRPr="00B201AB">
        <w:rPr>
          <w:sz w:val="18"/>
          <w:szCs w:val="18"/>
        </w:rPr>
        <w:t>Darcq</w:t>
      </w:r>
      <w:proofErr w:type="spellEnd"/>
      <w:r w:rsidRPr="00B201AB">
        <w:rPr>
          <w:sz w:val="18"/>
          <w:szCs w:val="18"/>
        </w:rPr>
        <w:t xml:space="preserve"> C. Surgery of female urinary incontinence using </w:t>
      </w:r>
      <w:proofErr w:type="spellStart"/>
      <w:r w:rsidRPr="00B201AB">
        <w:rPr>
          <w:sz w:val="18"/>
          <w:szCs w:val="18"/>
        </w:rPr>
        <w:t>transobturator</w:t>
      </w:r>
      <w:proofErr w:type="spellEnd"/>
      <w:r w:rsidRPr="00B201AB">
        <w:rPr>
          <w:sz w:val="18"/>
          <w:szCs w:val="18"/>
        </w:rPr>
        <w:t xml:space="preserve"> tape (TOT): a prospective randomised comparative study with TVT. </w:t>
      </w:r>
      <w:proofErr w:type="spellStart"/>
      <w:r w:rsidRPr="00B201AB">
        <w:rPr>
          <w:sz w:val="18"/>
          <w:szCs w:val="18"/>
        </w:rPr>
        <w:t>Neurourol</w:t>
      </w:r>
      <w:proofErr w:type="spellEnd"/>
      <w:r w:rsidRPr="00B201AB">
        <w:rPr>
          <w:sz w:val="18"/>
          <w:szCs w:val="18"/>
        </w:rPr>
        <w:t xml:space="preserve"> </w:t>
      </w:r>
      <w:proofErr w:type="spellStart"/>
      <w:r w:rsidRPr="00B201AB">
        <w:rPr>
          <w:sz w:val="18"/>
          <w:szCs w:val="18"/>
        </w:rPr>
        <w:t>Urodyn</w:t>
      </w:r>
      <w:proofErr w:type="spellEnd"/>
      <w:r w:rsidRPr="00B201AB">
        <w:rPr>
          <w:sz w:val="18"/>
          <w:szCs w:val="18"/>
        </w:rPr>
        <w:t xml:space="preserve"> 2003;22:488–9.</w:t>
      </w:r>
    </w:p>
    <w:p w14:paraId="4776C93C" w14:textId="77777777" w:rsidR="007515E0" w:rsidRPr="00B201AB" w:rsidRDefault="007515E0" w:rsidP="00B201AB">
      <w:pPr>
        <w:pStyle w:val="BodyText"/>
        <w:spacing w:after="200" w:line="240" w:lineRule="auto"/>
        <w:rPr>
          <w:sz w:val="18"/>
          <w:szCs w:val="18"/>
        </w:rPr>
      </w:pPr>
      <w:r w:rsidRPr="00B201AB">
        <w:rPr>
          <w:sz w:val="18"/>
          <w:szCs w:val="18"/>
        </w:rPr>
        <w:t xml:space="preserve">71. Riva D, Sacca V, </w:t>
      </w:r>
      <w:proofErr w:type="spellStart"/>
      <w:r w:rsidRPr="00B201AB">
        <w:rPr>
          <w:sz w:val="18"/>
          <w:szCs w:val="18"/>
        </w:rPr>
        <w:t>Tonta</w:t>
      </w:r>
      <w:proofErr w:type="spellEnd"/>
      <w:r w:rsidRPr="00B201AB">
        <w:rPr>
          <w:sz w:val="18"/>
          <w:szCs w:val="18"/>
        </w:rPr>
        <w:t xml:space="preserve"> A, </w:t>
      </w:r>
      <w:proofErr w:type="spellStart"/>
      <w:r w:rsidRPr="00B201AB">
        <w:rPr>
          <w:sz w:val="18"/>
          <w:szCs w:val="18"/>
        </w:rPr>
        <w:t>Casolati</w:t>
      </w:r>
      <w:proofErr w:type="spellEnd"/>
      <w:r w:rsidRPr="00B201AB">
        <w:rPr>
          <w:sz w:val="18"/>
          <w:szCs w:val="18"/>
        </w:rPr>
        <w:t xml:space="preserve"> E, </w:t>
      </w:r>
      <w:proofErr w:type="spellStart"/>
      <w:r w:rsidRPr="00B201AB">
        <w:rPr>
          <w:sz w:val="18"/>
          <w:szCs w:val="18"/>
        </w:rPr>
        <w:t>Luerti</w:t>
      </w:r>
      <w:proofErr w:type="spellEnd"/>
      <w:r w:rsidRPr="00B201AB">
        <w:rPr>
          <w:sz w:val="18"/>
          <w:szCs w:val="18"/>
        </w:rPr>
        <w:t xml:space="preserve"> M, Banfi G, et al. TVT versus TOT a randomised study at 1-year follow-up. Int </w:t>
      </w:r>
      <w:proofErr w:type="spellStart"/>
      <w:r w:rsidRPr="00B201AB">
        <w:rPr>
          <w:sz w:val="18"/>
          <w:szCs w:val="18"/>
        </w:rPr>
        <w:t>Urogynecol</w:t>
      </w:r>
      <w:proofErr w:type="spellEnd"/>
      <w:r w:rsidRPr="00B201AB">
        <w:rPr>
          <w:sz w:val="18"/>
          <w:szCs w:val="18"/>
        </w:rPr>
        <w:t xml:space="preserve"> J 2006;17(Suppl. 2):S93.</w:t>
      </w:r>
    </w:p>
    <w:p w14:paraId="3312E4A8" w14:textId="77777777" w:rsidR="007515E0" w:rsidRPr="00B201AB" w:rsidRDefault="007515E0" w:rsidP="00B201AB">
      <w:pPr>
        <w:pStyle w:val="BodyText"/>
        <w:spacing w:after="200" w:line="240" w:lineRule="auto"/>
        <w:rPr>
          <w:sz w:val="18"/>
          <w:szCs w:val="18"/>
        </w:rPr>
      </w:pPr>
      <w:r w:rsidRPr="00B201AB">
        <w:rPr>
          <w:sz w:val="18"/>
          <w:szCs w:val="18"/>
        </w:rPr>
        <w:t xml:space="preserve">72. Rudnicki M, Jakobsson U, Teleman P, Group SA. One-year Comparison of </w:t>
      </w:r>
      <w:proofErr w:type="gramStart"/>
      <w:r w:rsidRPr="00B201AB">
        <w:rPr>
          <w:sz w:val="18"/>
          <w:szCs w:val="18"/>
        </w:rPr>
        <w:t>an</w:t>
      </w:r>
      <w:proofErr w:type="gramEnd"/>
      <w:r w:rsidRPr="00B201AB">
        <w:rPr>
          <w:sz w:val="18"/>
          <w:szCs w:val="18"/>
        </w:rPr>
        <w:t xml:space="preserve"> Single Incision Mini Sling and Conventional </w:t>
      </w:r>
      <w:proofErr w:type="spellStart"/>
      <w:r w:rsidRPr="00B201AB">
        <w:rPr>
          <w:sz w:val="18"/>
          <w:szCs w:val="18"/>
        </w:rPr>
        <w:t>Midurethral</w:t>
      </w:r>
      <w:proofErr w:type="spellEnd"/>
      <w:r w:rsidRPr="00B201AB">
        <w:rPr>
          <w:sz w:val="18"/>
          <w:szCs w:val="18"/>
        </w:rPr>
        <w:t xml:space="preserve"> Slings. A Randomized Controlled Study. Proceedings of the International Continence Society (ICS), 46th Annual Meeting, Tokyo, Japan, 13–16 September 2016, abstract no. 520.</w:t>
      </w:r>
    </w:p>
    <w:p w14:paraId="76DABD0C" w14:textId="77777777" w:rsidR="007515E0" w:rsidRPr="00B201AB" w:rsidRDefault="007515E0" w:rsidP="00B201AB">
      <w:pPr>
        <w:pStyle w:val="BodyText"/>
        <w:spacing w:after="200" w:line="240" w:lineRule="auto"/>
        <w:rPr>
          <w:sz w:val="18"/>
          <w:szCs w:val="18"/>
        </w:rPr>
      </w:pPr>
      <w:r w:rsidRPr="00B201AB">
        <w:rPr>
          <w:sz w:val="18"/>
          <w:szCs w:val="18"/>
        </w:rPr>
        <w:t xml:space="preserve">83. </w:t>
      </w:r>
      <w:proofErr w:type="spellStart"/>
      <w:r w:rsidRPr="00B201AB">
        <w:rPr>
          <w:sz w:val="18"/>
          <w:szCs w:val="18"/>
        </w:rPr>
        <w:t>Aigmüller</w:t>
      </w:r>
      <w:proofErr w:type="spellEnd"/>
      <w:r w:rsidRPr="00B201AB">
        <w:rPr>
          <w:sz w:val="18"/>
          <w:szCs w:val="18"/>
        </w:rPr>
        <w:t xml:space="preserve"> T, </w:t>
      </w:r>
      <w:proofErr w:type="spellStart"/>
      <w:r w:rsidRPr="00B201AB">
        <w:rPr>
          <w:sz w:val="18"/>
          <w:szCs w:val="18"/>
        </w:rPr>
        <w:t>Tammaa</w:t>
      </w:r>
      <w:proofErr w:type="spellEnd"/>
      <w:r w:rsidRPr="00B201AB">
        <w:rPr>
          <w:sz w:val="18"/>
          <w:szCs w:val="18"/>
        </w:rPr>
        <w:t xml:space="preserve"> A, </w:t>
      </w:r>
      <w:proofErr w:type="spellStart"/>
      <w:r w:rsidRPr="00B201AB">
        <w:rPr>
          <w:sz w:val="18"/>
          <w:szCs w:val="18"/>
        </w:rPr>
        <w:t>Tamussino</w:t>
      </w:r>
      <w:proofErr w:type="spellEnd"/>
      <w:r w:rsidRPr="00B201AB">
        <w:rPr>
          <w:sz w:val="18"/>
          <w:szCs w:val="18"/>
        </w:rPr>
        <w:t xml:space="preserve"> K, Hanzal E, </w:t>
      </w:r>
      <w:proofErr w:type="spellStart"/>
      <w:r w:rsidRPr="00B201AB">
        <w:rPr>
          <w:sz w:val="18"/>
          <w:szCs w:val="18"/>
        </w:rPr>
        <w:t>Umek</w:t>
      </w:r>
      <w:proofErr w:type="spellEnd"/>
      <w:r w:rsidRPr="00B201AB">
        <w:rPr>
          <w:sz w:val="18"/>
          <w:szCs w:val="18"/>
        </w:rPr>
        <w:t xml:space="preserve"> W, </w:t>
      </w:r>
      <w:proofErr w:type="spellStart"/>
      <w:r w:rsidRPr="00B201AB">
        <w:rPr>
          <w:sz w:val="18"/>
          <w:szCs w:val="18"/>
        </w:rPr>
        <w:t>Kölle</w:t>
      </w:r>
      <w:proofErr w:type="spellEnd"/>
      <w:r w:rsidRPr="00B201AB">
        <w:rPr>
          <w:sz w:val="18"/>
          <w:szCs w:val="18"/>
        </w:rPr>
        <w:t xml:space="preserve"> D, et al. Retropubic vs. </w:t>
      </w:r>
      <w:proofErr w:type="spellStart"/>
      <w:r w:rsidRPr="00B201AB">
        <w:rPr>
          <w:sz w:val="18"/>
          <w:szCs w:val="18"/>
        </w:rPr>
        <w:t>transobturator</w:t>
      </w:r>
      <w:proofErr w:type="spellEnd"/>
      <w:r w:rsidRPr="00B201AB">
        <w:rPr>
          <w:sz w:val="18"/>
          <w:szCs w:val="18"/>
        </w:rPr>
        <w:t xml:space="preserve"> tension-free vaginal tape for female stress urinary incontinence: 3-month results of a randomized controlled trial. Int </w:t>
      </w:r>
      <w:proofErr w:type="spellStart"/>
      <w:r w:rsidRPr="00B201AB">
        <w:rPr>
          <w:sz w:val="18"/>
          <w:szCs w:val="18"/>
        </w:rPr>
        <w:t>Urogynecol</w:t>
      </w:r>
      <w:proofErr w:type="spellEnd"/>
      <w:r w:rsidRPr="00B201AB">
        <w:rPr>
          <w:sz w:val="18"/>
          <w:szCs w:val="18"/>
        </w:rPr>
        <w:t xml:space="preserve"> J 2014;25:1023–30. https://doi.org/10.1007/s00192-014-2384-z</w:t>
      </w:r>
    </w:p>
    <w:p w14:paraId="40936228" w14:textId="77777777" w:rsidR="007515E0" w:rsidRPr="00B201AB" w:rsidRDefault="007515E0" w:rsidP="00B201AB">
      <w:pPr>
        <w:pStyle w:val="BodyText"/>
        <w:spacing w:after="200" w:line="240" w:lineRule="auto"/>
        <w:rPr>
          <w:sz w:val="18"/>
          <w:szCs w:val="18"/>
        </w:rPr>
      </w:pPr>
      <w:r w:rsidRPr="00B201AB">
        <w:rPr>
          <w:sz w:val="18"/>
          <w:szCs w:val="18"/>
        </w:rPr>
        <w:t xml:space="preserve">84. </w:t>
      </w:r>
      <w:proofErr w:type="spellStart"/>
      <w:r w:rsidRPr="00B201AB">
        <w:rPr>
          <w:sz w:val="18"/>
          <w:szCs w:val="18"/>
        </w:rPr>
        <w:t>Aniuliene</w:t>
      </w:r>
      <w:proofErr w:type="spellEnd"/>
      <w:r w:rsidRPr="00B201AB">
        <w:rPr>
          <w:sz w:val="18"/>
          <w:szCs w:val="18"/>
        </w:rPr>
        <w:t xml:space="preserve"> R. Tension-free vaginal tape versus tension-free vaginal tape obturator (inside-outside) in the surgical treatment of female stress urinary incontinence. </w:t>
      </w:r>
      <w:proofErr w:type="spellStart"/>
      <w:r w:rsidRPr="00B201AB">
        <w:rPr>
          <w:sz w:val="18"/>
          <w:szCs w:val="18"/>
        </w:rPr>
        <w:t>Medicina</w:t>
      </w:r>
      <w:proofErr w:type="spellEnd"/>
      <w:r w:rsidRPr="00B201AB">
        <w:rPr>
          <w:sz w:val="18"/>
          <w:szCs w:val="18"/>
        </w:rPr>
        <w:t xml:space="preserve"> 2009;45:639–43. https://doi.org/10.3390/medicina45080083</w:t>
      </w:r>
    </w:p>
    <w:p w14:paraId="7129687A" w14:textId="77777777" w:rsidR="007515E0" w:rsidRPr="00B201AB" w:rsidRDefault="007515E0" w:rsidP="00B201AB">
      <w:pPr>
        <w:pStyle w:val="BodyText"/>
        <w:spacing w:after="200" w:line="240" w:lineRule="auto"/>
        <w:rPr>
          <w:sz w:val="18"/>
          <w:szCs w:val="18"/>
        </w:rPr>
      </w:pPr>
      <w:r w:rsidRPr="00B201AB">
        <w:rPr>
          <w:sz w:val="18"/>
          <w:szCs w:val="18"/>
        </w:rPr>
        <w:t xml:space="preserve">86. </w:t>
      </w:r>
      <w:proofErr w:type="spellStart"/>
      <w:r w:rsidRPr="00B201AB">
        <w:rPr>
          <w:sz w:val="18"/>
          <w:szCs w:val="18"/>
        </w:rPr>
        <w:t>Araco</w:t>
      </w:r>
      <w:proofErr w:type="spellEnd"/>
      <w:r w:rsidRPr="00B201AB">
        <w:rPr>
          <w:sz w:val="18"/>
          <w:szCs w:val="18"/>
        </w:rPr>
        <w:t xml:space="preserve"> F, </w:t>
      </w:r>
      <w:proofErr w:type="spellStart"/>
      <w:r w:rsidRPr="00B201AB">
        <w:rPr>
          <w:sz w:val="18"/>
          <w:szCs w:val="18"/>
        </w:rPr>
        <w:t>Gravante</w:t>
      </w:r>
      <w:proofErr w:type="spellEnd"/>
      <w:r w:rsidRPr="00B201AB">
        <w:rPr>
          <w:sz w:val="18"/>
          <w:szCs w:val="18"/>
        </w:rPr>
        <w:t xml:space="preserve"> G, Sorge R, Overton J, De Vita D, Sesti F, Piccione E. TVT-O vs TVT: a randomized trial in patients with different degrees of urinary stress incontinence. Int </w:t>
      </w:r>
      <w:proofErr w:type="spellStart"/>
      <w:r w:rsidRPr="00B201AB">
        <w:rPr>
          <w:sz w:val="18"/>
          <w:szCs w:val="18"/>
        </w:rPr>
        <w:t>Urogynecol</w:t>
      </w:r>
      <w:proofErr w:type="spellEnd"/>
      <w:r w:rsidRPr="00B201AB">
        <w:rPr>
          <w:sz w:val="18"/>
          <w:szCs w:val="18"/>
        </w:rPr>
        <w:t xml:space="preserve"> J Pelvic Floor </w:t>
      </w:r>
      <w:proofErr w:type="spellStart"/>
      <w:r w:rsidRPr="00B201AB">
        <w:rPr>
          <w:sz w:val="18"/>
          <w:szCs w:val="18"/>
        </w:rPr>
        <w:t>Dysfunct</w:t>
      </w:r>
      <w:proofErr w:type="spellEnd"/>
      <w:r w:rsidRPr="00B201AB">
        <w:rPr>
          <w:sz w:val="18"/>
          <w:szCs w:val="18"/>
        </w:rPr>
        <w:t xml:space="preserve"> 2008;19:917–26. https://doi.org/10.1007/s00192-007-0554-y </w:t>
      </w:r>
    </w:p>
    <w:p w14:paraId="1C61E30C" w14:textId="77777777" w:rsidR="007515E0" w:rsidRPr="00B201AB" w:rsidRDefault="007515E0" w:rsidP="00B201AB">
      <w:pPr>
        <w:pStyle w:val="BodyText"/>
        <w:spacing w:after="200" w:line="240" w:lineRule="auto"/>
        <w:rPr>
          <w:sz w:val="18"/>
          <w:szCs w:val="18"/>
        </w:rPr>
      </w:pPr>
      <w:r w:rsidRPr="00B201AB">
        <w:rPr>
          <w:sz w:val="18"/>
          <w:szCs w:val="18"/>
        </w:rPr>
        <w:t xml:space="preserve">94. </w:t>
      </w:r>
      <w:proofErr w:type="spellStart"/>
      <w:r w:rsidRPr="00B201AB">
        <w:rPr>
          <w:sz w:val="18"/>
          <w:szCs w:val="18"/>
        </w:rPr>
        <w:t>Krofta</w:t>
      </w:r>
      <w:proofErr w:type="spellEnd"/>
      <w:r w:rsidRPr="00B201AB">
        <w:rPr>
          <w:sz w:val="18"/>
          <w:szCs w:val="18"/>
        </w:rPr>
        <w:t xml:space="preserve"> L, </w:t>
      </w:r>
      <w:proofErr w:type="spellStart"/>
      <w:r w:rsidRPr="00B201AB">
        <w:rPr>
          <w:sz w:val="18"/>
          <w:szCs w:val="18"/>
        </w:rPr>
        <w:t>Feyereisl</w:t>
      </w:r>
      <w:proofErr w:type="spellEnd"/>
      <w:r w:rsidRPr="00B201AB">
        <w:rPr>
          <w:sz w:val="18"/>
          <w:szCs w:val="18"/>
        </w:rPr>
        <w:t xml:space="preserve"> J, </w:t>
      </w:r>
      <w:proofErr w:type="spellStart"/>
      <w:r w:rsidRPr="00B201AB">
        <w:rPr>
          <w:sz w:val="18"/>
          <w:szCs w:val="18"/>
        </w:rPr>
        <w:t>Otcenásek</w:t>
      </w:r>
      <w:proofErr w:type="spellEnd"/>
      <w:r w:rsidRPr="00B201AB">
        <w:rPr>
          <w:sz w:val="18"/>
          <w:szCs w:val="18"/>
        </w:rPr>
        <w:t xml:space="preserve"> M, </w:t>
      </w:r>
      <w:proofErr w:type="spellStart"/>
      <w:r w:rsidRPr="00B201AB">
        <w:rPr>
          <w:sz w:val="18"/>
          <w:szCs w:val="18"/>
        </w:rPr>
        <w:t>Velebil</w:t>
      </w:r>
      <w:proofErr w:type="spellEnd"/>
      <w:r w:rsidRPr="00B201AB">
        <w:rPr>
          <w:sz w:val="18"/>
          <w:szCs w:val="18"/>
        </w:rPr>
        <w:t xml:space="preserve"> P, </w:t>
      </w:r>
      <w:proofErr w:type="spellStart"/>
      <w:r w:rsidRPr="00B201AB">
        <w:rPr>
          <w:sz w:val="18"/>
          <w:szCs w:val="18"/>
        </w:rPr>
        <w:t>Kasíková</w:t>
      </w:r>
      <w:proofErr w:type="spellEnd"/>
      <w:r w:rsidRPr="00B201AB">
        <w:rPr>
          <w:sz w:val="18"/>
          <w:szCs w:val="18"/>
        </w:rPr>
        <w:t xml:space="preserve"> E, </w:t>
      </w:r>
      <w:proofErr w:type="spellStart"/>
      <w:r w:rsidRPr="00B201AB">
        <w:rPr>
          <w:sz w:val="18"/>
          <w:szCs w:val="18"/>
        </w:rPr>
        <w:t>Krcmár</w:t>
      </w:r>
      <w:proofErr w:type="spellEnd"/>
      <w:r w:rsidRPr="00B201AB">
        <w:rPr>
          <w:sz w:val="18"/>
          <w:szCs w:val="18"/>
        </w:rPr>
        <w:t xml:space="preserve"> M. TVT and TVT-O for surgical treatment of primary stress urinary incontinence: prospective randomized trial. Int </w:t>
      </w:r>
      <w:proofErr w:type="spellStart"/>
      <w:r w:rsidRPr="00B201AB">
        <w:rPr>
          <w:sz w:val="18"/>
          <w:szCs w:val="18"/>
        </w:rPr>
        <w:t>Urogynecol</w:t>
      </w:r>
      <w:proofErr w:type="spellEnd"/>
      <w:r w:rsidRPr="00B201AB">
        <w:rPr>
          <w:sz w:val="18"/>
          <w:szCs w:val="18"/>
        </w:rPr>
        <w:t xml:space="preserve"> J 2010;21:141–8. https://doi.org/10.1007/s00192-009-1027-2</w:t>
      </w:r>
    </w:p>
    <w:p w14:paraId="7250146E" w14:textId="34404B78" w:rsidR="007515E0" w:rsidRPr="00B201AB" w:rsidRDefault="007515E0" w:rsidP="00B201AB">
      <w:pPr>
        <w:pStyle w:val="BodyText"/>
        <w:spacing w:after="200" w:line="240" w:lineRule="auto"/>
        <w:rPr>
          <w:sz w:val="18"/>
          <w:szCs w:val="18"/>
        </w:rPr>
      </w:pPr>
      <w:r w:rsidRPr="00B201AB">
        <w:rPr>
          <w:sz w:val="18"/>
          <w:szCs w:val="18"/>
        </w:rPr>
        <w:t xml:space="preserve">96. </w:t>
      </w:r>
      <w:proofErr w:type="spellStart"/>
      <w:r w:rsidRPr="00B201AB">
        <w:rPr>
          <w:sz w:val="18"/>
          <w:szCs w:val="18"/>
        </w:rPr>
        <w:t>Laurikainen</w:t>
      </w:r>
      <w:proofErr w:type="spellEnd"/>
      <w:r w:rsidRPr="00B201AB">
        <w:rPr>
          <w:sz w:val="18"/>
          <w:szCs w:val="18"/>
        </w:rPr>
        <w:t xml:space="preserve"> E, </w:t>
      </w:r>
      <w:proofErr w:type="spellStart"/>
      <w:r w:rsidRPr="00B201AB">
        <w:rPr>
          <w:sz w:val="18"/>
          <w:szCs w:val="18"/>
        </w:rPr>
        <w:t>Valpas</w:t>
      </w:r>
      <w:proofErr w:type="spellEnd"/>
      <w:r w:rsidRPr="00B201AB">
        <w:rPr>
          <w:sz w:val="18"/>
          <w:szCs w:val="18"/>
        </w:rPr>
        <w:t xml:space="preserve"> A, </w:t>
      </w:r>
      <w:proofErr w:type="spellStart"/>
      <w:r w:rsidRPr="00B201AB">
        <w:rPr>
          <w:sz w:val="18"/>
          <w:szCs w:val="18"/>
        </w:rPr>
        <w:t>Kivelä</w:t>
      </w:r>
      <w:proofErr w:type="spellEnd"/>
      <w:r w:rsidRPr="00B201AB">
        <w:rPr>
          <w:sz w:val="18"/>
          <w:szCs w:val="18"/>
        </w:rPr>
        <w:t xml:space="preserve"> A, </w:t>
      </w:r>
      <w:proofErr w:type="spellStart"/>
      <w:r w:rsidRPr="00B201AB">
        <w:rPr>
          <w:sz w:val="18"/>
          <w:szCs w:val="18"/>
        </w:rPr>
        <w:t>Kalliola</w:t>
      </w:r>
      <w:proofErr w:type="spellEnd"/>
      <w:r w:rsidRPr="00B201AB">
        <w:rPr>
          <w:sz w:val="18"/>
          <w:szCs w:val="18"/>
        </w:rPr>
        <w:t xml:space="preserve"> T, Rinne K, Takala T, Nilsson CG. Retropubic compared with </w:t>
      </w:r>
      <w:proofErr w:type="spellStart"/>
      <w:r w:rsidRPr="00B201AB">
        <w:rPr>
          <w:sz w:val="18"/>
          <w:szCs w:val="18"/>
        </w:rPr>
        <w:t>transobturator</w:t>
      </w:r>
      <w:proofErr w:type="spellEnd"/>
      <w:r w:rsidRPr="00B201AB">
        <w:rPr>
          <w:sz w:val="18"/>
          <w:szCs w:val="18"/>
        </w:rPr>
        <w:t xml:space="preserve"> tape placement in treatment of urinary incontinence: a randomized controlled trial.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2007;109:4–11. </w:t>
      </w:r>
      <w:hyperlink r:id="rId51" w:tooltip="This link goes to the Laurikainen et al (2007) article" w:history="1">
        <w:r w:rsidRPr="00B201AB">
          <w:rPr>
            <w:rStyle w:val="Hyperlink"/>
            <w:sz w:val="18"/>
            <w:szCs w:val="18"/>
          </w:rPr>
          <w:t>https://doi.org/10.1097/01.AOG.0000249607.82768.a1</w:t>
        </w:r>
      </w:hyperlink>
    </w:p>
    <w:p w14:paraId="052CAE56" w14:textId="78E8D91A" w:rsidR="007515E0" w:rsidRPr="00B201AB" w:rsidRDefault="007515E0" w:rsidP="00B201AB">
      <w:pPr>
        <w:pStyle w:val="BodyText"/>
        <w:spacing w:after="200" w:line="240" w:lineRule="auto"/>
        <w:rPr>
          <w:sz w:val="18"/>
          <w:szCs w:val="18"/>
        </w:rPr>
      </w:pPr>
      <w:r w:rsidRPr="00B201AB">
        <w:rPr>
          <w:sz w:val="18"/>
          <w:szCs w:val="18"/>
        </w:rPr>
        <w:t xml:space="preserve">97. Meschia M, </w:t>
      </w:r>
      <w:proofErr w:type="spellStart"/>
      <w:r w:rsidRPr="00B201AB">
        <w:rPr>
          <w:sz w:val="18"/>
          <w:szCs w:val="18"/>
        </w:rPr>
        <w:t>Bertozzi</w:t>
      </w:r>
      <w:proofErr w:type="spellEnd"/>
      <w:r w:rsidRPr="00B201AB">
        <w:rPr>
          <w:sz w:val="18"/>
          <w:szCs w:val="18"/>
        </w:rPr>
        <w:t xml:space="preserve"> R, </w:t>
      </w:r>
      <w:proofErr w:type="spellStart"/>
      <w:r w:rsidRPr="00B201AB">
        <w:rPr>
          <w:sz w:val="18"/>
          <w:szCs w:val="18"/>
        </w:rPr>
        <w:t>Pifarotti</w:t>
      </w:r>
      <w:proofErr w:type="spellEnd"/>
      <w:r w:rsidRPr="00B201AB">
        <w:rPr>
          <w:sz w:val="18"/>
          <w:szCs w:val="18"/>
        </w:rPr>
        <w:t xml:space="preserve"> P, </w:t>
      </w:r>
      <w:proofErr w:type="spellStart"/>
      <w:r w:rsidRPr="00B201AB">
        <w:rPr>
          <w:sz w:val="18"/>
          <w:szCs w:val="18"/>
        </w:rPr>
        <w:t>Baccichet</w:t>
      </w:r>
      <w:proofErr w:type="spellEnd"/>
      <w:r w:rsidRPr="00B201AB">
        <w:rPr>
          <w:sz w:val="18"/>
          <w:szCs w:val="18"/>
        </w:rPr>
        <w:t xml:space="preserve"> R, Bernasconi F, Guercio E, et al. Peri-operative </w:t>
      </w:r>
      <w:proofErr w:type="gramStart"/>
      <w:r w:rsidRPr="00B201AB">
        <w:rPr>
          <w:sz w:val="18"/>
          <w:szCs w:val="18"/>
        </w:rPr>
        <w:t>morbidity</w:t>
      </w:r>
      <w:proofErr w:type="gramEnd"/>
      <w:r w:rsidRPr="00B201AB">
        <w:rPr>
          <w:sz w:val="18"/>
          <w:szCs w:val="18"/>
        </w:rPr>
        <w:t xml:space="preserve"> and early results of a randomised trial comparing TVT and TVT-O. Int </w:t>
      </w:r>
      <w:proofErr w:type="spellStart"/>
      <w:r w:rsidRPr="00B201AB">
        <w:rPr>
          <w:sz w:val="18"/>
          <w:szCs w:val="18"/>
        </w:rPr>
        <w:t>Urogynecol</w:t>
      </w:r>
      <w:proofErr w:type="spellEnd"/>
      <w:r w:rsidRPr="00B201AB">
        <w:rPr>
          <w:sz w:val="18"/>
          <w:szCs w:val="18"/>
        </w:rPr>
        <w:t xml:space="preserve"> J Pelvic Floor </w:t>
      </w:r>
      <w:proofErr w:type="spellStart"/>
      <w:r w:rsidRPr="00B201AB">
        <w:rPr>
          <w:sz w:val="18"/>
          <w:szCs w:val="18"/>
        </w:rPr>
        <w:t>Dysfunct</w:t>
      </w:r>
      <w:proofErr w:type="spellEnd"/>
      <w:r w:rsidRPr="00B201AB">
        <w:rPr>
          <w:sz w:val="18"/>
          <w:szCs w:val="18"/>
        </w:rPr>
        <w:t xml:space="preserve"> 2007;18:1257–61. </w:t>
      </w:r>
      <w:hyperlink r:id="rId52" w:tooltip="This link goes to the Meschia et al (2007) article" w:history="1">
        <w:r w:rsidRPr="00B201AB">
          <w:rPr>
            <w:rStyle w:val="Hyperlink"/>
            <w:sz w:val="18"/>
            <w:szCs w:val="18"/>
          </w:rPr>
          <w:t>https://doi.org/10.1007/s00192-007-0334-8</w:t>
        </w:r>
      </w:hyperlink>
    </w:p>
    <w:p w14:paraId="1E28BBC9" w14:textId="2D5D25F0" w:rsidR="007515E0" w:rsidRPr="00B201AB" w:rsidRDefault="007515E0" w:rsidP="00B201AB">
      <w:pPr>
        <w:pStyle w:val="BodyText"/>
        <w:spacing w:after="200" w:line="240" w:lineRule="auto"/>
        <w:rPr>
          <w:sz w:val="18"/>
          <w:szCs w:val="18"/>
        </w:rPr>
      </w:pPr>
      <w:r w:rsidRPr="00B201AB">
        <w:rPr>
          <w:sz w:val="18"/>
          <w:szCs w:val="18"/>
        </w:rPr>
        <w:t xml:space="preserve">98. </w:t>
      </w:r>
      <w:proofErr w:type="spellStart"/>
      <w:r w:rsidRPr="00B201AB">
        <w:rPr>
          <w:sz w:val="18"/>
          <w:szCs w:val="18"/>
        </w:rPr>
        <w:t>Rechberger</w:t>
      </w:r>
      <w:proofErr w:type="spellEnd"/>
      <w:r w:rsidRPr="00B201AB">
        <w:rPr>
          <w:sz w:val="18"/>
          <w:szCs w:val="18"/>
        </w:rPr>
        <w:t xml:space="preserve"> T, </w:t>
      </w:r>
      <w:proofErr w:type="spellStart"/>
      <w:r w:rsidRPr="00B201AB">
        <w:rPr>
          <w:sz w:val="18"/>
          <w:szCs w:val="18"/>
        </w:rPr>
        <w:t>Futyma</w:t>
      </w:r>
      <w:proofErr w:type="spellEnd"/>
      <w:r w:rsidRPr="00B201AB">
        <w:rPr>
          <w:sz w:val="18"/>
          <w:szCs w:val="18"/>
        </w:rPr>
        <w:t xml:space="preserve"> K, Jankiewicz K, Adamiak A, Skorupski P. The clinical effectiveness of retropubic (IVS-02) and </w:t>
      </w:r>
      <w:proofErr w:type="spellStart"/>
      <w:r w:rsidRPr="00B201AB">
        <w:rPr>
          <w:sz w:val="18"/>
          <w:szCs w:val="18"/>
        </w:rPr>
        <w:t>transobturator</w:t>
      </w:r>
      <w:proofErr w:type="spellEnd"/>
      <w:r w:rsidRPr="00B201AB">
        <w:rPr>
          <w:sz w:val="18"/>
          <w:szCs w:val="18"/>
        </w:rPr>
        <w:t xml:space="preserve"> (IVS-04) </w:t>
      </w:r>
      <w:proofErr w:type="spellStart"/>
      <w:r w:rsidRPr="00B201AB">
        <w:rPr>
          <w:sz w:val="18"/>
          <w:szCs w:val="18"/>
        </w:rPr>
        <w:t>midurethral</w:t>
      </w:r>
      <w:proofErr w:type="spellEnd"/>
      <w:r w:rsidRPr="00B201AB">
        <w:rPr>
          <w:sz w:val="18"/>
          <w:szCs w:val="18"/>
        </w:rPr>
        <w:t xml:space="preserve"> slings: randomized trial. </w:t>
      </w:r>
      <w:proofErr w:type="spellStart"/>
      <w:r w:rsidRPr="00B201AB">
        <w:rPr>
          <w:sz w:val="18"/>
          <w:szCs w:val="18"/>
        </w:rPr>
        <w:t>Eur</w:t>
      </w:r>
      <w:proofErr w:type="spellEnd"/>
      <w:r w:rsidRPr="00B201AB">
        <w:rPr>
          <w:sz w:val="18"/>
          <w:szCs w:val="18"/>
        </w:rPr>
        <w:t xml:space="preserve"> </w:t>
      </w:r>
      <w:proofErr w:type="spellStart"/>
      <w:r w:rsidRPr="00B201AB">
        <w:rPr>
          <w:sz w:val="18"/>
          <w:szCs w:val="18"/>
        </w:rPr>
        <w:t>Urol</w:t>
      </w:r>
      <w:proofErr w:type="spellEnd"/>
      <w:r w:rsidRPr="00B201AB">
        <w:rPr>
          <w:sz w:val="18"/>
          <w:szCs w:val="18"/>
        </w:rPr>
        <w:t xml:space="preserve"> 2009;56:24–30.</w:t>
      </w:r>
      <w:hyperlink r:id="rId53" w:tooltip="This link goes to the Rechberger et al (2009) article" w:history="1">
        <w:r w:rsidRPr="00A908DF">
          <w:rPr>
            <w:rStyle w:val="Hyperlink"/>
            <w:sz w:val="18"/>
            <w:szCs w:val="18"/>
          </w:rPr>
          <w:t xml:space="preserve"> https://doi.org/10.1016/j.eururo.2009.02.038</w:t>
        </w:r>
      </w:hyperlink>
    </w:p>
    <w:p w14:paraId="1BB8DDBF" w14:textId="77777777" w:rsidR="007515E0" w:rsidRPr="00B201AB" w:rsidRDefault="007515E0" w:rsidP="00B201AB">
      <w:pPr>
        <w:pStyle w:val="BodyText"/>
        <w:spacing w:after="200" w:line="240" w:lineRule="auto"/>
        <w:rPr>
          <w:sz w:val="18"/>
          <w:szCs w:val="18"/>
        </w:rPr>
      </w:pPr>
      <w:r w:rsidRPr="00B201AB">
        <w:rPr>
          <w:sz w:val="18"/>
          <w:szCs w:val="18"/>
        </w:rPr>
        <w:t xml:space="preserve">99. Richter HE, Albo ME, </w:t>
      </w:r>
      <w:proofErr w:type="spellStart"/>
      <w:r w:rsidRPr="00B201AB">
        <w:rPr>
          <w:sz w:val="18"/>
          <w:szCs w:val="18"/>
        </w:rPr>
        <w:t>Zyczynski</w:t>
      </w:r>
      <w:proofErr w:type="spellEnd"/>
      <w:r w:rsidRPr="00B201AB">
        <w:rPr>
          <w:sz w:val="18"/>
          <w:szCs w:val="18"/>
        </w:rPr>
        <w:t xml:space="preserve"> HM, Kenton K, Norton PA, Sirls LT, et al. Retropubic versus </w:t>
      </w:r>
      <w:proofErr w:type="spellStart"/>
      <w:r w:rsidRPr="00B201AB">
        <w:rPr>
          <w:sz w:val="18"/>
          <w:szCs w:val="18"/>
        </w:rPr>
        <w:t>transobturator</w:t>
      </w:r>
      <w:proofErr w:type="spellEnd"/>
      <w:r w:rsidRPr="00B201AB">
        <w:rPr>
          <w:sz w:val="18"/>
          <w:szCs w:val="18"/>
        </w:rPr>
        <w:t xml:space="preserve"> </w:t>
      </w:r>
      <w:proofErr w:type="spellStart"/>
      <w:r w:rsidRPr="00B201AB">
        <w:rPr>
          <w:sz w:val="18"/>
          <w:szCs w:val="18"/>
        </w:rPr>
        <w:t>midurethral</w:t>
      </w:r>
      <w:proofErr w:type="spellEnd"/>
      <w:r w:rsidRPr="00B201AB">
        <w:rPr>
          <w:sz w:val="18"/>
          <w:szCs w:val="18"/>
        </w:rPr>
        <w:t xml:space="preserve"> slings for stress incontinence. N Engl J Med 2010;362:2066–76. https://doi.org/10.1056/NEJMoa0912658</w:t>
      </w:r>
    </w:p>
    <w:p w14:paraId="1E1FA60E" w14:textId="77777777" w:rsidR="007515E0" w:rsidRPr="00B201AB" w:rsidRDefault="007515E0" w:rsidP="00B201AB">
      <w:pPr>
        <w:pStyle w:val="BodyText"/>
        <w:spacing w:after="200" w:line="240" w:lineRule="auto"/>
        <w:rPr>
          <w:sz w:val="18"/>
          <w:szCs w:val="18"/>
        </w:rPr>
      </w:pPr>
      <w:r w:rsidRPr="00B201AB">
        <w:rPr>
          <w:sz w:val="18"/>
          <w:szCs w:val="18"/>
        </w:rPr>
        <w:t xml:space="preserve">107. Lee KS, Han DH, Choi YS, Yum SH, Song SH, Doo CK, Choo MS. A prospective trial comparing tension-free vaginal tape and </w:t>
      </w:r>
      <w:proofErr w:type="spellStart"/>
      <w:r w:rsidRPr="00B201AB">
        <w:rPr>
          <w:sz w:val="18"/>
          <w:szCs w:val="18"/>
        </w:rPr>
        <w:t>transobturator</w:t>
      </w:r>
      <w:proofErr w:type="spellEnd"/>
      <w:r w:rsidRPr="00B201AB">
        <w:rPr>
          <w:sz w:val="18"/>
          <w:szCs w:val="18"/>
        </w:rPr>
        <w:t xml:space="preserve"> vaginal tape inside-out for the surgical treatment of female stress urinary incontinence: 1-year </w:t>
      </w:r>
      <w:proofErr w:type="spellStart"/>
      <w:r w:rsidRPr="00B201AB">
        <w:rPr>
          <w:sz w:val="18"/>
          <w:szCs w:val="18"/>
        </w:rPr>
        <w:t>followup</w:t>
      </w:r>
      <w:proofErr w:type="spellEnd"/>
      <w:r w:rsidRPr="00B201AB">
        <w:rPr>
          <w:sz w:val="18"/>
          <w:szCs w:val="18"/>
        </w:rPr>
        <w:t xml:space="preserve">. J </w:t>
      </w:r>
      <w:proofErr w:type="spellStart"/>
      <w:r w:rsidRPr="00B201AB">
        <w:rPr>
          <w:sz w:val="18"/>
          <w:szCs w:val="18"/>
        </w:rPr>
        <w:t>Urol</w:t>
      </w:r>
      <w:proofErr w:type="spellEnd"/>
      <w:r w:rsidRPr="00B201AB">
        <w:rPr>
          <w:sz w:val="18"/>
          <w:szCs w:val="18"/>
        </w:rPr>
        <w:t xml:space="preserve"> 2007;177:214–18. https://doi.org/ 10.1016/j.juro.2006.08.063</w:t>
      </w:r>
    </w:p>
    <w:p w14:paraId="3F322D5E" w14:textId="77777777" w:rsidR="007515E0" w:rsidRPr="00B201AB" w:rsidRDefault="007515E0" w:rsidP="00B201AB">
      <w:pPr>
        <w:pStyle w:val="BodyText"/>
        <w:spacing w:after="200" w:line="240" w:lineRule="auto"/>
        <w:rPr>
          <w:sz w:val="18"/>
          <w:szCs w:val="18"/>
        </w:rPr>
      </w:pPr>
      <w:r w:rsidRPr="00B201AB">
        <w:rPr>
          <w:sz w:val="18"/>
          <w:szCs w:val="18"/>
        </w:rPr>
        <w:t xml:space="preserve">110. Nerli RB, Kumar AG, Koura A, Prabha V, Alur SB. </w:t>
      </w:r>
      <w:proofErr w:type="spellStart"/>
      <w:r w:rsidRPr="00B201AB">
        <w:rPr>
          <w:sz w:val="18"/>
          <w:szCs w:val="18"/>
        </w:rPr>
        <w:t>Transobturator</w:t>
      </w:r>
      <w:proofErr w:type="spellEnd"/>
      <w:r w:rsidRPr="00B201AB">
        <w:rPr>
          <w:sz w:val="18"/>
          <w:szCs w:val="18"/>
        </w:rPr>
        <w:t xml:space="preserve"> vaginal tape in comparison to tension-free vaginal tape: a prospective trial with a minimum 12 </w:t>
      </w:r>
      <w:proofErr w:type="gramStart"/>
      <w:r w:rsidRPr="00B201AB">
        <w:rPr>
          <w:sz w:val="18"/>
          <w:szCs w:val="18"/>
        </w:rPr>
        <w:t>months</w:t>
      </w:r>
      <w:proofErr w:type="gramEnd"/>
      <w:r w:rsidRPr="00B201AB">
        <w:rPr>
          <w:sz w:val="18"/>
          <w:szCs w:val="18"/>
        </w:rPr>
        <w:t xml:space="preserve"> follow-up. Indian J </w:t>
      </w:r>
      <w:proofErr w:type="spellStart"/>
      <w:r w:rsidRPr="00B201AB">
        <w:rPr>
          <w:sz w:val="18"/>
          <w:szCs w:val="18"/>
        </w:rPr>
        <w:t>Urol</w:t>
      </w:r>
      <w:proofErr w:type="spellEnd"/>
      <w:r w:rsidRPr="00B201AB">
        <w:rPr>
          <w:sz w:val="18"/>
          <w:szCs w:val="18"/>
        </w:rPr>
        <w:t xml:space="preserve"> 2009;25:321–5. https://doi.org/10.4103/0970-1591.56183</w:t>
      </w:r>
    </w:p>
    <w:p w14:paraId="03035787" w14:textId="77777777" w:rsidR="007515E0" w:rsidRPr="00B201AB" w:rsidRDefault="007515E0" w:rsidP="00B201AB">
      <w:pPr>
        <w:pStyle w:val="BodyText"/>
        <w:spacing w:after="200" w:line="240" w:lineRule="auto"/>
        <w:rPr>
          <w:sz w:val="18"/>
          <w:szCs w:val="18"/>
        </w:rPr>
      </w:pPr>
      <w:r w:rsidRPr="00B201AB">
        <w:rPr>
          <w:sz w:val="18"/>
          <w:szCs w:val="18"/>
        </w:rPr>
        <w:t>116. Wang YJ, Li FP, Wang Q, Yang S, Cai XG, Chen YH. Comparison of three mid-urethral tension-free tapes (TVT, TVT-O, and TVT-</w:t>
      </w:r>
      <w:proofErr w:type="spellStart"/>
      <w:r w:rsidRPr="00B201AB">
        <w:rPr>
          <w:sz w:val="18"/>
          <w:szCs w:val="18"/>
        </w:rPr>
        <w:t>Secur</w:t>
      </w:r>
      <w:proofErr w:type="spellEnd"/>
      <w:r w:rsidRPr="00B201AB">
        <w:rPr>
          <w:sz w:val="18"/>
          <w:szCs w:val="18"/>
        </w:rPr>
        <w:t xml:space="preserve">) in the treatment of female stress urinary incontinence: 1-year follow-up. Int </w:t>
      </w:r>
      <w:proofErr w:type="spellStart"/>
      <w:r w:rsidRPr="00B201AB">
        <w:rPr>
          <w:sz w:val="18"/>
          <w:szCs w:val="18"/>
        </w:rPr>
        <w:t>Urogynecol</w:t>
      </w:r>
      <w:proofErr w:type="spellEnd"/>
      <w:r w:rsidRPr="00B201AB">
        <w:rPr>
          <w:sz w:val="18"/>
          <w:szCs w:val="18"/>
        </w:rPr>
        <w:t xml:space="preserve"> J 2011;22:1369–74. https://doi.org/10.1007/s00192-011-1445-9</w:t>
      </w:r>
    </w:p>
    <w:p w14:paraId="32418A7E" w14:textId="77777777" w:rsidR="007515E0" w:rsidRPr="00B201AB" w:rsidRDefault="007515E0" w:rsidP="00B201AB">
      <w:pPr>
        <w:pStyle w:val="BodyText"/>
        <w:spacing w:after="200" w:line="240" w:lineRule="auto"/>
        <w:rPr>
          <w:sz w:val="18"/>
          <w:szCs w:val="18"/>
        </w:rPr>
      </w:pPr>
      <w:r w:rsidRPr="00B201AB">
        <w:rPr>
          <w:sz w:val="18"/>
          <w:szCs w:val="18"/>
        </w:rPr>
        <w:t xml:space="preserve">117. Andonian S, St-Denis B, Lemieux MC, Corcos J. Prospective clinical trial comparing </w:t>
      </w:r>
      <w:proofErr w:type="spellStart"/>
      <w:r w:rsidRPr="00B201AB">
        <w:rPr>
          <w:sz w:val="18"/>
          <w:szCs w:val="18"/>
        </w:rPr>
        <w:t>Obtape</w:t>
      </w:r>
      <w:proofErr w:type="spellEnd"/>
      <w:r w:rsidRPr="00B201AB">
        <w:rPr>
          <w:sz w:val="18"/>
          <w:szCs w:val="18"/>
        </w:rPr>
        <w:t xml:space="preserve"> and DUPS to TVT: one-year safety and efficacy results. </w:t>
      </w:r>
      <w:proofErr w:type="spellStart"/>
      <w:r w:rsidRPr="00B201AB">
        <w:rPr>
          <w:sz w:val="18"/>
          <w:szCs w:val="18"/>
        </w:rPr>
        <w:t>Eur</w:t>
      </w:r>
      <w:proofErr w:type="spellEnd"/>
      <w:r w:rsidRPr="00B201AB">
        <w:rPr>
          <w:sz w:val="18"/>
          <w:szCs w:val="18"/>
        </w:rPr>
        <w:t xml:space="preserve"> </w:t>
      </w:r>
      <w:proofErr w:type="spellStart"/>
      <w:r w:rsidRPr="00B201AB">
        <w:rPr>
          <w:sz w:val="18"/>
          <w:szCs w:val="18"/>
        </w:rPr>
        <w:t>Urol</w:t>
      </w:r>
      <w:proofErr w:type="spellEnd"/>
      <w:r w:rsidRPr="00B201AB">
        <w:rPr>
          <w:sz w:val="18"/>
          <w:szCs w:val="18"/>
        </w:rPr>
        <w:t xml:space="preserve"> 2007;52:245–51. https://doi.org/ 10.1016/j.eururo.2006.12.035</w:t>
      </w:r>
    </w:p>
    <w:p w14:paraId="176AE350" w14:textId="77777777" w:rsidR="007515E0" w:rsidRPr="00B201AB" w:rsidRDefault="007515E0" w:rsidP="00B201AB">
      <w:pPr>
        <w:pStyle w:val="BodyText"/>
        <w:spacing w:after="200" w:line="240" w:lineRule="auto"/>
        <w:rPr>
          <w:sz w:val="18"/>
          <w:szCs w:val="18"/>
        </w:rPr>
      </w:pPr>
      <w:r w:rsidRPr="00B201AB">
        <w:rPr>
          <w:sz w:val="18"/>
          <w:szCs w:val="18"/>
        </w:rPr>
        <w:t xml:space="preserve">119. Scheiner DA, Betschart C, Wiederkehr S, Seifert B, Fink D, </w:t>
      </w:r>
      <w:proofErr w:type="spellStart"/>
      <w:r w:rsidRPr="00B201AB">
        <w:rPr>
          <w:sz w:val="18"/>
          <w:szCs w:val="18"/>
        </w:rPr>
        <w:t>Perucchini</w:t>
      </w:r>
      <w:proofErr w:type="spellEnd"/>
      <w:r w:rsidRPr="00B201AB">
        <w:rPr>
          <w:sz w:val="18"/>
          <w:szCs w:val="18"/>
        </w:rPr>
        <w:t xml:space="preserve"> D. Twelve months effect on voiding function of retropubic compared with outside-in and inside-out </w:t>
      </w:r>
      <w:proofErr w:type="spellStart"/>
      <w:r w:rsidRPr="00B201AB">
        <w:rPr>
          <w:sz w:val="18"/>
          <w:szCs w:val="18"/>
        </w:rPr>
        <w:t>transobturator</w:t>
      </w:r>
      <w:proofErr w:type="spellEnd"/>
      <w:r w:rsidRPr="00B201AB">
        <w:rPr>
          <w:sz w:val="18"/>
          <w:szCs w:val="18"/>
        </w:rPr>
        <w:t xml:space="preserve"> </w:t>
      </w:r>
      <w:proofErr w:type="spellStart"/>
      <w:r w:rsidRPr="00B201AB">
        <w:rPr>
          <w:sz w:val="18"/>
          <w:szCs w:val="18"/>
        </w:rPr>
        <w:t>midurethral</w:t>
      </w:r>
      <w:proofErr w:type="spellEnd"/>
      <w:r w:rsidRPr="00B201AB">
        <w:rPr>
          <w:sz w:val="18"/>
          <w:szCs w:val="18"/>
        </w:rPr>
        <w:t xml:space="preserve"> slings. Int </w:t>
      </w:r>
      <w:proofErr w:type="spellStart"/>
      <w:r w:rsidRPr="00B201AB">
        <w:rPr>
          <w:sz w:val="18"/>
          <w:szCs w:val="18"/>
        </w:rPr>
        <w:t>Urogynecol</w:t>
      </w:r>
      <w:proofErr w:type="spellEnd"/>
      <w:r w:rsidRPr="00B201AB">
        <w:rPr>
          <w:sz w:val="18"/>
          <w:szCs w:val="18"/>
        </w:rPr>
        <w:t xml:space="preserve"> J 2012;23:197–206. https://doi.org/10.1007/s00192-011-1543-8</w:t>
      </w:r>
    </w:p>
    <w:p w14:paraId="7A9F2EE1" w14:textId="77777777" w:rsidR="007515E0" w:rsidRPr="00B201AB" w:rsidRDefault="007515E0" w:rsidP="00B201AB">
      <w:pPr>
        <w:pStyle w:val="BodyText"/>
        <w:spacing w:after="200" w:line="240" w:lineRule="auto"/>
        <w:rPr>
          <w:sz w:val="18"/>
          <w:szCs w:val="18"/>
        </w:rPr>
      </w:pPr>
      <w:r w:rsidRPr="00B201AB">
        <w:rPr>
          <w:sz w:val="18"/>
          <w:szCs w:val="18"/>
        </w:rPr>
        <w:t xml:space="preserve">120. </w:t>
      </w:r>
      <w:proofErr w:type="spellStart"/>
      <w:r w:rsidRPr="00B201AB">
        <w:rPr>
          <w:sz w:val="18"/>
          <w:szCs w:val="18"/>
        </w:rPr>
        <w:t>Alkady</w:t>
      </w:r>
      <w:proofErr w:type="spellEnd"/>
      <w:r w:rsidRPr="00B201AB">
        <w:rPr>
          <w:sz w:val="18"/>
          <w:szCs w:val="18"/>
        </w:rPr>
        <w:t xml:space="preserve"> HM, Eid A. Tension-free vaginal tape versus </w:t>
      </w:r>
      <w:proofErr w:type="spellStart"/>
      <w:r w:rsidRPr="00B201AB">
        <w:rPr>
          <w:sz w:val="18"/>
          <w:szCs w:val="18"/>
        </w:rPr>
        <w:t>transobturator</w:t>
      </w:r>
      <w:proofErr w:type="spellEnd"/>
      <w:r w:rsidRPr="00B201AB">
        <w:rPr>
          <w:sz w:val="18"/>
          <w:szCs w:val="18"/>
        </w:rPr>
        <w:t xml:space="preserve"> vaginal tape inside-out for the treatment of female stress urinary incontinence. Med J Cairo Univ 2009;77:317–26.</w:t>
      </w:r>
    </w:p>
    <w:p w14:paraId="47D65E21" w14:textId="77777777" w:rsidR="007515E0" w:rsidRPr="00B201AB" w:rsidRDefault="007515E0" w:rsidP="00B201AB">
      <w:pPr>
        <w:pStyle w:val="BodyText"/>
        <w:spacing w:after="200" w:line="240" w:lineRule="auto"/>
        <w:rPr>
          <w:sz w:val="18"/>
          <w:szCs w:val="18"/>
        </w:rPr>
      </w:pPr>
      <w:r w:rsidRPr="00B201AB">
        <w:rPr>
          <w:sz w:val="18"/>
          <w:szCs w:val="18"/>
        </w:rPr>
        <w:lastRenderedPageBreak/>
        <w:t xml:space="preserve">121. </w:t>
      </w:r>
      <w:proofErr w:type="spellStart"/>
      <w:r w:rsidRPr="00B201AB">
        <w:rPr>
          <w:sz w:val="18"/>
          <w:szCs w:val="18"/>
        </w:rPr>
        <w:t>Aniuliene</w:t>
      </w:r>
      <w:proofErr w:type="spellEnd"/>
      <w:r w:rsidRPr="00B201AB">
        <w:rPr>
          <w:sz w:val="18"/>
          <w:szCs w:val="18"/>
        </w:rPr>
        <w:t xml:space="preserve"> R, </w:t>
      </w:r>
      <w:proofErr w:type="spellStart"/>
      <w:r w:rsidRPr="00B201AB">
        <w:rPr>
          <w:sz w:val="18"/>
          <w:szCs w:val="18"/>
        </w:rPr>
        <w:t>Aniulis</w:t>
      </w:r>
      <w:proofErr w:type="spellEnd"/>
      <w:r w:rsidRPr="00B201AB">
        <w:rPr>
          <w:sz w:val="18"/>
          <w:szCs w:val="18"/>
        </w:rPr>
        <w:t xml:space="preserve"> P, </w:t>
      </w:r>
      <w:proofErr w:type="spellStart"/>
      <w:r w:rsidRPr="00B201AB">
        <w:rPr>
          <w:sz w:val="18"/>
          <w:szCs w:val="18"/>
        </w:rPr>
        <w:t>Skaudickas</w:t>
      </w:r>
      <w:proofErr w:type="spellEnd"/>
      <w:r w:rsidRPr="00B201AB">
        <w:rPr>
          <w:sz w:val="18"/>
          <w:szCs w:val="18"/>
        </w:rPr>
        <w:t xml:space="preserve"> D. TVT-Exact and </w:t>
      </w:r>
      <w:proofErr w:type="spellStart"/>
      <w:r w:rsidRPr="00B201AB">
        <w:rPr>
          <w:sz w:val="18"/>
          <w:szCs w:val="18"/>
        </w:rPr>
        <w:t>midurethral</w:t>
      </w:r>
      <w:proofErr w:type="spellEnd"/>
      <w:r w:rsidRPr="00B201AB">
        <w:rPr>
          <w:sz w:val="18"/>
          <w:szCs w:val="18"/>
        </w:rPr>
        <w:t xml:space="preserve"> sling (SLING-IUFT) operative procedures: a randomized study. Open Med 2015;10:311–17. https://doi.org/10.1515/ med-2015-0046</w:t>
      </w:r>
    </w:p>
    <w:p w14:paraId="05E60384" w14:textId="77777777" w:rsidR="007515E0" w:rsidRPr="00B201AB" w:rsidRDefault="007515E0" w:rsidP="00B201AB">
      <w:pPr>
        <w:pStyle w:val="BodyText"/>
        <w:spacing w:after="200" w:line="240" w:lineRule="auto"/>
        <w:rPr>
          <w:sz w:val="18"/>
          <w:szCs w:val="18"/>
        </w:rPr>
      </w:pPr>
      <w:r w:rsidRPr="00B201AB">
        <w:rPr>
          <w:sz w:val="18"/>
          <w:szCs w:val="18"/>
        </w:rPr>
        <w:t xml:space="preserve">122. Barber MD, Kleeman S, Karram MM, Paraiso MF, Walters MD, Vasavada S, </w:t>
      </w:r>
      <w:proofErr w:type="spellStart"/>
      <w:r w:rsidRPr="00B201AB">
        <w:rPr>
          <w:sz w:val="18"/>
          <w:szCs w:val="18"/>
        </w:rPr>
        <w:t>Ellerkmann</w:t>
      </w:r>
      <w:proofErr w:type="spellEnd"/>
      <w:r w:rsidRPr="00B201AB">
        <w:rPr>
          <w:sz w:val="18"/>
          <w:szCs w:val="18"/>
        </w:rPr>
        <w:t xml:space="preserve"> M. </w:t>
      </w:r>
      <w:proofErr w:type="spellStart"/>
      <w:r w:rsidRPr="00B201AB">
        <w:rPr>
          <w:sz w:val="18"/>
          <w:szCs w:val="18"/>
        </w:rPr>
        <w:t>Transobturator</w:t>
      </w:r>
      <w:proofErr w:type="spellEnd"/>
      <w:r w:rsidRPr="00B201AB">
        <w:rPr>
          <w:sz w:val="18"/>
          <w:szCs w:val="18"/>
        </w:rPr>
        <w:t xml:space="preserve"> tape compared with tension-free vaginal tape for the treatment of stress urinary incontinence: a randomized controlled trial.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2008;111:611–21. https://doi.org/ 10.1097/AOG.0b013e318162f22e</w:t>
      </w:r>
    </w:p>
    <w:p w14:paraId="6421852A" w14:textId="77777777" w:rsidR="007515E0" w:rsidRPr="00B201AB" w:rsidRDefault="007515E0" w:rsidP="00B201AB">
      <w:pPr>
        <w:pStyle w:val="BodyText"/>
        <w:spacing w:after="200" w:line="240" w:lineRule="auto"/>
        <w:rPr>
          <w:sz w:val="18"/>
          <w:szCs w:val="18"/>
        </w:rPr>
      </w:pPr>
      <w:r w:rsidRPr="00B201AB">
        <w:rPr>
          <w:sz w:val="18"/>
          <w:szCs w:val="18"/>
        </w:rPr>
        <w:t xml:space="preserve">123. Barry C, Lim YN, Muller R, </w:t>
      </w:r>
      <w:proofErr w:type="spellStart"/>
      <w:r w:rsidRPr="00B201AB">
        <w:rPr>
          <w:sz w:val="18"/>
          <w:szCs w:val="18"/>
        </w:rPr>
        <w:t>Hitchins</w:t>
      </w:r>
      <w:proofErr w:type="spellEnd"/>
      <w:r w:rsidRPr="00B201AB">
        <w:rPr>
          <w:sz w:val="18"/>
          <w:szCs w:val="18"/>
        </w:rPr>
        <w:t xml:space="preserve"> S, </w:t>
      </w:r>
      <w:proofErr w:type="spellStart"/>
      <w:r w:rsidRPr="00B201AB">
        <w:rPr>
          <w:sz w:val="18"/>
          <w:szCs w:val="18"/>
        </w:rPr>
        <w:t>Corstiaans</w:t>
      </w:r>
      <w:proofErr w:type="spellEnd"/>
      <w:r w:rsidRPr="00B201AB">
        <w:rPr>
          <w:sz w:val="18"/>
          <w:szCs w:val="18"/>
        </w:rPr>
        <w:t xml:space="preserve"> A, Foote A, et al. </w:t>
      </w:r>
      <w:proofErr w:type="gramStart"/>
      <w:r w:rsidRPr="00B201AB">
        <w:rPr>
          <w:sz w:val="18"/>
          <w:szCs w:val="18"/>
        </w:rPr>
        <w:t>A multi-centre,</w:t>
      </w:r>
      <w:proofErr w:type="gramEnd"/>
      <w:r w:rsidRPr="00B201AB">
        <w:rPr>
          <w:sz w:val="18"/>
          <w:szCs w:val="18"/>
        </w:rPr>
        <w:t xml:space="preserve"> randomised clinical control trial comparing the retropubic (RP) approach versus the </w:t>
      </w:r>
      <w:proofErr w:type="spellStart"/>
      <w:r w:rsidRPr="00B201AB">
        <w:rPr>
          <w:sz w:val="18"/>
          <w:szCs w:val="18"/>
        </w:rPr>
        <w:t>transobturator</w:t>
      </w:r>
      <w:proofErr w:type="spellEnd"/>
      <w:r w:rsidRPr="00B201AB">
        <w:rPr>
          <w:sz w:val="18"/>
          <w:szCs w:val="18"/>
        </w:rPr>
        <w:t xml:space="preserve"> approach (TO) for tension-free, </w:t>
      </w:r>
      <w:proofErr w:type="spellStart"/>
      <w:r w:rsidRPr="00B201AB">
        <w:rPr>
          <w:sz w:val="18"/>
          <w:szCs w:val="18"/>
        </w:rPr>
        <w:t>suburethral</w:t>
      </w:r>
      <w:proofErr w:type="spellEnd"/>
      <w:r w:rsidRPr="00B201AB">
        <w:rPr>
          <w:sz w:val="18"/>
          <w:szCs w:val="18"/>
        </w:rPr>
        <w:t xml:space="preserve"> sling treatment of urodynamic stress incontinence: the TORP study. Int </w:t>
      </w:r>
      <w:proofErr w:type="spellStart"/>
      <w:r w:rsidRPr="00B201AB">
        <w:rPr>
          <w:sz w:val="18"/>
          <w:szCs w:val="18"/>
        </w:rPr>
        <w:t>Urogynecol</w:t>
      </w:r>
      <w:proofErr w:type="spellEnd"/>
      <w:r w:rsidRPr="00B201AB">
        <w:rPr>
          <w:sz w:val="18"/>
          <w:szCs w:val="18"/>
        </w:rPr>
        <w:t xml:space="preserve"> J Pelvic Floor </w:t>
      </w:r>
      <w:proofErr w:type="spellStart"/>
      <w:r w:rsidRPr="00B201AB">
        <w:rPr>
          <w:sz w:val="18"/>
          <w:szCs w:val="18"/>
        </w:rPr>
        <w:t>Dysfunct</w:t>
      </w:r>
      <w:proofErr w:type="spellEnd"/>
      <w:r w:rsidRPr="00B201AB">
        <w:rPr>
          <w:sz w:val="18"/>
          <w:szCs w:val="18"/>
        </w:rPr>
        <w:t xml:space="preserve"> 2008;19:171–8. https://doi.org/10.1007/s00192-007-0412-y</w:t>
      </w:r>
    </w:p>
    <w:p w14:paraId="74FE8E85" w14:textId="77777777" w:rsidR="007515E0" w:rsidRPr="00B201AB" w:rsidRDefault="007515E0" w:rsidP="00B201AB">
      <w:pPr>
        <w:pStyle w:val="BodyText"/>
        <w:spacing w:after="200" w:line="240" w:lineRule="auto"/>
        <w:rPr>
          <w:sz w:val="18"/>
          <w:szCs w:val="18"/>
        </w:rPr>
      </w:pPr>
      <w:r w:rsidRPr="00B201AB">
        <w:rPr>
          <w:sz w:val="18"/>
          <w:szCs w:val="18"/>
        </w:rPr>
        <w:t xml:space="preserve">124. David-Montefiore E, </w:t>
      </w:r>
      <w:proofErr w:type="spellStart"/>
      <w:r w:rsidRPr="00B201AB">
        <w:rPr>
          <w:sz w:val="18"/>
          <w:szCs w:val="18"/>
        </w:rPr>
        <w:t>Frobert</w:t>
      </w:r>
      <w:proofErr w:type="spellEnd"/>
      <w:r w:rsidRPr="00B201AB">
        <w:rPr>
          <w:sz w:val="18"/>
          <w:szCs w:val="18"/>
        </w:rPr>
        <w:t xml:space="preserve"> JL, </w:t>
      </w:r>
      <w:proofErr w:type="spellStart"/>
      <w:r w:rsidRPr="00B201AB">
        <w:rPr>
          <w:sz w:val="18"/>
          <w:szCs w:val="18"/>
        </w:rPr>
        <w:t>Grisard-Anaf</w:t>
      </w:r>
      <w:proofErr w:type="spellEnd"/>
      <w:r w:rsidRPr="00B201AB">
        <w:rPr>
          <w:sz w:val="18"/>
          <w:szCs w:val="18"/>
        </w:rPr>
        <w:t xml:space="preserve"> M, Lienhart J, Bonnet K, Poncelet C, </w:t>
      </w:r>
      <w:proofErr w:type="spellStart"/>
      <w:r w:rsidRPr="00B201AB">
        <w:rPr>
          <w:sz w:val="18"/>
          <w:szCs w:val="18"/>
        </w:rPr>
        <w:t>Daraï</w:t>
      </w:r>
      <w:proofErr w:type="spellEnd"/>
      <w:r w:rsidRPr="00B201AB">
        <w:rPr>
          <w:sz w:val="18"/>
          <w:szCs w:val="18"/>
        </w:rPr>
        <w:t xml:space="preserve"> E. Peri-operative </w:t>
      </w:r>
      <w:proofErr w:type="gramStart"/>
      <w:r w:rsidRPr="00B201AB">
        <w:rPr>
          <w:sz w:val="18"/>
          <w:szCs w:val="18"/>
        </w:rPr>
        <w:t>complications</w:t>
      </w:r>
      <w:proofErr w:type="gramEnd"/>
      <w:r w:rsidRPr="00B201AB">
        <w:rPr>
          <w:sz w:val="18"/>
          <w:szCs w:val="18"/>
        </w:rPr>
        <w:t xml:space="preserve"> and pain after the </w:t>
      </w:r>
      <w:proofErr w:type="spellStart"/>
      <w:r w:rsidRPr="00B201AB">
        <w:rPr>
          <w:sz w:val="18"/>
          <w:szCs w:val="18"/>
        </w:rPr>
        <w:t>suburethral</w:t>
      </w:r>
      <w:proofErr w:type="spellEnd"/>
      <w:r w:rsidRPr="00B201AB">
        <w:rPr>
          <w:sz w:val="18"/>
          <w:szCs w:val="18"/>
        </w:rPr>
        <w:t xml:space="preserve"> sling procedure for urinary stress incontinence: a French prospective randomised multicentre study comparing the retropubic and </w:t>
      </w:r>
      <w:proofErr w:type="spellStart"/>
      <w:r w:rsidRPr="00B201AB">
        <w:rPr>
          <w:sz w:val="18"/>
          <w:szCs w:val="18"/>
        </w:rPr>
        <w:t>transobturator</w:t>
      </w:r>
      <w:proofErr w:type="spellEnd"/>
      <w:r w:rsidRPr="00B201AB">
        <w:rPr>
          <w:sz w:val="18"/>
          <w:szCs w:val="18"/>
        </w:rPr>
        <w:t xml:space="preserve"> routes. </w:t>
      </w:r>
      <w:proofErr w:type="spellStart"/>
      <w:r w:rsidRPr="00B201AB">
        <w:rPr>
          <w:sz w:val="18"/>
          <w:szCs w:val="18"/>
        </w:rPr>
        <w:t>Eur</w:t>
      </w:r>
      <w:proofErr w:type="spellEnd"/>
      <w:r w:rsidRPr="00B201AB">
        <w:rPr>
          <w:sz w:val="18"/>
          <w:szCs w:val="18"/>
        </w:rPr>
        <w:t xml:space="preserve"> </w:t>
      </w:r>
      <w:proofErr w:type="spellStart"/>
      <w:r w:rsidRPr="00B201AB">
        <w:rPr>
          <w:sz w:val="18"/>
          <w:szCs w:val="18"/>
        </w:rPr>
        <w:t>Urol</w:t>
      </w:r>
      <w:proofErr w:type="spellEnd"/>
      <w:r w:rsidRPr="00B201AB">
        <w:rPr>
          <w:sz w:val="18"/>
          <w:szCs w:val="18"/>
        </w:rPr>
        <w:t xml:space="preserve"> 2006;49:133–8. https://doi.org/10.1016/j.eururo.2005.09.019</w:t>
      </w:r>
    </w:p>
    <w:p w14:paraId="64AE8497" w14:textId="77777777" w:rsidR="007515E0" w:rsidRPr="00B201AB" w:rsidRDefault="007515E0" w:rsidP="00B201AB">
      <w:pPr>
        <w:pStyle w:val="BodyText"/>
        <w:spacing w:after="200" w:line="240" w:lineRule="auto"/>
        <w:rPr>
          <w:sz w:val="18"/>
          <w:szCs w:val="18"/>
        </w:rPr>
      </w:pPr>
      <w:r w:rsidRPr="00B201AB">
        <w:rPr>
          <w:sz w:val="18"/>
          <w:szCs w:val="18"/>
        </w:rPr>
        <w:t xml:space="preserve">125. </w:t>
      </w:r>
      <w:proofErr w:type="spellStart"/>
      <w:r w:rsidRPr="00B201AB">
        <w:rPr>
          <w:sz w:val="18"/>
          <w:szCs w:val="18"/>
        </w:rPr>
        <w:t>deTayrac</w:t>
      </w:r>
      <w:proofErr w:type="spellEnd"/>
      <w:r w:rsidRPr="00B201AB">
        <w:rPr>
          <w:sz w:val="18"/>
          <w:szCs w:val="18"/>
        </w:rPr>
        <w:t xml:space="preserve"> R, </w:t>
      </w:r>
      <w:proofErr w:type="spellStart"/>
      <w:r w:rsidRPr="00B201AB">
        <w:rPr>
          <w:sz w:val="18"/>
          <w:szCs w:val="18"/>
        </w:rPr>
        <w:t>Deffieux</w:t>
      </w:r>
      <w:proofErr w:type="spellEnd"/>
      <w:r w:rsidRPr="00B201AB">
        <w:rPr>
          <w:sz w:val="18"/>
          <w:szCs w:val="18"/>
        </w:rPr>
        <w:t xml:space="preserve"> X, </w:t>
      </w:r>
      <w:proofErr w:type="spellStart"/>
      <w:r w:rsidRPr="00B201AB">
        <w:rPr>
          <w:sz w:val="18"/>
          <w:szCs w:val="18"/>
        </w:rPr>
        <w:t>Droupy</w:t>
      </w:r>
      <w:proofErr w:type="spellEnd"/>
      <w:r w:rsidRPr="00B201AB">
        <w:rPr>
          <w:sz w:val="18"/>
          <w:szCs w:val="18"/>
        </w:rPr>
        <w:t xml:space="preserve"> S, </w:t>
      </w:r>
      <w:proofErr w:type="spellStart"/>
      <w:r w:rsidRPr="00B201AB">
        <w:rPr>
          <w:sz w:val="18"/>
          <w:szCs w:val="18"/>
        </w:rPr>
        <w:t>Chauveaud-Lambling</w:t>
      </w:r>
      <w:proofErr w:type="spellEnd"/>
      <w:r w:rsidRPr="00B201AB">
        <w:rPr>
          <w:sz w:val="18"/>
          <w:szCs w:val="18"/>
        </w:rPr>
        <w:t xml:space="preserve"> A, </w:t>
      </w:r>
      <w:proofErr w:type="spellStart"/>
      <w:r w:rsidRPr="00B201AB">
        <w:rPr>
          <w:sz w:val="18"/>
          <w:szCs w:val="18"/>
        </w:rPr>
        <w:t>Calvanèse-Benamour</w:t>
      </w:r>
      <w:proofErr w:type="spellEnd"/>
      <w:r w:rsidRPr="00B201AB">
        <w:rPr>
          <w:sz w:val="18"/>
          <w:szCs w:val="18"/>
        </w:rPr>
        <w:t xml:space="preserve"> L, Fernandez H. A prospective randomized trial comparing tension-free vaginal tape and </w:t>
      </w:r>
      <w:proofErr w:type="spellStart"/>
      <w:r w:rsidRPr="00B201AB">
        <w:rPr>
          <w:sz w:val="18"/>
          <w:szCs w:val="18"/>
        </w:rPr>
        <w:t>transobturator</w:t>
      </w:r>
      <w:proofErr w:type="spellEnd"/>
      <w:r w:rsidRPr="00B201AB">
        <w:rPr>
          <w:sz w:val="18"/>
          <w:szCs w:val="18"/>
        </w:rPr>
        <w:t xml:space="preserve"> </w:t>
      </w:r>
      <w:proofErr w:type="spellStart"/>
      <w:r w:rsidRPr="00B201AB">
        <w:rPr>
          <w:sz w:val="18"/>
          <w:szCs w:val="18"/>
        </w:rPr>
        <w:t>suburethral</w:t>
      </w:r>
      <w:proofErr w:type="spellEnd"/>
      <w:r w:rsidRPr="00B201AB">
        <w:rPr>
          <w:sz w:val="18"/>
          <w:szCs w:val="18"/>
        </w:rPr>
        <w:t xml:space="preserve"> tape for surgical treatment of stress urinary incontinence. [Retraction in: Am J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2005 Feb;192:339] Am J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2004;190:602–8. https://doi.org/10.1016/ j.ajog.2003.09.070</w:t>
      </w:r>
    </w:p>
    <w:p w14:paraId="162193DD" w14:textId="77777777" w:rsidR="007515E0" w:rsidRPr="00B201AB" w:rsidRDefault="007515E0" w:rsidP="00B201AB">
      <w:pPr>
        <w:pStyle w:val="BodyText"/>
        <w:spacing w:after="200" w:line="240" w:lineRule="auto"/>
        <w:rPr>
          <w:sz w:val="18"/>
          <w:szCs w:val="18"/>
        </w:rPr>
      </w:pPr>
      <w:r w:rsidRPr="00B201AB">
        <w:rPr>
          <w:sz w:val="18"/>
          <w:szCs w:val="18"/>
        </w:rPr>
        <w:t xml:space="preserve">126. </w:t>
      </w:r>
      <w:proofErr w:type="spellStart"/>
      <w:r w:rsidRPr="00B201AB">
        <w:rPr>
          <w:sz w:val="18"/>
          <w:szCs w:val="18"/>
        </w:rPr>
        <w:t>Deffieux</w:t>
      </w:r>
      <w:proofErr w:type="spellEnd"/>
      <w:r w:rsidRPr="00B201AB">
        <w:rPr>
          <w:sz w:val="18"/>
          <w:szCs w:val="18"/>
        </w:rPr>
        <w:t xml:space="preserve"> X, Daher N, Mansoor A, </w:t>
      </w:r>
      <w:proofErr w:type="spellStart"/>
      <w:r w:rsidRPr="00B201AB">
        <w:rPr>
          <w:sz w:val="18"/>
          <w:szCs w:val="18"/>
        </w:rPr>
        <w:t>Debodinance</w:t>
      </w:r>
      <w:proofErr w:type="spellEnd"/>
      <w:r w:rsidRPr="00B201AB">
        <w:rPr>
          <w:sz w:val="18"/>
          <w:szCs w:val="18"/>
        </w:rPr>
        <w:t xml:space="preserve"> P, </w:t>
      </w:r>
      <w:proofErr w:type="spellStart"/>
      <w:r w:rsidRPr="00B201AB">
        <w:rPr>
          <w:sz w:val="18"/>
          <w:szCs w:val="18"/>
        </w:rPr>
        <w:t>Muhlstein</w:t>
      </w:r>
      <w:proofErr w:type="spellEnd"/>
      <w:r w:rsidRPr="00B201AB">
        <w:rPr>
          <w:sz w:val="18"/>
          <w:szCs w:val="18"/>
        </w:rPr>
        <w:t xml:space="preserve"> J, Fernandez H. </w:t>
      </w:r>
      <w:proofErr w:type="spellStart"/>
      <w:r w:rsidRPr="00B201AB">
        <w:rPr>
          <w:sz w:val="18"/>
          <w:szCs w:val="18"/>
        </w:rPr>
        <w:t>Transobturator</w:t>
      </w:r>
      <w:proofErr w:type="spellEnd"/>
      <w:r w:rsidRPr="00B201AB">
        <w:rPr>
          <w:sz w:val="18"/>
          <w:szCs w:val="18"/>
        </w:rPr>
        <w:t xml:space="preserve"> TVT-O versus retropubic TVT: results of a </w:t>
      </w:r>
      <w:proofErr w:type="spellStart"/>
      <w:r w:rsidRPr="00B201AB">
        <w:rPr>
          <w:sz w:val="18"/>
          <w:szCs w:val="18"/>
        </w:rPr>
        <w:t>multicenter</w:t>
      </w:r>
      <w:proofErr w:type="spellEnd"/>
      <w:r w:rsidRPr="00B201AB">
        <w:rPr>
          <w:sz w:val="18"/>
          <w:szCs w:val="18"/>
        </w:rPr>
        <w:t xml:space="preserve"> randomized controlled trial at 24 months follow-up. Int </w:t>
      </w:r>
      <w:proofErr w:type="spellStart"/>
      <w:r w:rsidRPr="00B201AB">
        <w:rPr>
          <w:sz w:val="18"/>
          <w:szCs w:val="18"/>
        </w:rPr>
        <w:t>Urogynecol</w:t>
      </w:r>
      <w:proofErr w:type="spellEnd"/>
      <w:r w:rsidRPr="00B201AB">
        <w:rPr>
          <w:sz w:val="18"/>
          <w:szCs w:val="18"/>
        </w:rPr>
        <w:t xml:space="preserve"> J 2010;21:1337–45. https://doi.org/10.1007/s00192-010-1196-z</w:t>
      </w:r>
    </w:p>
    <w:p w14:paraId="21323431" w14:textId="3451E59C" w:rsidR="007515E0" w:rsidRPr="00B201AB" w:rsidRDefault="007515E0" w:rsidP="00B201AB">
      <w:pPr>
        <w:pStyle w:val="BodyText"/>
        <w:spacing w:after="200" w:line="240" w:lineRule="auto"/>
        <w:rPr>
          <w:sz w:val="18"/>
          <w:szCs w:val="18"/>
        </w:rPr>
      </w:pPr>
      <w:r w:rsidRPr="00B201AB">
        <w:rPr>
          <w:sz w:val="18"/>
          <w:szCs w:val="18"/>
        </w:rPr>
        <w:t>127. El-</w:t>
      </w:r>
      <w:proofErr w:type="spellStart"/>
      <w:r w:rsidRPr="00B201AB">
        <w:rPr>
          <w:sz w:val="18"/>
          <w:szCs w:val="18"/>
        </w:rPr>
        <w:t>Hefnawy</w:t>
      </w:r>
      <w:proofErr w:type="spellEnd"/>
      <w:r w:rsidRPr="00B201AB">
        <w:rPr>
          <w:sz w:val="18"/>
          <w:szCs w:val="18"/>
        </w:rPr>
        <w:t xml:space="preserve"> AS, </w:t>
      </w:r>
      <w:proofErr w:type="spellStart"/>
      <w:r w:rsidRPr="00B201AB">
        <w:rPr>
          <w:sz w:val="18"/>
          <w:szCs w:val="18"/>
        </w:rPr>
        <w:t>Wadie</w:t>
      </w:r>
      <w:proofErr w:type="spellEnd"/>
      <w:r w:rsidRPr="00B201AB">
        <w:rPr>
          <w:sz w:val="18"/>
          <w:szCs w:val="18"/>
        </w:rPr>
        <w:t xml:space="preserve"> BS, El </w:t>
      </w:r>
      <w:proofErr w:type="spellStart"/>
      <w:r w:rsidRPr="00B201AB">
        <w:rPr>
          <w:sz w:val="18"/>
          <w:szCs w:val="18"/>
        </w:rPr>
        <w:t>Mekresh</w:t>
      </w:r>
      <w:proofErr w:type="spellEnd"/>
      <w:r w:rsidRPr="00B201AB">
        <w:rPr>
          <w:sz w:val="18"/>
          <w:szCs w:val="18"/>
        </w:rPr>
        <w:t xml:space="preserve"> M, </w:t>
      </w:r>
      <w:proofErr w:type="spellStart"/>
      <w:r w:rsidRPr="00B201AB">
        <w:rPr>
          <w:sz w:val="18"/>
          <w:szCs w:val="18"/>
        </w:rPr>
        <w:t>Nabeeh</w:t>
      </w:r>
      <w:proofErr w:type="spellEnd"/>
      <w:r w:rsidRPr="00B201AB">
        <w:rPr>
          <w:sz w:val="18"/>
          <w:szCs w:val="18"/>
        </w:rPr>
        <w:t xml:space="preserve"> A, </w:t>
      </w:r>
      <w:proofErr w:type="spellStart"/>
      <w:r w:rsidRPr="00B201AB">
        <w:rPr>
          <w:sz w:val="18"/>
          <w:szCs w:val="18"/>
        </w:rPr>
        <w:t>Bazeed</w:t>
      </w:r>
      <w:proofErr w:type="spellEnd"/>
      <w:r w:rsidRPr="00B201AB">
        <w:rPr>
          <w:sz w:val="18"/>
          <w:szCs w:val="18"/>
        </w:rPr>
        <w:t xml:space="preserve"> MA. TOT for treatment of stress urinary incontinence: how should we assess its equivalence with TVT? Int </w:t>
      </w:r>
      <w:proofErr w:type="spellStart"/>
      <w:r w:rsidRPr="00B201AB">
        <w:rPr>
          <w:sz w:val="18"/>
          <w:szCs w:val="18"/>
        </w:rPr>
        <w:t>Urogynecol</w:t>
      </w:r>
      <w:proofErr w:type="spellEnd"/>
      <w:r w:rsidRPr="00B201AB">
        <w:rPr>
          <w:sz w:val="18"/>
          <w:szCs w:val="18"/>
        </w:rPr>
        <w:t xml:space="preserve"> J 2010;21:947–53.</w:t>
      </w:r>
      <w:hyperlink r:id="rId54" w:tooltip="This link goes to the EL-Hefnawy et al (2010) article" w:history="1">
        <w:r w:rsidRPr="001C7FB1">
          <w:rPr>
            <w:rStyle w:val="Hyperlink"/>
            <w:sz w:val="18"/>
            <w:szCs w:val="18"/>
          </w:rPr>
          <w:t xml:space="preserve"> https://doi.org/10.1007/s00192-010-1138-9</w:t>
        </w:r>
      </w:hyperlink>
    </w:p>
    <w:p w14:paraId="1E090A67" w14:textId="3B800691" w:rsidR="007515E0" w:rsidRPr="00B201AB" w:rsidRDefault="007515E0" w:rsidP="00B201AB">
      <w:pPr>
        <w:pStyle w:val="BodyText"/>
        <w:spacing w:after="200" w:line="240" w:lineRule="auto"/>
        <w:rPr>
          <w:sz w:val="18"/>
          <w:szCs w:val="18"/>
        </w:rPr>
      </w:pPr>
      <w:r w:rsidRPr="00B201AB">
        <w:rPr>
          <w:sz w:val="18"/>
          <w:szCs w:val="18"/>
        </w:rPr>
        <w:t>128. Freeman R, Holmes D, Hillard T, Smith P, James M, Sultan A, et al. What patients think: patient</w:t>
      </w:r>
      <w:r w:rsidR="00B6130A">
        <w:rPr>
          <w:sz w:val="18"/>
          <w:szCs w:val="18"/>
        </w:rPr>
        <w:t>-</w:t>
      </w:r>
      <w:r w:rsidRPr="00B201AB">
        <w:rPr>
          <w:sz w:val="18"/>
          <w:szCs w:val="18"/>
        </w:rPr>
        <w:t xml:space="preserve">reported outcomes of retropubic versus trans-obturator mid-urethral slings for urodynamic stress incontinence– a multi-centre randomised controlled trial. Int </w:t>
      </w:r>
      <w:proofErr w:type="spellStart"/>
      <w:r w:rsidRPr="00B201AB">
        <w:rPr>
          <w:sz w:val="18"/>
          <w:szCs w:val="18"/>
        </w:rPr>
        <w:t>Urogynecol</w:t>
      </w:r>
      <w:proofErr w:type="spellEnd"/>
      <w:r w:rsidRPr="00B201AB">
        <w:rPr>
          <w:sz w:val="18"/>
          <w:szCs w:val="18"/>
        </w:rPr>
        <w:t xml:space="preserve"> J 2011;22:279–86.</w:t>
      </w:r>
      <w:hyperlink r:id="rId55" w:tooltip="This link goes to the Freeman et al (2011) article" w:history="1">
        <w:r w:rsidRPr="00D626C4">
          <w:rPr>
            <w:rStyle w:val="Hyperlink"/>
            <w:sz w:val="18"/>
            <w:szCs w:val="18"/>
          </w:rPr>
          <w:t xml:space="preserve"> https://doi.org/10.1007/s00192-010-1343-6</w:t>
        </w:r>
      </w:hyperlink>
    </w:p>
    <w:p w14:paraId="5BE0D9A6" w14:textId="77777777" w:rsidR="007515E0" w:rsidRPr="00B201AB" w:rsidRDefault="007515E0" w:rsidP="00B201AB">
      <w:pPr>
        <w:pStyle w:val="BodyText"/>
        <w:spacing w:after="200" w:line="240" w:lineRule="auto"/>
        <w:rPr>
          <w:sz w:val="18"/>
          <w:szCs w:val="18"/>
        </w:rPr>
      </w:pPr>
      <w:r w:rsidRPr="00B201AB">
        <w:rPr>
          <w:sz w:val="18"/>
          <w:szCs w:val="18"/>
        </w:rPr>
        <w:t xml:space="preserve">129. </w:t>
      </w:r>
      <w:proofErr w:type="spellStart"/>
      <w:r w:rsidRPr="00B201AB">
        <w:rPr>
          <w:sz w:val="18"/>
          <w:szCs w:val="18"/>
        </w:rPr>
        <w:t>Jakimiuk</w:t>
      </w:r>
      <w:proofErr w:type="spellEnd"/>
      <w:r w:rsidRPr="00B201AB">
        <w:rPr>
          <w:sz w:val="18"/>
          <w:szCs w:val="18"/>
        </w:rPr>
        <w:t xml:space="preserve"> AJ, </w:t>
      </w:r>
      <w:proofErr w:type="spellStart"/>
      <w:r w:rsidRPr="00B201AB">
        <w:rPr>
          <w:sz w:val="18"/>
          <w:szCs w:val="18"/>
        </w:rPr>
        <w:t>Issat</w:t>
      </w:r>
      <w:proofErr w:type="spellEnd"/>
      <w:r w:rsidRPr="00B201AB">
        <w:rPr>
          <w:sz w:val="18"/>
          <w:szCs w:val="18"/>
        </w:rPr>
        <w:t xml:space="preserve"> T, Fritz-</w:t>
      </w:r>
      <w:proofErr w:type="spellStart"/>
      <w:r w:rsidRPr="00B201AB">
        <w:rPr>
          <w:sz w:val="18"/>
          <w:szCs w:val="18"/>
        </w:rPr>
        <w:t>Rdzanek</w:t>
      </w:r>
      <w:proofErr w:type="spellEnd"/>
      <w:r w:rsidRPr="00B201AB">
        <w:rPr>
          <w:sz w:val="18"/>
          <w:szCs w:val="18"/>
        </w:rPr>
        <w:t xml:space="preserve"> A, </w:t>
      </w:r>
      <w:proofErr w:type="spellStart"/>
      <w:r w:rsidRPr="00B201AB">
        <w:rPr>
          <w:sz w:val="18"/>
          <w:szCs w:val="18"/>
        </w:rPr>
        <w:t>Maciejewski</w:t>
      </w:r>
      <w:proofErr w:type="spellEnd"/>
      <w:r w:rsidRPr="00B201AB">
        <w:rPr>
          <w:sz w:val="18"/>
          <w:szCs w:val="18"/>
        </w:rPr>
        <w:t xml:space="preserve"> T, Rogowski A, Baranowski W. Is there any difference? A prospective, </w:t>
      </w:r>
      <w:proofErr w:type="spellStart"/>
      <w:r w:rsidRPr="00B201AB">
        <w:rPr>
          <w:sz w:val="18"/>
          <w:szCs w:val="18"/>
        </w:rPr>
        <w:t>multicenter</w:t>
      </w:r>
      <w:proofErr w:type="spellEnd"/>
      <w:r w:rsidRPr="00B201AB">
        <w:rPr>
          <w:sz w:val="18"/>
          <w:szCs w:val="18"/>
        </w:rPr>
        <w:t xml:space="preserve">, randomized, single blinded clinical trial, comparing TVT with TVT-O (POLTOS study) in management of stress urinary incontinence. Short-term outcomes. </w:t>
      </w:r>
      <w:proofErr w:type="spellStart"/>
      <w:r w:rsidRPr="00B201AB">
        <w:rPr>
          <w:sz w:val="18"/>
          <w:szCs w:val="18"/>
        </w:rPr>
        <w:t>Pelviperineology</w:t>
      </w:r>
      <w:proofErr w:type="spellEnd"/>
      <w:r w:rsidRPr="00B201AB">
        <w:rPr>
          <w:sz w:val="18"/>
          <w:szCs w:val="18"/>
        </w:rPr>
        <w:t xml:space="preserve"> 2012;31:5–9.</w:t>
      </w:r>
    </w:p>
    <w:p w14:paraId="5C0A930A" w14:textId="77777777" w:rsidR="007515E0" w:rsidRPr="00B201AB" w:rsidRDefault="007515E0" w:rsidP="00B201AB">
      <w:pPr>
        <w:pStyle w:val="BodyText"/>
        <w:spacing w:after="200" w:line="240" w:lineRule="auto"/>
        <w:rPr>
          <w:sz w:val="18"/>
          <w:szCs w:val="18"/>
        </w:rPr>
      </w:pPr>
      <w:r w:rsidRPr="00B201AB">
        <w:rPr>
          <w:sz w:val="18"/>
          <w:szCs w:val="18"/>
        </w:rPr>
        <w:t xml:space="preserve">130. </w:t>
      </w:r>
      <w:proofErr w:type="spellStart"/>
      <w:r w:rsidRPr="00B201AB">
        <w:rPr>
          <w:sz w:val="18"/>
          <w:szCs w:val="18"/>
        </w:rPr>
        <w:t>Karateke</w:t>
      </w:r>
      <w:proofErr w:type="spellEnd"/>
      <w:r w:rsidRPr="00B201AB">
        <w:rPr>
          <w:sz w:val="18"/>
          <w:szCs w:val="18"/>
        </w:rPr>
        <w:t xml:space="preserve"> A, </w:t>
      </w:r>
      <w:proofErr w:type="spellStart"/>
      <w:r w:rsidRPr="00B201AB">
        <w:rPr>
          <w:sz w:val="18"/>
          <w:szCs w:val="18"/>
        </w:rPr>
        <w:t>Haliloglu</w:t>
      </w:r>
      <w:proofErr w:type="spellEnd"/>
      <w:r w:rsidRPr="00B201AB">
        <w:rPr>
          <w:sz w:val="18"/>
          <w:szCs w:val="18"/>
        </w:rPr>
        <w:t xml:space="preserve"> B, Cam C, Sakalli M. Comparison of TVT and TVT-O in patients with stress urinary incontinence: short-term cure rates and factors influencing the outcome. A prospective randomised study. Aust N Z J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Gynaecol</w:t>
      </w:r>
      <w:proofErr w:type="spellEnd"/>
      <w:r w:rsidRPr="00B201AB">
        <w:rPr>
          <w:sz w:val="18"/>
          <w:szCs w:val="18"/>
        </w:rPr>
        <w:t xml:space="preserve"> 2009;49:99–105. https://doi.org/10.1111/ j.1479-828X.2009.00957.x</w:t>
      </w:r>
    </w:p>
    <w:p w14:paraId="1CB7C964" w14:textId="77777777" w:rsidR="007515E0" w:rsidRPr="00B201AB" w:rsidRDefault="007515E0" w:rsidP="00B201AB">
      <w:pPr>
        <w:pStyle w:val="BodyText"/>
        <w:spacing w:after="200" w:line="240" w:lineRule="auto"/>
        <w:rPr>
          <w:sz w:val="18"/>
          <w:szCs w:val="18"/>
        </w:rPr>
      </w:pPr>
      <w:r w:rsidRPr="00B201AB">
        <w:rPr>
          <w:sz w:val="18"/>
          <w:szCs w:val="18"/>
        </w:rPr>
        <w:t xml:space="preserve">131. Kiliç G, Olgun G, Bilen MA, Orhan A, Dunn B. [The comparison of TVT (tension free vaginal tape) and TOT (trans-obturator vaginal tape) in the treatment of the urinary incontinence and literature search]. </w:t>
      </w:r>
      <w:proofErr w:type="spellStart"/>
      <w:r w:rsidRPr="00B201AB">
        <w:rPr>
          <w:sz w:val="18"/>
          <w:szCs w:val="18"/>
        </w:rPr>
        <w:t>Jinekoloji</w:t>
      </w:r>
      <w:proofErr w:type="spellEnd"/>
      <w:r w:rsidRPr="00B201AB">
        <w:rPr>
          <w:sz w:val="18"/>
          <w:szCs w:val="18"/>
        </w:rPr>
        <w:t xml:space="preserve"> Ve </w:t>
      </w:r>
      <w:proofErr w:type="spellStart"/>
      <w:r w:rsidRPr="00B201AB">
        <w:rPr>
          <w:sz w:val="18"/>
          <w:szCs w:val="18"/>
        </w:rPr>
        <w:t>Obstetrik</w:t>
      </w:r>
      <w:proofErr w:type="spellEnd"/>
      <w:r w:rsidRPr="00B201AB">
        <w:rPr>
          <w:sz w:val="18"/>
          <w:szCs w:val="18"/>
        </w:rPr>
        <w:t xml:space="preserve"> </w:t>
      </w:r>
      <w:proofErr w:type="spellStart"/>
      <w:r w:rsidRPr="00B201AB">
        <w:rPr>
          <w:sz w:val="18"/>
          <w:szCs w:val="18"/>
        </w:rPr>
        <w:t>Dergisi</w:t>
      </w:r>
      <w:proofErr w:type="spellEnd"/>
      <w:r w:rsidRPr="00B201AB">
        <w:rPr>
          <w:sz w:val="18"/>
          <w:szCs w:val="18"/>
        </w:rPr>
        <w:t xml:space="preserve"> 2007;21:26–31.</w:t>
      </w:r>
    </w:p>
    <w:p w14:paraId="51B5C43D" w14:textId="1F3B113E" w:rsidR="007515E0" w:rsidRPr="00B201AB" w:rsidRDefault="007515E0" w:rsidP="00B201AB">
      <w:pPr>
        <w:pStyle w:val="BodyText"/>
        <w:spacing w:after="200" w:line="240" w:lineRule="auto"/>
        <w:rPr>
          <w:sz w:val="18"/>
          <w:szCs w:val="18"/>
        </w:rPr>
      </w:pPr>
      <w:r w:rsidRPr="00B201AB">
        <w:rPr>
          <w:sz w:val="18"/>
          <w:szCs w:val="18"/>
        </w:rPr>
        <w:t>132. Kim YW, Na YG, Sul CK. [Randomized prospective study between pubovaginal sling using SPARC sling system and MONARC sling system for the treatment of female stress urinary incontinence: short</w:t>
      </w:r>
      <w:r w:rsidR="007F181F" w:rsidRPr="00B201AB">
        <w:rPr>
          <w:sz w:val="18"/>
          <w:szCs w:val="18"/>
        </w:rPr>
        <w:t>-</w:t>
      </w:r>
      <w:r w:rsidRPr="00B201AB">
        <w:rPr>
          <w:sz w:val="18"/>
          <w:szCs w:val="18"/>
        </w:rPr>
        <w:t xml:space="preserve">term results]. Korean J </w:t>
      </w:r>
      <w:proofErr w:type="spellStart"/>
      <w:r w:rsidRPr="00B201AB">
        <w:rPr>
          <w:sz w:val="18"/>
          <w:szCs w:val="18"/>
        </w:rPr>
        <w:t>Urol</w:t>
      </w:r>
      <w:proofErr w:type="spellEnd"/>
      <w:r w:rsidRPr="00B201AB">
        <w:rPr>
          <w:sz w:val="18"/>
          <w:szCs w:val="18"/>
        </w:rPr>
        <w:t xml:space="preserve"> 2005;46:1078–82.</w:t>
      </w:r>
    </w:p>
    <w:p w14:paraId="453639DE" w14:textId="4DC37D53" w:rsidR="007515E0" w:rsidRPr="00B201AB" w:rsidRDefault="007515E0" w:rsidP="00B201AB">
      <w:pPr>
        <w:pStyle w:val="BodyText"/>
        <w:spacing w:after="200" w:line="240" w:lineRule="auto"/>
        <w:rPr>
          <w:sz w:val="18"/>
          <w:szCs w:val="18"/>
        </w:rPr>
      </w:pPr>
      <w:r w:rsidRPr="00B201AB">
        <w:rPr>
          <w:sz w:val="18"/>
          <w:szCs w:val="18"/>
        </w:rPr>
        <w:t xml:space="preserve">133. Liapis A, Bakas P, </w:t>
      </w:r>
      <w:proofErr w:type="spellStart"/>
      <w:r w:rsidRPr="00B201AB">
        <w:rPr>
          <w:sz w:val="18"/>
          <w:szCs w:val="18"/>
        </w:rPr>
        <w:t>Giner</w:t>
      </w:r>
      <w:proofErr w:type="spellEnd"/>
      <w:r w:rsidRPr="00B201AB">
        <w:rPr>
          <w:sz w:val="18"/>
          <w:szCs w:val="18"/>
        </w:rPr>
        <w:t xml:space="preserve"> M, </w:t>
      </w:r>
      <w:proofErr w:type="spellStart"/>
      <w:r w:rsidRPr="00B201AB">
        <w:rPr>
          <w:sz w:val="18"/>
          <w:szCs w:val="18"/>
        </w:rPr>
        <w:t>Creatsas</w:t>
      </w:r>
      <w:proofErr w:type="spellEnd"/>
      <w:r w:rsidRPr="00B201AB">
        <w:rPr>
          <w:sz w:val="18"/>
          <w:szCs w:val="18"/>
        </w:rPr>
        <w:t xml:space="preserve"> G. Tension-free vaginal tape versus tension-free vaginal tape obturator in women with stress urinary incontinence. </w:t>
      </w:r>
      <w:proofErr w:type="spellStart"/>
      <w:r w:rsidRPr="00B201AB">
        <w:rPr>
          <w:sz w:val="18"/>
          <w:szCs w:val="18"/>
        </w:rPr>
        <w:t>Gynecol</w:t>
      </w:r>
      <w:proofErr w:type="spellEnd"/>
      <w:r w:rsidRPr="00B201AB">
        <w:rPr>
          <w:sz w:val="18"/>
          <w:szCs w:val="18"/>
        </w:rPr>
        <w:t xml:space="preserve"> </w:t>
      </w:r>
      <w:proofErr w:type="spellStart"/>
      <w:r w:rsidRPr="00B201AB">
        <w:rPr>
          <w:sz w:val="18"/>
          <w:szCs w:val="18"/>
        </w:rPr>
        <w:t>Obstet</w:t>
      </w:r>
      <w:proofErr w:type="spellEnd"/>
      <w:r w:rsidRPr="00B201AB">
        <w:rPr>
          <w:sz w:val="18"/>
          <w:szCs w:val="18"/>
        </w:rPr>
        <w:t xml:space="preserve"> Invest 2006;62:160–4. </w:t>
      </w:r>
      <w:hyperlink r:id="rId56" w:tooltip="This link goes to the Liapis et al (2006) article" w:history="1">
        <w:r w:rsidRPr="00B201AB">
          <w:rPr>
            <w:rStyle w:val="Hyperlink"/>
            <w:sz w:val="18"/>
            <w:szCs w:val="18"/>
          </w:rPr>
          <w:t>https://doi.org/10.1159/000093320</w:t>
        </w:r>
      </w:hyperlink>
    </w:p>
    <w:p w14:paraId="4C56CE18" w14:textId="5940A8F8" w:rsidR="007515E0" w:rsidRPr="00B201AB" w:rsidRDefault="007515E0" w:rsidP="00B201AB">
      <w:pPr>
        <w:pStyle w:val="BodyText"/>
        <w:spacing w:after="200" w:line="240" w:lineRule="auto"/>
        <w:rPr>
          <w:sz w:val="18"/>
          <w:szCs w:val="18"/>
        </w:rPr>
      </w:pPr>
      <w:r w:rsidRPr="00B201AB">
        <w:rPr>
          <w:sz w:val="18"/>
          <w:szCs w:val="18"/>
        </w:rPr>
        <w:t xml:space="preserve">135. </w:t>
      </w:r>
      <w:proofErr w:type="spellStart"/>
      <w:r w:rsidRPr="00B201AB">
        <w:rPr>
          <w:sz w:val="18"/>
          <w:szCs w:val="18"/>
        </w:rPr>
        <w:t>Nyyssönen</w:t>
      </w:r>
      <w:proofErr w:type="spellEnd"/>
      <w:r w:rsidRPr="00B201AB">
        <w:rPr>
          <w:sz w:val="18"/>
          <w:szCs w:val="18"/>
        </w:rPr>
        <w:t xml:space="preserve"> V, </w:t>
      </w:r>
      <w:proofErr w:type="spellStart"/>
      <w:r w:rsidRPr="00B201AB">
        <w:rPr>
          <w:sz w:val="18"/>
          <w:szCs w:val="18"/>
        </w:rPr>
        <w:t>Talvensaari</w:t>
      </w:r>
      <w:proofErr w:type="spellEnd"/>
      <w:r w:rsidRPr="00B201AB">
        <w:rPr>
          <w:sz w:val="18"/>
          <w:szCs w:val="18"/>
        </w:rPr>
        <w:t xml:space="preserve">-Mattila A, </w:t>
      </w:r>
      <w:proofErr w:type="spellStart"/>
      <w:r w:rsidRPr="00B201AB">
        <w:rPr>
          <w:sz w:val="18"/>
          <w:szCs w:val="18"/>
        </w:rPr>
        <w:t>Santala</w:t>
      </w:r>
      <w:proofErr w:type="spellEnd"/>
      <w:r w:rsidRPr="00B201AB">
        <w:rPr>
          <w:sz w:val="18"/>
          <w:szCs w:val="18"/>
        </w:rPr>
        <w:t xml:space="preserve"> M. A prospective randomized trial comparing tension-free vaginal tape versus </w:t>
      </w:r>
      <w:proofErr w:type="spellStart"/>
      <w:r w:rsidRPr="00B201AB">
        <w:rPr>
          <w:sz w:val="18"/>
          <w:szCs w:val="18"/>
        </w:rPr>
        <w:t>transobturator</w:t>
      </w:r>
      <w:proofErr w:type="spellEnd"/>
      <w:r w:rsidRPr="00B201AB">
        <w:rPr>
          <w:sz w:val="18"/>
          <w:szCs w:val="18"/>
        </w:rPr>
        <w:t xml:space="preserve"> tape in patients with stress or mixed urinary incontinence: subjective cure rate and satisfaction in median follow-up of 46 months. </w:t>
      </w:r>
      <w:proofErr w:type="spellStart"/>
      <w:r w:rsidRPr="00B201AB">
        <w:rPr>
          <w:sz w:val="18"/>
          <w:szCs w:val="18"/>
        </w:rPr>
        <w:t>Scand</w:t>
      </w:r>
      <w:proofErr w:type="spellEnd"/>
      <w:r w:rsidRPr="00B201AB">
        <w:rPr>
          <w:sz w:val="18"/>
          <w:szCs w:val="18"/>
        </w:rPr>
        <w:t xml:space="preserve"> J </w:t>
      </w:r>
      <w:proofErr w:type="spellStart"/>
      <w:r w:rsidRPr="00B201AB">
        <w:rPr>
          <w:sz w:val="18"/>
          <w:szCs w:val="18"/>
        </w:rPr>
        <w:t>Urol</w:t>
      </w:r>
      <w:proofErr w:type="spellEnd"/>
      <w:r w:rsidRPr="00B201AB">
        <w:rPr>
          <w:sz w:val="18"/>
          <w:szCs w:val="18"/>
        </w:rPr>
        <w:t xml:space="preserve"> 2014;48:309–15. </w:t>
      </w:r>
      <w:hyperlink r:id="rId57" w:tooltip="This link goes to the Nyyssonen et al (2014) article" w:history="1">
        <w:r w:rsidRPr="00B201AB">
          <w:rPr>
            <w:rStyle w:val="Hyperlink"/>
            <w:sz w:val="18"/>
            <w:szCs w:val="18"/>
          </w:rPr>
          <w:t>https://doi.org/10.3109/21681805.2013.863802</w:t>
        </w:r>
      </w:hyperlink>
    </w:p>
    <w:p w14:paraId="392D3D65" w14:textId="77777777" w:rsidR="007515E0" w:rsidRPr="00B201AB" w:rsidRDefault="007515E0" w:rsidP="00B201AB">
      <w:pPr>
        <w:pStyle w:val="BodyText"/>
        <w:spacing w:after="200" w:line="240" w:lineRule="auto"/>
        <w:rPr>
          <w:sz w:val="18"/>
          <w:szCs w:val="18"/>
        </w:rPr>
      </w:pPr>
      <w:r w:rsidRPr="00B201AB">
        <w:rPr>
          <w:sz w:val="18"/>
          <w:szCs w:val="18"/>
        </w:rPr>
        <w:t xml:space="preserve">137. Ross S, Robert M, Swaby C, Dederer L, Lier D, Tang S, et al. </w:t>
      </w:r>
      <w:proofErr w:type="spellStart"/>
      <w:r w:rsidRPr="00B201AB">
        <w:rPr>
          <w:sz w:val="18"/>
          <w:szCs w:val="18"/>
        </w:rPr>
        <w:t>Transobturator</w:t>
      </w:r>
      <w:proofErr w:type="spellEnd"/>
      <w:r w:rsidRPr="00B201AB">
        <w:rPr>
          <w:sz w:val="18"/>
          <w:szCs w:val="18"/>
        </w:rPr>
        <w:t xml:space="preserve"> tape compared with tension-free vaginal tape for stress incontinence: a randomized controlled trial.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2009;114:1287–94. https://doi.org/10.1097/AOG.0b013e3181c2a151</w:t>
      </w:r>
    </w:p>
    <w:p w14:paraId="17991AE5" w14:textId="77777777" w:rsidR="007515E0" w:rsidRPr="00B201AB" w:rsidRDefault="007515E0" w:rsidP="00B201AB">
      <w:pPr>
        <w:pStyle w:val="BodyText"/>
        <w:spacing w:after="200" w:line="240" w:lineRule="auto"/>
        <w:rPr>
          <w:sz w:val="18"/>
          <w:szCs w:val="18"/>
        </w:rPr>
      </w:pPr>
      <w:r w:rsidRPr="00B201AB">
        <w:rPr>
          <w:sz w:val="18"/>
          <w:szCs w:val="18"/>
        </w:rPr>
        <w:t xml:space="preserve">138. </w:t>
      </w:r>
      <w:proofErr w:type="spellStart"/>
      <w:r w:rsidRPr="00B201AB">
        <w:rPr>
          <w:sz w:val="18"/>
          <w:szCs w:val="18"/>
        </w:rPr>
        <w:t>Schierlitz</w:t>
      </w:r>
      <w:proofErr w:type="spellEnd"/>
      <w:r w:rsidRPr="00B201AB">
        <w:rPr>
          <w:sz w:val="18"/>
          <w:szCs w:val="18"/>
        </w:rPr>
        <w:t xml:space="preserve"> L, Dwyer PL, Rosamilia A, Murray C, Thomas E, De Souza A, et al. Effectiveness of tension-free vaginal tape compared with </w:t>
      </w:r>
      <w:proofErr w:type="spellStart"/>
      <w:r w:rsidRPr="00B201AB">
        <w:rPr>
          <w:sz w:val="18"/>
          <w:szCs w:val="18"/>
        </w:rPr>
        <w:t>transobturator</w:t>
      </w:r>
      <w:proofErr w:type="spellEnd"/>
      <w:r w:rsidRPr="00B201AB">
        <w:rPr>
          <w:sz w:val="18"/>
          <w:szCs w:val="18"/>
        </w:rPr>
        <w:t xml:space="preserve"> tape in women with stress urinary incontinence and intrinsic sphincter deficiency: a randomized controlled trial. </w:t>
      </w:r>
      <w:proofErr w:type="spellStart"/>
      <w:r w:rsidRPr="00B201AB">
        <w:rPr>
          <w:sz w:val="18"/>
          <w:szCs w:val="18"/>
        </w:rPr>
        <w:t>Obstet</w:t>
      </w:r>
      <w:proofErr w:type="spellEnd"/>
      <w:r w:rsidRPr="00B201AB">
        <w:rPr>
          <w:sz w:val="18"/>
          <w:szCs w:val="18"/>
        </w:rPr>
        <w:t xml:space="preserve"> </w:t>
      </w:r>
      <w:proofErr w:type="spellStart"/>
      <w:r w:rsidRPr="00B201AB">
        <w:rPr>
          <w:sz w:val="18"/>
          <w:szCs w:val="18"/>
        </w:rPr>
        <w:t>Gynecol</w:t>
      </w:r>
      <w:proofErr w:type="spellEnd"/>
      <w:r w:rsidRPr="00B201AB">
        <w:rPr>
          <w:sz w:val="18"/>
          <w:szCs w:val="18"/>
        </w:rPr>
        <w:t xml:space="preserve"> 2008;112:1253–61. </w:t>
      </w:r>
    </w:p>
    <w:p w14:paraId="67A97671" w14:textId="700BAD3E" w:rsidR="007515E0" w:rsidRPr="00B201AB" w:rsidRDefault="007515E0" w:rsidP="00B201AB">
      <w:pPr>
        <w:pStyle w:val="BodyText"/>
        <w:spacing w:after="200" w:line="240" w:lineRule="auto"/>
        <w:rPr>
          <w:sz w:val="18"/>
          <w:szCs w:val="18"/>
        </w:rPr>
      </w:pPr>
      <w:r w:rsidRPr="00B201AB">
        <w:rPr>
          <w:sz w:val="18"/>
          <w:szCs w:val="18"/>
        </w:rPr>
        <w:t xml:space="preserve">139. </w:t>
      </w:r>
      <w:proofErr w:type="spellStart"/>
      <w:r w:rsidRPr="00B201AB">
        <w:rPr>
          <w:sz w:val="18"/>
          <w:szCs w:val="18"/>
        </w:rPr>
        <w:t>Tanuri</w:t>
      </w:r>
      <w:proofErr w:type="spellEnd"/>
      <w:r w:rsidRPr="00B201AB">
        <w:rPr>
          <w:sz w:val="18"/>
          <w:szCs w:val="18"/>
        </w:rPr>
        <w:t xml:space="preserve"> AL, </w:t>
      </w:r>
      <w:proofErr w:type="spellStart"/>
      <w:r w:rsidRPr="00B201AB">
        <w:rPr>
          <w:sz w:val="18"/>
          <w:szCs w:val="18"/>
        </w:rPr>
        <w:t>Feldner</w:t>
      </w:r>
      <w:proofErr w:type="spellEnd"/>
      <w:r w:rsidRPr="00B201AB">
        <w:rPr>
          <w:sz w:val="18"/>
          <w:szCs w:val="18"/>
        </w:rPr>
        <w:t xml:space="preserve"> PC, Bella ZI, Castro RA, Sartori MG, Girão MJ. [Retropubic and </w:t>
      </w:r>
      <w:proofErr w:type="spellStart"/>
      <w:r w:rsidRPr="00B201AB">
        <w:rPr>
          <w:sz w:val="18"/>
          <w:szCs w:val="18"/>
        </w:rPr>
        <w:t>transobturator</w:t>
      </w:r>
      <w:proofErr w:type="spellEnd"/>
      <w:r w:rsidRPr="00B201AB">
        <w:rPr>
          <w:sz w:val="18"/>
          <w:szCs w:val="18"/>
        </w:rPr>
        <w:t xml:space="preserve"> sling in treatment of stress urinary incontinence.] Rev Assoc Med Bras 2010;56:348–54. https://doi.org/10.1590/S0104-42302010000300022</w:t>
      </w:r>
    </w:p>
    <w:p w14:paraId="6B31B02E" w14:textId="13935F3A" w:rsidR="007515E0" w:rsidRPr="00B201AB" w:rsidRDefault="007515E0" w:rsidP="00B201AB">
      <w:pPr>
        <w:pStyle w:val="BodyText"/>
        <w:spacing w:after="200" w:line="240" w:lineRule="auto"/>
        <w:rPr>
          <w:sz w:val="18"/>
          <w:szCs w:val="18"/>
        </w:rPr>
      </w:pPr>
      <w:r w:rsidRPr="00B201AB">
        <w:rPr>
          <w:sz w:val="18"/>
          <w:szCs w:val="18"/>
        </w:rPr>
        <w:t xml:space="preserve">140. Teo R, Moran P, Mayne C, </w:t>
      </w:r>
      <w:proofErr w:type="spellStart"/>
      <w:r w:rsidRPr="00B201AB">
        <w:rPr>
          <w:sz w:val="18"/>
          <w:szCs w:val="18"/>
        </w:rPr>
        <w:t>Tincello</w:t>
      </w:r>
      <w:proofErr w:type="spellEnd"/>
      <w:r w:rsidRPr="00B201AB">
        <w:rPr>
          <w:sz w:val="18"/>
          <w:szCs w:val="18"/>
        </w:rPr>
        <w:t xml:space="preserve"> D. Randomized trial of tension-free vaginal tape and tension-free vaginal tape-obturator for urodynamic stress incontinence in women. J </w:t>
      </w:r>
      <w:proofErr w:type="spellStart"/>
      <w:r w:rsidRPr="00B201AB">
        <w:rPr>
          <w:sz w:val="18"/>
          <w:szCs w:val="18"/>
        </w:rPr>
        <w:t>Urol</w:t>
      </w:r>
      <w:proofErr w:type="spellEnd"/>
      <w:r w:rsidRPr="00B201AB">
        <w:rPr>
          <w:sz w:val="18"/>
          <w:szCs w:val="18"/>
        </w:rPr>
        <w:t xml:space="preserve"> 2011;185:1350–5. </w:t>
      </w:r>
      <w:hyperlink r:id="rId58" w:tooltip="This link goes to the Teo et al (2011) article" w:history="1">
        <w:r w:rsidRPr="00B201AB">
          <w:rPr>
            <w:rStyle w:val="Hyperlink"/>
            <w:sz w:val="18"/>
            <w:szCs w:val="18"/>
          </w:rPr>
          <w:t>https://doi.org/10.1016/j.juro.2010.11.064</w:t>
        </w:r>
      </w:hyperlink>
    </w:p>
    <w:p w14:paraId="6C40BA76" w14:textId="77777777" w:rsidR="007515E0" w:rsidRPr="00B201AB" w:rsidRDefault="007515E0" w:rsidP="00B201AB">
      <w:pPr>
        <w:pStyle w:val="BodyText"/>
        <w:spacing w:after="200" w:line="240" w:lineRule="auto"/>
        <w:rPr>
          <w:sz w:val="18"/>
          <w:szCs w:val="18"/>
        </w:rPr>
      </w:pPr>
      <w:r w:rsidRPr="00B201AB">
        <w:rPr>
          <w:sz w:val="18"/>
          <w:szCs w:val="18"/>
        </w:rPr>
        <w:lastRenderedPageBreak/>
        <w:t xml:space="preserve">142. Wang F, Song Y, Huang H. Prospective randomized trial of TVT and TOT as primary treatment for female stress urinary incontinence with or without pelvic organ prolapse in Southeast China. Arch </w:t>
      </w:r>
      <w:proofErr w:type="spellStart"/>
      <w:r w:rsidRPr="00B201AB">
        <w:rPr>
          <w:sz w:val="18"/>
          <w:szCs w:val="18"/>
        </w:rPr>
        <w:t>Gynecol</w:t>
      </w:r>
      <w:proofErr w:type="spellEnd"/>
      <w:r w:rsidRPr="00B201AB">
        <w:rPr>
          <w:sz w:val="18"/>
          <w:szCs w:val="18"/>
        </w:rPr>
        <w:t xml:space="preserve"> </w:t>
      </w:r>
      <w:proofErr w:type="spellStart"/>
      <w:r w:rsidRPr="00B201AB">
        <w:rPr>
          <w:sz w:val="18"/>
          <w:szCs w:val="18"/>
        </w:rPr>
        <w:t>Obstet</w:t>
      </w:r>
      <w:proofErr w:type="spellEnd"/>
      <w:r w:rsidRPr="00B201AB">
        <w:rPr>
          <w:sz w:val="18"/>
          <w:szCs w:val="18"/>
        </w:rPr>
        <w:t xml:space="preserve"> 2010;281:279–86. https://doi.org/10.1007/s00404-009-1098-9</w:t>
      </w:r>
    </w:p>
    <w:p w14:paraId="0A3E347C" w14:textId="2E973501" w:rsidR="007515E0" w:rsidRPr="00B201AB" w:rsidRDefault="007515E0" w:rsidP="00B201AB">
      <w:pPr>
        <w:pStyle w:val="BodyText"/>
        <w:spacing w:after="200" w:line="240" w:lineRule="auto"/>
        <w:rPr>
          <w:sz w:val="18"/>
          <w:szCs w:val="18"/>
        </w:rPr>
      </w:pPr>
      <w:r w:rsidRPr="00B201AB">
        <w:rPr>
          <w:sz w:val="18"/>
          <w:szCs w:val="18"/>
        </w:rPr>
        <w:t xml:space="preserve">144. </w:t>
      </w:r>
      <w:proofErr w:type="spellStart"/>
      <w:r w:rsidRPr="00B201AB">
        <w:rPr>
          <w:sz w:val="18"/>
          <w:szCs w:val="18"/>
        </w:rPr>
        <w:t>Zullo</w:t>
      </w:r>
      <w:proofErr w:type="spellEnd"/>
      <w:r w:rsidRPr="00B201AB">
        <w:rPr>
          <w:sz w:val="18"/>
          <w:szCs w:val="18"/>
        </w:rPr>
        <w:t xml:space="preserve"> MA, </w:t>
      </w:r>
      <w:proofErr w:type="spellStart"/>
      <w:r w:rsidRPr="00B201AB">
        <w:rPr>
          <w:sz w:val="18"/>
          <w:szCs w:val="18"/>
        </w:rPr>
        <w:t>Plotti</w:t>
      </w:r>
      <w:proofErr w:type="spellEnd"/>
      <w:r w:rsidRPr="00B201AB">
        <w:rPr>
          <w:sz w:val="18"/>
          <w:szCs w:val="18"/>
        </w:rPr>
        <w:t xml:space="preserve"> F, Calcagno M, Marullo E, </w:t>
      </w:r>
      <w:proofErr w:type="spellStart"/>
      <w:r w:rsidRPr="00B201AB">
        <w:rPr>
          <w:sz w:val="18"/>
          <w:szCs w:val="18"/>
        </w:rPr>
        <w:t>Palaia</w:t>
      </w:r>
      <w:proofErr w:type="spellEnd"/>
      <w:r w:rsidRPr="00B201AB">
        <w:rPr>
          <w:sz w:val="18"/>
          <w:szCs w:val="18"/>
        </w:rPr>
        <w:t xml:space="preserve"> I, </w:t>
      </w:r>
      <w:proofErr w:type="spellStart"/>
      <w:r w:rsidRPr="00B201AB">
        <w:rPr>
          <w:sz w:val="18"/>
          <w:szCs w:val="18"/>
        </w:rPr>
        <w:t>Bellati</w:t>
      </w:r>
      <w:proofErr w:type="spellEnd"/>
      <w:r w:rsidRPr="00B201AB">
        <w:rPr>
          <w:sz w:val="18"/>
          <w:szCs w:val="18"/>
        </w:rPr>
        <w:t xml:space="preserve"> F, et al. One-year follow-up of tension-free vaginal tape (TVT) and trans-obturator </w:t>
      </w:r>
      <w:proofErr w:type="spellStart"/>
      <w:r w:rsidRPr="00B201AB">
        <w:rPr>
          <w:sz w:val="18"/>
          <w:szCs w:val="18"/>
        </w:rPr>
        <w:t>suburethral</w:t>
      </w:r>
      <w:proofErr w:type="spellEnd"/>
      <w:r w:rsidRPr="00B201AB">
        <w:rPr>
          <w:sz w:val="18"/>
          <w:szCs w:val="18"/>
        </w:rPr>
        <w:t xml:space="preserve"> tape from inside to outside (TVT-O) for surgical treatment of female stress urinary incontinence: a prospective randomised trial. </w:t>
      </w:r>
      <w:proofErr w:type="spellStart"/>
      <w:r w:rsidRPr="00B201AB">
        <w:rPr>
          <w:sz w:val="18"/>
          <w:szCs w:val="18"/>
        </w:rPr>
        <w:t>Eur</w:t>
      </w:r>
      <w:proofErr w:type="spellEnd"/>
      <w:r w:rsidRPr="00B201AB">
        <w:rPr>
          <w:sz w:val="18"/>
          <w:szCs w:val="18"/>
        </w:rPr>
        <w:t xml:space="preserve"> </w:t>
      </w:r>
      <w:proofErr w:type="spellStart"/>
      <w:r w:rsidRPr="00B201AB">
        <w:rPr>
          <w:sz w:val="18"/>
          <w:szCs w:val="18"/>
        </w:rPr>
        <w:t>Urol</w:t>
      </w:r>
      <w:proofErr w:type="spellEnd"/>
      <w:r w:rsidRPr="00B201AB">
        <w:rPr>
          <w:sz w:val="18"/>
          <w:szCs w:val="18"/>
        </w:rPr>
        <w:t xml:space="preserve"> 2007;51:1376–82. </w:t>
      </w:r>
      <w:hyperlink r:id="rId59" w:tooltip="This link goes to the Zullo et al (2007) article" w:history="1">
        <w:r w:rsidRPr="00B201AB">
          <w:rPr>
            <w:rStyle w:val="Hyperlink"/>
            <w:sz w:val="18"/>
            <w:szCs w:val="18"/>
          </w:rPr>
          <w:t>https://doi.org/10.1016/j.eururo.2006.10.066</w:t>
        </w:r>
      </w:hyperlink>
    </w:p>
    <w:p w14:paraId="15AC00F3" w14:textId="77777777" w:rsidR="0025110E" w:rsidRPr="00B0485F" w:rsidRDefault="0025110E" w:rsidP="0025110E">
      <w:pPr>
        <w:sectPr w:rsidR="0025110E" w:rsidRPr="00B0485F" w:rsidSect="003E0819">
          <w:pgSz w:w="11906" w:h="16838"/>
          <w:pgMar w:top="1134" w:right="1134" w:bottom="1134" w:left="1134" w:header="850" w:footer="709" w:gutter="0"/>
          <w:cols w:space="708"/>
          <w:docGrid w:linePitch="360"/>
        </w:sectPr>
      </w:pPr>
    </w:p>
    <w:p w14:paraId="00C7CA49" w14:textId="31E7213B" w:rsidR="00A2355A" w:rsidRDefault="00A2355A" w:rsidP="00955387">
      <w:pPr>
        <w:pStyle w:val="Heading7"/>
        <w:rPr>
          <w:iCs w:val="0"/>
        </w:rPr>
      </w:pPr>
      <w:bookmarkStart w:id="226" w:name="_Ref131161302"/>
      <w:bookmarkStart w:id="227" w:name="_Toc165627866"/>
      <w:proofErr w:type="gramStart"/>
      <w:r w:rsidRPr="0096554E">
        <w:rPr>
          <w:iCs w:val="0"/>
        </w:rPr>
        <w:lastRenderedPageBreak/>
        <w:t xml:space="preserve">NICE </w:t>
      </w:r>
      <w:r w:rsidR="001B1994">
        <w:rPr>
          <w:iCs w:val="0"/>
        </w:rPr>
        <w:t>included</w:t>
      </w:r>
      <w:proofErr w:type="gramEnd"/>
      <w:r w:rsidR="001B1994">
        <w:rPr>
          <w:iCs w:val="0"/>
        </w:rPr>
        <w:t xml:space="preserve"> studies for </w:t>
      </w:r>
      <w:r w:rsidRPr="0096554E">
        <w:rPr>
          <w:iCs w:val="0"/>
        </w:rPr>
        <w:t>long</w:t>
      </w:r>
      <w:r w:rsidR="0096554E" w:rsidRPr="0096554E">
        <w:rPr>
          <w:iCs w:val="0"/>
        </w:rPr>
        <w:t>-term complications</w:t>
      </w:r>
      <w:bookmarkEnd w:id="219"/>
      <w:bookmarkEnd w:id="226"/>
      <w:bookmarkEnd w:id="227"/>
    </w:p>
    <w:p w14:paraId="631EBFA6" w14:textId="332CBF6B" w:rsidR="00045166" w:rsidRPr="00B0485F" w:rsidRDefault="00045166" w:rsidP="00045166">
      <w:pPr>
        <w:pStyle w:val="Caption"/>
      </w:pPr>
      <w:bookmarkStart w:id="228" w:name="_Ref132282483"/>
      <w:bookmarkStart w:id="229" w:name="_Toc165627913"/>
      <w:r>
        <w:t xml:space="preserve">Table App. </w:t>
      </w:r>
      <w:fldSimple w:instr=" SEQ Table_App. \* ARABIC ">
        <w:r w:rsidR="007105D3">
          <w:rPr>
            <w:noProof/>
          </w:rPr>
          <w:t>10</w:t>
        </w:r>
      </w:fldSimple>
      <w:bookmarkEnd w:id="228"/>
      <w:r w:rsidRPr="00B0485F">
        <w:tab/>
        <w:t>Summary of studies with relevant interventions and long-term (&gt;5 years) complication data</w:t>
      </w:r>
      <w:bookmarkEnd w:id="229"/>
      <w:r w:rsidRPr="00B0485F">
        <w:t xml:space="preserve"> </w:t>
      </w:r>
    </w:p>
    <w:tbl>
      <w:tblPr>
        <w:tblStyle w:val="TableGrid"/>
        <w:tblW w:w="5000" w:type="pct"/>
        <w:tblLook w:val="04A0" w:firstRow="1" w:lastRow="0" w:firstColumn="1" w:lastColumn="0" w:noHBand="0" w:noVBand="1"/>
        <w:tblCaption w:val="Summary of studies with relevant interventions and long-term (&gt;5 years) complication data (from NICE)"/>
        <w:tblDescription w:val="This table summarises the studies with relevant interventions and long-term (&gt;5 years) complication data from the NICE review. The table reports the surgery type, study type, number of participants, outcomes, length of follow-up and study quality for each study. "/>
      </w:tblPr>
      <w:tblGrid>
        <w:gridCol w:w="3167"/>
        <w:gridCol w:w="2060"/>
        <w:gridCol w:w="2532"/>
        <w:gridCol w:w="2693"/>
        <w:gridCol w:w="2218"/>
        <w:gridCol w:w="1900"/>
      </w:tblGrid>
      <w:tr w:rsidR="00045166" w:rsidRPr="00B0485F" w14:paraId="5E2BF058" w14:textId="77777777" w:rsidTr="009833CF">
        <w:trPr>
          <w:cnfStyle w:val="100000000000" w:firstRow="1" w:lastRow="0" w:firstColumn="0" w:lastColumn="0" w:oddVBand="0" w:evenVBand="0" w:oddHBand="0" w:evenHBand="0" w:firstRowFirstColumn="0" w:firstRowLastColumn="0" w:lastRowFirstColumn="0" w:lastRowLastColumn="0"/>
        </w:trPr>
        <w:tc>
          <w:tcPr>
            <w:tcW w:w="1087" w:type="pct"/>
          </w:tcPr>
          <w:p w14:paraId="2DAB2922" w14:textId="77777777" w:rsidR="00045166" w:rsidRPr="00B0485F" w:rsidRDefault="00045166" w:rsidP="008E75D8">
            <w:pPr>
              <w:pStyle w:val="011TableHeading8pt"/>
              <w:spacing w:before="20" w:after="20" w:line="240" w:lineRule="auto"/>
            </w:pPr>
            <w:r w:rsidRPr="00B0485F">
              <w:t>Surgery type/s</w:t>
            </w:r>
          </w:p>
        </w:tc>
        <w:tc>
          <w:tcPr>
            <w:tcW w:w="707" w:type="pct"/>
          </w:tcPr>
          <w:p w14:paraId="3A7AD5C4" w14:textId="480984EC" w:rsidR="00045166" w:rsidRPr="00B0485F" w:rsidRDefault="00045166" w:rsidP="008E75D8">
            <w:pPr>
              <w:pStyle w:val="011TableHeading8pt"/>
              <w:spacing w:before="20" w:after="20" w:line="240" w:lineRule="auto"/>
            </w:pPr>
            <w:r w:rsidRPr="00B0485F">
              <w:t>Study ID</w:t>
            </w:r>
          </w:p>
        </w:tc>
        <w:tc>
          <w:tcPr>
            <w:tcW w:w="869" w:type="pct"/>
          </w:tcPr>
          <w:p w14:paraId="3F9927FD" w14:textId="77777777" w:rsidR="00045166" w:rsidRDefault="00045166" w:rsidP="008E75D8">
            <w:pPr>
              <w:pStyle w:val="011TableHeading8pt"/>
              <w:spacing w:before="20" w:after="20" w:line="240" w:lineRule="auto"/>
            </w:pPr>
            <w:r w:rsidRPr="00B0485F">
              <w:t>Study type</w:t>
            </w:r>
          </w:p>
          <w:p w14:paraId="156797F2" w14:textId="2EA70BC6" w:rsidR="00045166" w:rsidRPr="00B0485F" w:rsidRDefault="008E75D8" w:rsidP="008E75D8">
            <w:pPr>
              <w:pStyle w:val="011TableHeading8pt"/>
              <w:spacing w:before="20" w:after="20" w:line="240" w:lineRule="auto"/>
            </w:pPr>
            <w:r>
              <w:t>N</w:t>
            </w:r>
          </w:p>
        </w:tc>
        <w:tc>
          <w:tcPr>
            <w:tcW w:w="924" w:type="pct"/>
          </w:tcPr>
          <w:p w14:paraId="423CED4A" w14:textId="77777777" w:rsidR="00045166" w:rsidRPr="00B0485F" w:rsidRDefault="00045166" w:rsidP="008E75D8">
            <w:pPr>
              <w:pStyle w:val="011TableHeading8pt"/>
              <w:spacing w:before="20" w:after="20" w:line="240" w:lineRule="auto"/>
            </w:pPr>
            <w:r w:rsidRPr="00B0485F">
              <w:t>Outcomes</w:t>
            </w:r>
          </w:p>
        </w:tc>
        <w:tc>
          <w:tcPr>
            <w:tcW w:w="761" w:type="pct"/>
          </w:tcPr>
          <w:p w14:paraId="36680993" w14:textId="77777777" w:rsidR="00045166" w:rsidRPr="00B0485F" w:rsidRDefault="00045166" w:rsidP="008E75D8">
            <w:pPr>
              <w:pStyle w:val="011TableHeading8pt"/>
              <w:spacing w:before="20" w:after="20" w:line="240" w:lineRule="auto"/>
            </w:pPr>
            <w:r w:rsidRPr="00B0485F">
              <w:t>Follow-up (months)</w:t>
            </w:r>
          </w:p>
        </w:tc>
        <w:tc>
          <w:tcPr>
            <w:tcW w:w="652" w:type="pct"/>
          </w:tcPr>
          <w:p w14:paraId="50441023" w14:textId="77777777" w:rsidR="00045166" w:rsidRPr="00B0485F" w:rsidRDefault="00045166" w:rsidP="008E75D8">
            <w:pPr>
              <w:pStyle w:val="011TableHeading8pt"/>
              <w:spacing w:before="20" w:after="20" w:line="240" w:lineRule="auto"/>
            </w:pPr>
            <w:r w:rsidRPr="00B0485F">
              <w:t>Study quality</w:t>
            </w:r>
          </w:p>
        </w:tc>
      </w:tr>
      <w:tr w:rsidR="002B78CD" w:rsidRPr="00B0485F" w14:paraId="5A4DB9C6" w14:textId="77777777" w:rsidTr="009833CF">
        <w:tc>
          <w:tcPr>
            <w:tcW w:w="1087" w:type="pct"/>
            <w:shd w:val="clear" w:color="auto" w:fill="D9D9D9" w:themeFill="background1" w:themeFillShade="D9"/>
          </w:tcPr>
          <w:p w14:paraId="436738F7" w14:textId="5228EEF9" w:rsidR="002B78CD" w:rsidRPr="00B2600D" w:rsidRDefault="008C3B23" w:rsidP="008C3B23">
            <w:pPr>
              <w:pStyle w:val="031Tablesubheading8pt"/>
              <w:rPr>
                <w:caps/>
              </w:rPr>
            </w:pPr>
            <w:r w:rsidRPr="00B2600D">
              <w:rPr>
                <w:caps/>
              </w:rPr>
              <w:t>Synthetic mesh sling</w:t>
            </w:r>
          </w:p>
        </w:tc>
        <w:tc>
          <w:tcPr>
            <w:tcW w:w="707" w:type="pct"/>
            <w:shd w:val="clear" w:color="auto" w:fill="D9D9D9" w:themeFill="background1" w:themeFillShade="D9"/>
          </w:tcPr>
          <w:p w14:paraId="6A012EAD" w14:textId="77777777" w:rsidR="002B78CD" w:rsidRPr="00B0485F" w:rsidRDefault="002B78CD" w:rsidP="008C3B23">
            <w:pPr>
              <w:pStyle w:val="031Tablesubheading8pt"/>
            </w:pPr>
          </w:p>
        </w:tc>
        <w:tc>
          <w:tcPr>
            <w:tcW w:w="869" w:type="pct"/>
            <w:shd w:val="clear" w:color="auto" w:fill="D9D9D9" w:themeFill="background1" w:themeFillShade="D9"/>
          </w:tcPr>
          <w:p w14:paraId="4A687F9C" w14:textId="77777777" w:rsidR="002B78CD" w:rsidRPr="00B0485F" w:rsidRDefault="002B78CD" w:rsidP="008C3B23">
            <w:pPr>
              <w:pStyle w:val="031Tablesubheading8pt"/>
            </w:pPr>
          </w:p>
        </w:tc>
        <w:tc>
          <w:tcPr>
            <w:tcW w:w="924" w:type="pct"/>
            <w:shd w:val="clear" w:color="auto" w:fill="D9D9D9" w:themeFill="background1" w:themeFillShade="D9"/>
          </w:tcPr>
          <w:p w14:paraId="25F45891" w14:textId="77777777" w:rsidR="002B78CD" w:rsidRPr="00B0485F" w:rsidRDefault="002B78CD" w:rsidP="008C3B23">
            <w:pPr>
              <w:pStyle w:val="031Tablesubheading8pt"/>
            </w:pPr>
          </w:p>
        </w:tc>
        <w:tc>
          <w:tcPr>
            <w:tcW w:w="761" w:type="pct"/>
            <w:shd w:val="clear" w:color="auto" w:fill="D9D9D9" w:themeFill="background1" w:themeFillShade="D9"/>
          </w:tcPr>
          <w:p w14:paraId="29F684CD" w14:textId="77777777" w:rsidR="002B78CD" w:rsidRPr="00B0485F" w:rsidRDefault="002B78CD" w:rsidP="008C3B23">
            <w:pPr>
              <w:pStyle w:val="031Tablesubheading8pt"/>
            </w:pPr>
          </w:p>
        </w:tc>
        <w:tc>
          <w:tcPr>
            <w:tcW w:w="652" w:type="pct"/>
            <w:shd w:val="clear" w:color="auto" w:fill="D9D9D9" w:themeFill="background1" w:themeFillShade="D9"/>
          </w:tcPr>
          <w:p w14:paraId="715162F1" w14:textId="77777777" w:rsidR="002B78CD" w:rsidRPr="00B0485F" w:rsidRDefault="002B78CD" w:rsidP="008C3B23">
            <w:pPr>
              <w:pStyle w:val="031Tablesubheading8pt"/>
            </w:pPr>
          </w:p>
        </w:tc>
      </w:tr>
      <w:tr w:rsidR="00045166" w:rsidRPr="00B0485F" w14:paraId="24FB30B5" w14:textId="77777777" w:rsidTr="009833CF">
        <w:tc>
          <w:tcPr>
            <w:tcW w:w="1087" w:type="pct"/>
          </w:tcPr>
          <w:p w14:paraId="56B053CF" w14:textId="303D25CE" w:rsidR="00045166" w:rsidRPr="00B0485F" w:rsidRDefault="00045166" w:rsidP="008E75D8">
            <w:pPr>
              <w:pStyle w:val="051Tabletext228pt"/>
              <w:spacing w:before="20" w:after="20"/>
            </w:pPr>
            <w:r w:rsidRPr="00B0485F">
              <w:t xml:space="preserve">Retropubic </w:t>
            </w:r>
          </w:p>
        </w:tc>
        <w:tc>
          <w:tcPr>
            <w:tcW w:w="707" w:type="pct"/>
          </w:tcPr>
          <w:p w14:paraId="26C24B77" w14:textId="244C3F4D" w:rsidR="00045166" w:rsidRPr="00B0485F" w:rsidRDefault="00045166" w:rsidP="008E75D8">
            <w:pPr>
              <w:pStyle w:val="051Tabletext228pt"/>
              <w:spacing w:before="20" w:after="20"/>
            </w:pPr>
            <w:proofErr w:type="spellStart"/>
            <w:r w:rsidRPr="00B0485F">
              <w:t>Aigmuller</w:t>
            </w:r>
            <w:proofErr w:type="spellEnd"/>
            <w:r w:rsidRPr="00B0485F">
              <w:t xml:space="preserve"> 2011</w:t>
            </w:r>
          </w:p>
        </w:tc>
        <w:tc>
          <w:tcPr>
            <w:tcW w:w="869" w:type="pct"/>
          </w:tcPr>
          <w:p w14:paraId="0AEB64DC" w14:textId="77777777" w:rsidR="00045166" w:rsidRDefault="00045166" w:rsidP="008E75D8">
            <w:pPr>
              <w:pStyle w:val="051Tabletext228pt"/>
              <w:spacing w:before="20" w:after="20"/>
            </w:pPr>
            <w:r w:rsidRPr="00B0485F">
              <w:t>Case series</w:t>
            </w:r>
          </w:p>
          <w:p w14:paraId="06D5CB02" w14:textId="6D2DC52A" w:rsidR="00045166" w:rsidRPr="00B0485F" w:rsidRDefault="008E75D8" w:rsidP="008E75D8">
            <w:pPr>
              <w:pStyle w:val="051Tabletext228pt"/>
              <w:spacing w:before="20" w:after="20"/>
            </w:pPr>
            <w:r>
              <w:t>N=141</w:t>
            </w:r>
          </w:p>
        </w:tc>
        <w:tc>
          <w:tcPr>
            <w:tcW w:w="924" w:type="pct"/>
          </w:tcPr>
          <w:p w14:paraId="52D9B6BC" w14:textId="77777777" w:rsidR="00045166" w:rsidRPr="00B0485F" w:rsidRDefault="00045166" w:rsidP="008E75D8">
            <w:pPr>
              <w:pStyle w:val="051Tabletext228pt"/>
              <w:spacing w:before="20" w:after="20"/>
            </w:pPr>
            <w:r w:rsidRPr="00B0485F">
              <w:t>De novo urgency</w:t>
            </w:r>
          </w:p>
        </w:tc>
        <w:tc>
          <w:tcPr>
            <w:tcW w:w="761" w:type="pct"/>
          </w:tcPr>
          <w:p w14:paraId="05442E2E" w14:textId="77777777" w:rsidR="00045166" w:rsidRPr="00B0485F" w:rsidRDefault="00045166" w:rsidP="008E75D8">
            <w:pPr>
              <w:pStyle w:val="051Tabletext228pt"/>
              <w:spacing w:before="20" w:after="20"/>
            </w:pPr>
            <w:r w:rsidRPr="00B0485F">
              <w:t>115.7 (mean)</w:t>
            </w:r>
          </w:p>
        </w:tc>
        <w:tc>
          <w:tcPr>
            <w:tcW w:w="652" w:type="pct"/>
          </w:tcPr>
          <w:p w14:paraId="23AC530F" w14:textId="77777777" w:rsidR="00045166" w:rsidRPr="00B0485F" w:rsidRDefault="00045166" w:rsidP="008E75D8">
            <w:pPr>
              <w:pStyle w:val="051Tabletext228pt"/>
              <w:spacing w:before="20" w:after="20"/>
            </w:pPr>
            <w:r w:rsidRPr="00B0485F">
              <w:t>Serious risk of bias</w:t>
            </w:r>
          </w:p>
        </w:tc>
      </w:tr>
      <w:tr w:rsidR="00045166" w:rsidRPr="00B0485F" w14:paraId="328BED04" w14:textId="77777777" w:rsidTr="009833CF">
        <w:tc>
          <w:tcPr>
            <w:tcW w:w="1087" w:type="pct"/>
          </w:tcPr>
          <w:p w14:paraId="53884374" w14:textId="1C25204D" w:rsidR="00045166" w:rsidRPr="00B0485F" w:rsidRDefault="00045166" w:rsidP="008E75D8">
            <w:pPr>
              <w:pStyle w:val="051Tabletext228pt"/>
              <w:spacing w:before="20" w:after="20"/>
            </w:pPr>
            <w:r w:rsidRPr="00B0485F">
              <w:t xml:space="preserve">Retropubic </w:t>
            </w:r>
          </w:p>
        </w:tc>
        <w:tc>
          <w:tcPr>
            <w:tcW w:w="707" w:type="pct"/>
          </w:tcPr>
          <w:p w14:paraId="204C22DF" w14:textId="0D506300" w:rsidR="00045166" w:rsidRPr="00B0485F" w:rsidRDefault="00045166" w:rsidP="008E75D8">
            <w:pPr>
              <w:pStyle w:val="051Tabletext228pt"/>
              <w:spacing w:before="20" w:after="20"/>
            </w:pPr>
            <w:r w:rsidRPr="00B0485F">
              <w:t>Ala-Nissila 2010</w:t>
            </w:r>
          </w:p>
        </w:tc>
        <w:tc>
          <w:tcPr>
            <w:tcW w:w="869" w:type="pct"/>
          </w:tcPr>
          <w:p w14:paraId="4CE56D11" w14:textId="77777777" w:rsidR="00045166" w:rsidRDefault="00045166" w:rsidP="008E75D8">
            <w:pPr>
              <w:pStyle w:val="051Tabletext228pt"/>
              <w:spacing w:before="20" w:after="20"/>
            </w:pPr>
            <w:r w:rsidRPr="00B0485F">
              <w:t>Prospective cohort</w:t>
            </w:r>
          </w:p>
          <w:p w14:paraId="23E2945D" w14:textId="20C74EB1" w:rsidR="00045166" w:rsidRPr="00B0485F" w:rsidRDefault="008E75D8" w:rsidP="008E75D8">
            <w:pPr>
              <w:pStyle w:val="051Tabletext228pt"/>
              <w:spacing w:before="20" w:after="20"/>
            </w:pPr>
            <w:r>
              <w:t>N=130</w:t>
            </w:r>
          </w:p>
        </w:tc>
        <w:tc>
          <w:tcPr>
            <w:tcW w:w="924" w:type="pct"/>
          </w:tcPr>
          <w:p w14:paraId="466274F9" w14:textId="77777777" w:rsidR="00045166" w:rsidRPr="00B0485F" w:rsidRDefault="00045166" w:rsidP="008E75D8">
            <w:pPr>
              <w:pStyle w:val="051Tabletext228pt"/>
              <w:spacing w:before="20" w:after="20"/>
            </w:pPr>
            <w:r w:rsidRPr="00B0485F">
              <w:t>POP occurrence</w:t>
            </w:r>
          </w:p>
        </w:tc>
        <w:tc>
          <w:tcPr>
            <w:tcW w:w="761" w:type="pct"/>
          </w:tcPr>
          <w:p w14:paraId="4A2E4F58" w14:textId="77777777" w:rsidR="00045166" w:rsidRPr="00B0485F" w:rsidRDefault="00045166" w:rsidP="008E75D8">
            <w:pPr>
              <w:pStyle w:val="051Tabletext228pt"/>
              <w:spacing w:before="20" w:after="20"/>
            </w:pPr>
            <w:r w:rsidRPr="00B0485F">
              <w:t>96 (mean)</w:t>
            </w:r>
          </w:p>
        </w:tc>
        <w:tc>
          <w:tcPr>
            <w:tcW w:w="652" w:type="pct"/>
          </w:tcPr>
          <w:p w14:paraId="6DA6C978" w14:textId="77777777" w:rsidR="00045166" w:rsidRPr="00B0485F" w:rsidRDefault="00045166" w:rsidP="008E75D8">
            <w:pPr>
              <w:pStyle w:val="051Tabletext228pt"/>
              <w:spacing w:before="20" w:after="20"/>
            </w:pPr>
            <w:r w:rsidRPr="00B0485F">
              <w:t>Serious risk of bias</w:t>
            </w:r>
          </w:p>
        </w:tc>
      </w:tr>
      <w:tr w:rsidR="00045166" w:rsidRPr="00B0485F" w14:paraId="2869E094" w14:textId="77777777" w:rsidTr="009833CF">
        <w:tc>
          <w:tcPr>
            <w:tcW w:w="1087" w:type="pct"/>
          </w:tcPr>
          <w:p w14:paraId="3D108600" w14:textId="5FF2AD66" w:rsidR="00045166" w:rsidRPr="00B0485F" w:rsidRDefault="00045166" w:rsidP="008E75D8">
            <w:pPr>
              <w:pStyle w:val="051Tabletext228pt"/>
              <w:spacing w:before="20" w:after="20"/>
            </w:pPr>
            <w:r w:rsidRPr="00B0485F">
              <w:t xml:space="preserve">Retropubic </w:t>
            </w:r>
          </w:p>
        </w:tc>
        <w:tc>
          <w:tcPr>
            <w:tcW w:w="707" w:type="pct"/>
          </w:tcPr>
          <w:p w14:paraId="734053F1" w14:textId="082EADC4" w:rsidR="00045166" w:rsidRPr="00B0485F" w:rsidRDefault="00045166" w:rsidP="008E75D8">
            <w:pPr>
              <w:pStyle w:val="051Tabletext228pt"/>
              <w:spacing w:before="20" w:after="20"/>
            </w:pPr>
            <w:r w:rsidRPr="00B0485F">
              <w:t>Betschart 2011</w:t>
            </w:r>
          </w:p>
        </w:tc>
        <w:tc>
          <w:tcPr>
            <w:tcW w:w="869" w:type="pct"/>
          </w:tcPr>
          <w:p w14:paraId="2BF1387C" w14:textId="77777777" w:rsidR="00045166" w:rsidRDefault="00045166" w:rsidP="008E75D8">
            <w:pPr>
              <w:pStyle w:val="051Tabletext228pt"/>
              <w:spacing w:before="20" w:after="20"/>
            </w:pPr>
            <w:r w:rsidRPr="00B0485F">
              <w:t>Retrospective cohort</w:t>
            </w:r>
          </w:p>
          <w:p w14:paraId="05E14009" w14:textId="19856DDE" w:rsidR="00045166" w:rsidRPr="00B0485F" w:rsidRDefault="008E75D8" w:rsidP="008E75D8">
            <w:pPr>
              <w:pStyle w:val="051Tabletext228pt"/>
              <w:spacing w:before="20" w:after="20"/>
            </w:pPr>
            <w:r>
              <w:t>N=422</w:t>
            </w:r>
          </w:p>
        </w:tc>
        <w:tc>
          <w:tcPr>
            <w:tcW w:w="924" w:type="pct"/>
          </w:tcPr>
          <w:p w14:paraId="2D6259EF" w14:textId="77777777" w:rsidR="00045166" w:rsidRPr="00B0485F" w:rsidRDefault="00045166" w:rsidP="008E75D8">
            <w:pPr>
              <w:pStyle w:val="051Tabletext228pt"/>
              <w:spacing w:before="20" w:after="20"/>
            </w:pPr>
            <w:r w:rsidRPr="00B0485F">
              <w:t>Mesh extrusion</w:t>
            </w:r>
          </w:p>
          <w:p w14:paraId="3120F64C" w14:textId="77777777" w:rsidR="00045166" w:rsidRPr="00B0485F" w:rsidRDefault="00045166" w:rsidP="008E75D8">
            <w:pPr>
              <w:pStyle w:val="051Tabletext228pt"/>
              <w:spacing w:before="20" w:after="20"/>
            </w:pPr>
            <w:r w:rsidRPr="00B0485F">
              <w:t>Infection</w:t>
            </w:r>
          </w:p>
        </w:tc>
        <w:tc>
          <w:tcPr>
            <w:tcW w:w="761" w:type="pct"/>
          </w:tcPr>
          <w:p w14:paraId="58959E98" w14:textId="77777777" w:rsidR="00045166" w:rsidRPr="00B0485F" w:rsidRDefault="00045166" w:rsidP="008E75D8">
            <w:pPr>
              <w:pStyle w:val="051Tabletext228pt"/>
              <w:spacing w:before="20" w:after="20"/>
            </w:pPr>
            <w:r w:rsidRPr="00B0485F">
              <w:t>66</w:t>
            </w:r>
          </w:p>
        </w:tc>
        <w:tc>
          <w:tcPr>
            <w:tcW w:w="652" w:type="pct"/>
          </w:tcPr>
          <w:p w14:paraId="7EF21704" w14:textId="77777777" w:rsidR="00045166" w:rsidRPr="00B0485F" w:rsidRDefault="00045166" w:rsidP="008E75D8">
            <w:pPr>
              <w:pStyle w:val="051Tabletext228pt"/>
              <w:spacing w:before="20" w:after="20"/>
            </w:pPr>
            <w:r w:rsidRPr="00B0485F">
              <w:t>Serious risk of bias</w:t>
            </w:r>
          </w:p>
        </w:tc>
      </w:tr>
      <w:tr w:rsidR="00045166" w:rsidRPr="00B0485F" w14:paraId="2F2E9690" w14:textId="77777777" w:rsidTr="009833CF">
        <w:tc>
          <w:tcPr>
            <w:tcW w:w="1087" w:type="pct"/>
          </w:tcPr>
          <w:p w14:paraId="00D94571" w14:textId="01CCDC8C" w:rsidR="00045166" w:rsidRPr="00B0485F" w:rsidRDefault="00045166" w:rsidP="008E75D8">
            <w:pPr>
              <w:pStyle w:val="051Tabletext228pt"/>
              <w:spacing w:before="20" w:after="20"/>
            </w:pPr>
            <w:r w:rsidRPr="00B0485F">
              <w:t xml:space="preserve">Retropubic </w:t>
            </w:r>
          </w:p>
        </w:tc>
        <w:tc>
          <w:tcPr>
            <w:tcW w:w="707" w:type="pct"/>
          </w:tcPr>
          <w:p w14:paraId="2A49B1F4" w14:textId="77777777" w:rsidR="00045166" w:rsidRPr="00B0485F" w:rsidRDefault="00045166" w:rsidP="008E75D8">
            <w:pPr>
              <w:pStyle w:val="051Tabletext228pt"/>
              <w:spacing w:before="20" w:after="20"/>
            </w:pPr>
            <w:r w:rsidRPr="00B0485F">
              <w:t>Braga 2018</w:t>
            </w:r>
          </w:p>
          <w:p w14:paraId="683CB66E" w14:textId="1DB150F7" w:rsidR="00045166" w:rsidRPr="00B0485F" w:rsidRDefault="00045166" w:rsidP="008E75D8">
            <w:pPr>
              <w:pStyle w:val="051Tabletext228pt"/>
              <w:spacing w:before="20" w:after="20"/>
            </w:pPr>
          </w:p>
        </w:tc>
        <w:tc>
          <w:tcPr>
            <w:tcW w:w="869" w:type="pct"/>
          </w:tcPr>
          <w:p w14:paraId="3FD4B66B" w14:textId="77777777" w:rsidR="00045166" w:rsidRDefault="00045166" w:rsidP="008E75D8">
            <w:pPr>
              <w:pStyle w:val="051Tabletext228pt"/>
              <w:spacing w:before="20" w:after="20"/>
            </w:pPr>
            <w:r w:rsidRPr="00B0485F">
              <w:t>Case series</w:t>
            </w:r>
          </w:p>
          <w:p w14:paraId="7C2F88AA" w14:textId="742D41CE" w:rsidR="00045166" w:rsidRPr="00B0485F" w:rsidRDefault="00495CC3" w:rsidP="008E75D8">
            <w:pPr>
              <w:pStyle w:val="051Tabletext228pt"/>
              <w:spacing w:before="20" w:after="20"/>
            </w:pPr>
            <w:r>
              <w:t>N=52</w:t>
            </w:r>
          </w:p>
        </w:tc>
        <w:tc>
          <w:tcPr>
            <w:tcW w:w="924" w:type="pct"/>
          </w:tcPr>
          <w:p w14:paraId="469ADD17" w14:textId="77777777" w:rsidR="00045166" w:rsidRPr="00B0485F" w:rsidRDefault="00045166" w:rsidP="008E75D8">
            <w:pPr>
              <w:pStyle w:val="051Tabletext228pt"/>
              <w:spacing w:before="20" w:after="20"/>
            </w:pPr>
            <w:r w:rsidRPr="00B0485F">
              <w:t>Mesh erosion</w:t>
            </w:r>
          </w:p>
          <w:p w14:paraId="3E209498" w14:textId="77777777" w:rsidR="00045166" w:rsidRPr="00B0485F" w:rsidRDefault="00045166" w:rsidP="008E75D8">
            <w:pPr>
              <w:pStyle w:val="051Tabletext228pt"/>
              <w:spacing w:before="20" w:after="20"/>
            </w:pPr>
            <w:r w:rsidRPr="00B0485F">
              <w:t>De novo urge incontinence</w:t>
            </w:r>
          </w:p>
          <w:p w14:paraId="02F171E0" w14:textId="77777777" w:rsidR="00045166" w:rsidRPr="00B0485F" w:rsidRDefault="00045166" w:rsidP="008E75D8">
            <w:pPr>
              <w:pStyle w:val="051Tabletext228pt"/>
              <w:spacing w:before="20" w:after="20"/>
            </w:pPr>
            <w:r w:rsidRPr="00B0485F">
              <w:t>POP occurrence</w:t>
            </w:r>
          </w:p>
        </w:tc>
        <w:tc>
          <w:tcPr>
            <w:tcW w:w="761" w:type="pct"/>
          </w:tcPr>
          <w:p w14:paraId="03AA4C03" w14:textId="77777777" w:rsidR="00045166" w:rsidRPr="00B0485F" w:rsidRDefault="00045166" w:rsidP="008E75D8">
            <w:pPr>
              <w:pStyle w:val="051Tabletext228pt"/>
              <w:spacing w:before="20" w:after="20"/>
            </w:pPr>
            <w:r w:rsidRPr="00B0485F">
              <w:t>204</w:t>
            </w:r>
          </w:p>
        </w:tc>
        <w:tc>
          <w:tcPr>
            <w:tcW w:w="652" w:type="pct"/>
          </w:tcPr>
          <w:p w14:paraId="3732B3F5" w14:textId="77777777" w:rsidR="00045166" w:rsidRPr="00B0485F" w:rsidRDefault="00045166" w:rsidP="008E75D8">
            <w:pPr>
              <w:pStyle w:val="051Tabletext228pt"/>
              <w:spacing w:before="20" w:after="20"/>
            </w:pPr>
            <w:r w:rsidRPr="00B0485F">
              <w:t>Serious risk of bias</w:t>
            </w:r>
          </w:p>
        </w:tc>
      </w:tr>
      <w:tr w:rsidR="00045166" w:rsidRPr="00B0485F" w14:paraId="4C28B3A2" w14:textId="77777777" w:rsidTr="009833CF">
        <w:tc>
          <w:tcPr>
            <w:tcW w:w="1087" w:type="pct"/>
          </w:tcPr>
          <w:p w14:paraId="2952D154" w14:textId="2B359E02" w:rsidR="00045166" w:rsidRPr="00B0485F" w:rsidRDefault="00045166" w:rsidP="008E75D8">
            <w:pPr>
              <w:pStyle w:val="051Tabletext228pt"/>
              <w:spacing w:before="20" w:after="20"/>
            </w:pPr>
            <w:r w:rsidRPr="00B0485F">
              <w:t xml:space="preserve">Retropubic </w:t>
            </w:r>
          </w:p>
        </w:tc>
        <w:tc>
          <w:tcPr>
            <w:tcW w:w="707" w:type="pct"/>
          </w:tcPr>
          <w:p w14:paraId="69355423" w14:textId="77777777" w:rsidR="00045166" w:rsidRPr="00B0485F" w:rsidRDefault="00045166" w:rsidP="008E75D8">
            <w:pPr>
              <w:pStyle w:val="051Tabletext228pt"/>
              <w:spacing w:before="20" w:after="20"/>
            </w:pPr>
            <w:proofErr w:type="spellStart"/>
            <w:r w:rsidRPr="00B0485F">
              <w:t>Chevrot</w:t>
            </w:r>
            <w:proofErr w:type="spellEnd"/>
            <w:r w:rsidRPr="00B0485F">
              <w:t xml:space="preserve"> 2016</w:t>
            </w:r>
          </w:p>
          <w:p w14:paraId="3DE9ADA3" w14:textId="160A6500" w:rsidR="00045166" w:rsidRPr="00B0485F" w:rsidRDefault="00045166" w:rsidP="008E75D8">
            <w:pPr>
              <w:pStyle w:val="051Tabletext228pt"/>
              <w:spacing w:before="20" w:after="20"/>
            </w:pPr>
          </w:p>
        </w:tc>
        <w:tc>
          <w:tcPr>
            <w:tcW w:w="869" w:type="pct"/>
          </w:tcPr>
          <w:p w14:paraId="4A83F527" w14:textId="77777777" w:rsidR="00045166" w:rsidRDefault="00045166" w:rsidP="008E75D8">
            <w:pPr>
              <w:pStyle w:val="051Tabletext228pt"/>
              <w:spacing w:before="20" w:after="20"/>
            </w:pPr>
            <w:r w:rsidRPr="00B0485F">
              <w:t>Case series</w:t>
            </w:r>
          </w:p>
          <w:p w14:paraId="48B727C5" w14:textId="5AE8CFF8" w:rsidR="00045166" w:rsidRPr="00B0485F" w:rsidRDefault="00495CC3" w:rsidP="008E75D8">
            <w:pPr>
              <w:pStyle w:val="051Tabletext228pt"/>
              <w:spacing w:before="20" w:after="20"/>
            </w:pPr>
            <w:r>
              <w:t>N=463</w:t>
            </w:r>
          </w:p>
        </w:tc>
        <w:tc>
          <w:tcPr>
            <w:tcW w:w="924" w:type="pct"/>
          </w:tcPr>
          <w:p w14:paraId="357D9D70" w14:textId="77777777" w:rsidR="00045166" w:rsidRPr="00B0485F" w:rsidRDefault="00045166" w:rsidP="008E75D8">
            <w:pPr>
              <w:pStyle w:val="051Tabletext228pt"/>
              <w:spacing w:before="20" w:after="20"/>
            </w:pPr>
            <w:r w:rsidRPr="00B0485F">
              <w:t xml:space="preserve">Pain </w:t>
            </w:r>
          </w:p>
          <w:p w14:paraId="2F0DA89B" w14:textId="77777777" w:rsidR="00045166" w:rsidRPr="00B0485F" w:rsidRDefault="00045166" w:rsidP="008E75D8">
            <w:pPr>
              <w:pStyle w:val="051Tabletext228pt"/>
              <w:spacing w:before="20" w:after="20"/>
            </w:pPr>
            <w:r w:rsidRPr="00B0485F">
              <w:t>Mesh exposure</w:t>
            </w:r>
          </w:p>
          <w:p w14:paraId="3A0A10C2" w14:textId="77777777" w:rsidR="00045166" w:rsidRPr="00B0485F" w:rsidRDefault="00045166" w:rsidP="008E75D8">
            <w:pPr>
              <w:pStyle w:val="051Tabletext228pt"/>
              <w:spacing w:before="20" w:after="20"/>
            </w:pPr>
            <w:r w:rsidRPr="00B0485F">
              <w:t>Infection</w:t>
            </w:r>
          </w:p>
          <w:p w14:paraId="2F31C323" w14:textId="77777777" w:rsidR="00045166" w:rsidRPr="00B0485F" w:rsidRDefault="00045166" w:rsidP="008E75D8">
            <w:pPr>
              <w:pStyle w:val="051Tabletext228pt"/>
              <w:spacing w:before="20" w:after="20"/>
            </w:pPr>
            <w:r w:rsidRPr="00B0485F">
              <w:t>De novo urge incontinence</w:t>
            </w:r>
          </w:p>
        </w:tc>
        <w:tc>
          <w:tcPr>
            <w:tcW w:w="761" w:type="pct"/>
          </w:tcPr>
          <w:p w14:paraId="2317D555" w14:textId="77777777" w:rsidR="00045166" w:rsidRPr="00B0485F" w:rsidRDefault="00045166" w:rsidP="008E75D8">
            <w:pPr>
              <w:pStyle w:val="051Tabletext228pt"/>
              <w:spacing w:before="20" w:after="20"/>
            </w:pPr>
            <w:r w:rsidRPr="00B0485F">
              <w:t>71 (mean)</w:t>
            </w:r>
          </w:p>
        </w:tc>
        <w:tc>
          <w:tcPr>
            <w:tcW w:w="652" w:type="pct"/>
          </w:tcPr>
          <w:p w14:paraId="645FD985" w14:textId="77777777" w:rsidR="00045166" w:rsidRPr="00B0485F" w:rsidRDefault="00045166" w:rsidP="008E75D8">
            <w:pPr>
              <w:pStyle w:val="051Tabletext228pt"/>
              <w:spacing w:before="20" w:after="20"/>
            </w:pPr>
            <w:r w:rsidRPr="00B0485F">
              <w:t>Serious risk of bias</w:t>
            </w:r>
          </w:p>
        </w:tc>
      </w:tr>
      <w:tr w:rsidR="00045166" w:rsidRPr="00B0485F" w14:paraId="7E650615" w14:textId="77777777" w:rsidTr="009833CF">
        <w:tc>
          <w:tcPr>
            <w:tcW w:w="1087" w:type="pct"/>
          </w:tcPr>
          <w:p w14:paraId="50803268" w14:textId="42FB8094" w:rsidR="00045166" w:rsidRPr="00B0485F" w:rsidRDefault="00045166" w:rsidP="008E75D8">
            <w:pPr>
              <w:pStyle w:val="051Tabletext228pt"/>
              <w:spacing w:before="20" w:after="20"/>
            </w:pPr>
            <w:r w:rsidRPr="00B0485F">
              <w:t xml:space="preserve">Retropubic </w:t>
            </w:r>
          </w:p>
        </w:tc>
        <w:tc>
          <w:tcPr>
            <w:tcW w:w="707" w:type="pct"/>
          </w:tcPr>
          <w:p w14:paraId="611A907A" w14:textId="77777777" w:rsidR="00045166" w:rsidRPr="00B0485F" w:rsidRDefault="00045166" w:rsidP="008E75D8">
            <w:pPr>
              <w:pStyle w:val="051Tabletext228pt"/>
              <w:spacing w:before="20" w:after="20"/>
            </w:pPr>
            <w:r w:rsidRPr="00B0485F">
              <w:t>Doo 2006</w:t>
            </w:r>
          </w:p>
          <w:p w14:paraId="53258A36" w14:textId="348787F8" w:rsidR="00045166" w:rsidRPr="00B0485F" w:rsidRDefault="00045166" w:rsidP="008E75D8">
            <w:pPr>
              <w:pStyle w:val="051Tabletext228pt"/>
              <w:spacing w:before="20" w:after="20"/>
            </w:pPr>
          </w:p>
        </w:tc>
        <w:tc>
          <w:tcPr>
            <w:tcW w:w="869" w:type="pct"/>
          </w:tcPr>
          <w:p w14:paraId="29ABEF9A" w14:textId="77777777" w:rsidR="00045166" w:rsidRDefault="00045166" w:rsidP="008E75D8">
            <w:pPr>
              <w:pStyle w:val="051Tabletext228pt"/>
              <w:spacing w:before="20" w:after="20"/>
            </w:pPr>
            <w:r w:rsidRPr="00B0485F">
              <w:t>Case series</w:t>
            </w:r>
          </w:p>
          <w:p w14:paraId="6234170D" w14:textId="18575C76" w:rsidR="00045166" w:rsidRPr="00B0485F" w:rsidRDefault="00495CC3" w:rsidP="008E75D8">
            <w:pPr>
              <w:pStyle w:val="051Tabletext228pt"/>
              <w:spacing w:before="20" w:after="20"/>
            </w:pPr>
            <w:r>
              <w:t>N=134</w:t>
            </w:r>
          </w:p>
        </w:tc>
        <w:tc>
          <w:tcPr>
            <w:tcW w:w="924" w:type="pct"/>
          </w:tcPr>
          <w:p w14:paraId="03653AF9" w14:textId="77777777" w:rsidR="00045166" w:rsidRPr="00B0485F" w:rsidRDefault="00045166" w:rsidP="008E75D8">
            <w:pPr>
              <w:pStyle w:val="051Tabletext228pt"/>
              <w:spacing w:before="20" w:after="20"/>
            </w:pPr>
            <w:r w:rsidRPr="00B0485F">
              <w:t>Pain</w:t>
            </w:r>
          </w:p>
          <w:p w14:paraId="5D940F7D" w14:textId="77777777" w:rsidR="00045166" w:rsidRPr="00B0485F" w:rsidRDefault="00045166" w:rsidP="008E75D8">
            <w:pPr>
              <w:pStyle w:val="051Tabletext228pt"/>
              <w:spacing w:before="20" w:after="20"/>
            </w:pPr>
            <w:r w:rsidRPr="00B0485F">
              <w:t>Need for catheterisation</w:t>
            </w:r>
          </w:p>
          <w:p w14:paraId="14230E9F" w14:textId="77777777" w:rsidR="00045166" w:rsidRPr="00B0485F" w:rsidRDefault="00045166" w:rsidP="008E75D8">
            <w:pPr>
              <w:pStyle w:val="051Tabletext228pt"/>
              <w:spacing w:before="20" w:after="20"/>
            </w:pPr>
            <w:r w:rsidRPr="00B0485F">
              <w:t>Infection</w:t>
            </w:r>
          </w:p>
        </w:tc>
        <w:tc>
          <w:tcPr>
            <w:tcW w:w="761" w:type="pct"/>
          </w:tcPr>
          <w:p w14:paraId="1FF4A5EE" w14:textId="77777777" w:rsidR="00045166" w:rsidRPr="00B0485F" w:rsidRDefault="00045166" w:rsidP="008E75D8">
            <w:pPr>
              <w:pStyle w:val="051Tabletext228pt"/>
              <w:spacing w:before="20" w:after="20"/>
            </w:pPr>
            <w:r w:rsidRPr="00B0485F">
              <w:t>67 (mean)</w:t>
            </w:r>
          </w:p>
        </w:tc>
        <w:tc>
          <w:tcPr>
            <w:tcW w:w="652" w:type="pct"/>
          </w:tcPr>
          <w:p w14:paraId="078E6FD5" w14:textId="77777777" w:rsidR="00045166" w:rsidRPr="00B0485F" w:rsidRDefault="00045166" w:rsidP="008E75D8">
            <w:pPr>
              <w:pStyle w:val="051Tabletext228pt"/>
              <w:spacing w:before="20" w:after="20"/>
            </w:pPr>
            <w:r w:rsidRPr="00B0485F">
              <w:t>Serious risk of bias</w:t>
            </w:r>
          </w:p>
        </w:tc>
      </w:tr>
      <w:tr w:rsidR="00045166" w:rsidRPr="00B0485F" w14:paraId="0183B7EA" w14:textId="77777777" w:rsidTr="009833CF">
        <w:tc>
          <w:tcPr>
            <w:tcW w:w="1087" w:type="pct"/>
          </w:tcPr>
          <w:p w14:paraId="04A74D51" w14:textId="4580940B" w:rsidR="00045166" w:rsidRPr="00B0485F" w:rsidRDefault="00045166" w:rsidP="008E75D8">
            <w:pPr>
              <w:pStyle w:val="051Tabletext228pt"/>
              <w:spacing w:before="20" w:after="20"/>
            </w:pPr>
            <w:r w:rsidRPr="00B0485F">
              <w:t xml:space="preserve">Retropubic </w:t>
            </w:r>
          </w:p>
        </w:tc>
        <w:tc>
          <w:tcPr>
            <w:tcW w:w="707" w:type="pct"/>
          </w:tcPr>
          <w:p w14:paraId="214DCF4E" w14:textId="77777777" w:rsidR="00045166" w:rsidRPr="00B0485F" w:rsidRDefault="00045166" w:rsidP="008E75D8">
            <w:pPr>
              <w:pStyle w:val="051Tabletext228pt"/>
              <w:spacing w:before="20" w:after="20"/>
            </w:pPr>
            <w:r w:rsidRPr="00B0485F">
              <w:t>Han 2014</w:t>
            </w:r>
          </w:p>
          <w:p w14:paraId="4116A3A0" w14:textId="2FA923AB" w:rsidR="00045166" w:rsidRPr="00B0485F" w:rsidRDefault="00045166" w:rsidP="008E75D8">
            <w:pPr>
              <w:pStyle w:val="051Tabletext228pt"/>
              <w:spacing w:before="20" w:after="20"/>
            </w:pPr>
          </w:p>
        </w:tc>
        <w:tc>
          <w:tcPr>
            <w:tcW w:w="869" w:type="pct"/>
          </w:tcPr>
          <w:p w14:paraId="6D242C8A" w14:textId="77777777" w:rsidR="00045166" w:rsidRDefault="00045166" w:rsidP="008E75D8">
            <w:pPr>
              <w:pStyle w:val="051Tabletext228pt"/>
              <w:spacing w:before="20" w:after="20"/>
            </w:pPr>
            <w:r w:rsidRPr="00B0485F">
              <w:t>Case series</w:t>
            </w:r>
          </w:p>
          <w:p w14:paraId="1C90051F" w14:textId="098D9D8E" w:rsidR="00045166" w:rsidRPr="00B0485F" w:rsidRDefault="00495CC3" w:rsidP="008E75D8">
            <w:pPr>
              <w:pStyle w:val="051Tabletext228pt"/>
              <w:spacing w:before="20" w:after="20"/>
            </w:pPr>
            <w:r>
              <w:t>N=88</w:t>
            </w:r>
          </w:p>
        </w:tc>
        <w:tc>
          <w:tcPr>
            <w:tcW w:w="924" w:type="pct"/>
          </w:tcPr>
          <w:p w14:paraId="5C21417D" w14:textId="77777777" w:rsidR="00045166" w:rsidRPr="00B0485F" w:rsidRDefault="00045166" w:rsidP="008E75D8">
            <w:pPr>
              <w:pStyle w:val="051Tabletext228pt"/>
              <w:spacing w:before="20" w:after="20"/>
            </w:pPr>
            <w:r w:rsidRPr="00B0485F">
              <w:t>Pain</w:t>
            </w:r>
          </w:p>
          <w:p w14:paraId="02DA4057" w14:textId="77777777" w:rsidR="00045166" w:rsidRPr="00B0485F" w:rsidRDefault="00045166" w:rsidP="008E75D8">
            <w:pPr>
              <w:pStyle w:val="051Tabletext228pt"/>
              <w:spacing w:before="20" w:after="20"/>
            </w:pPr>
            <w:r w:rsidRPr="00B0485F">
              <w:t>Need for catheterisation</w:t>
            </w:r>
          </w:p>
          <w:p w14:paraId="09E2FA9D" w14:textId="77777777" w:rsidR="00045166" w:rsidRPr="00B0485F" w:rsidRDefault="00045166" w:rsidP="008E75D8">
            <w:pPr>
              <w:pStyle w:val="051Tabletext228pt"/>
              <w:spacing w:before="20" w:after="20"/>
            </w:pPr>
            <w:r w:rsidRPr="00B0485F">
              <w:t>De novo urge incontinence</w:t>
            </w:r>
          </w:p>
          <w:p w14:paraId="63B50492" w14:textId="77777777" w:rsidR="00045166" w:rsidRPr="00B0485F" w:rsidRDefault="00045166" w:rsidP="008E75D8">
            <w:pPr>
              <w:pStyle w:val="051Tabletext228pt"/>
              <w:spacing w:before="20" w:after="20"/>
            </w:pPr>
            <w:r w:rsidRPr="00B0485F">
              <w:t>De novo urgency</w:t>
            </w:r>
          </w:p>
        </w:tc>
        <w:tc>
          <w:tcPr>
            <w:tcW w:w="761" w:type="pct"/>
          </w:tcPr>
          <w:p w14:paraId="327D33F7" w14:textId="77777777" w:rsidR="00045166" w:rsidRPr="00B0485F" w:rsidRDefault="00045166" w:rsidP="008E75D8">
            <w:pPr>
              <w:pStyle w:val="051Tabletext228pt"/>
              <w:spacing w:before="20" w:after="20"/>
            </w:pPr>
            <w:r w:rsidRPr="00B0485F">
              <w:t>144</w:t>
            </w:r>
          </w:p>
        </w:tc>
        <w:tc>
          <w:tcPr>
            <w:tcW w:w="652" w:type="pct"/>
          </w:tcPr>
          <w:p w14:paraId="083F5A9C" w14:textId="77777777" w:rsidR="00045166" w:rsidRPr="00B0485F" w:rsidRDefault="00045166" w:rsidP="008E75D8">
            <w:pPr>
              <w:pStyle w:val="051Tabletext228pt"/>
              <w:spacing w:before="20" w:after="20"/>
            </w:pPr>
            <w:r w:rsidRPr="00B0485F">
              <w:t>Serious risk of bias</w:t>
            </w:r>
          </w:p>
        </w:tc>
      </w:tr>
      <w:tr w:rsidR="00045166" w:rsidRPr="00B0485F" w14:paraId="79023D88" w14:textId="77777777" w:rsidTr="009833CF">
        <w:tc>
          <w:tcPr>
            <w:tcW w:w="1087" w:type="pct"/>
          </w:tcPr>
          <w:p w14:paraId="35334A0D" w14:textId="70BC4182" w:rsidR="00045166" w:rsidRPr="00B0485F" w:rsidRDefault="00045166" w:rsidP="008E75D8">
            <w:pPr>
              <w:pStyle w:val="051Tabletext228pt"/>
              <w:spacing w:before="20" w:after="20"/>
            </w:pPr>
            <w:r w:rsidRPr="00B0485F">
              <w:t xml:space="preserve">Retropubic </w:t>
            </w:r>
          </w:p>
        </w:tc>
        <w:tc>
          <w:tcPr>
            <w:tcW w:w="707" w:type="pct"/>
          </w:tcPr>
          <w:p w14:paraId="0BAC977D" w14:textId="77777777" w:rsidR="00045166" w:rsidRPr="00B0485F" w:rsidRDefault="00045166" w:rsidP="008E75D8">
            <w:pPr>
              <w:pStyle w:val="051Tabletext228pt"/>
              <w:spacing w:before="20" w:after="20"/>
            </w:pPr>
            <w:r w:rsidRPr="00B0485F">
              <w:t>Heinonen 2013</w:t>
            </w:r>
          </w:p>
          <w:p w14:paraId="773C4F51" w14:textId="1B787356" w:rsidR="00045166" w:rsidRPr="00B0485F" w:rsidRDefault="00045166" w:rsidP="008E75D8">
            <w:pPr>
              <w:pStyle w:val="051Tabletext228pt"/>
              <w:spacing w:before="20" w:after="20"/>
            </w:pPr>
          </w:p>
        </w:tc>
        <w:tc>
          <w:tcPr>
            <w:tcW w:w="869" w:type="pct"/>
          </w:tcPr>
          <w:p w14:paraId="16353A00" w14:textId="77777777" w:rsidR="00045166" w:rsidRDefault="00045166" w:rsidP="008E75D8">
            <w:pPr>
              <w:pStyle w:val="051Tabletext228pt"/>
              <w:spacing w:before="20" w:after="20"/>
            </w:pPr>
            <w:r w:rsidRPr="00B0485F">
              <w:t>Case series</w:t>
            </w:r>
          </w:p>
          <w:p w14:paraId="5FBBC1C2" w14:textId="5550F64B" w:rsidR="00045166" w:rsidRPr="00B0485F" w:rsidRDefault="00495CC3" w:rsidP="008E75D8">
            <w:pPr>
              <w:pStyle w:val="051Tabletext228pt"/>
              <w:spacing w:before="20" w:after="20"/>
            </w:pPr>
            <w:r>
              <w:t>N=138</w:t>
            </w:r>
          </w:p>
        </w:tc>
        <w:tc>
          <w:tcPr>
            <w:tcW w:w="924" w:type="pct"/>
          </w:tcPr>
          <w:p w14:paraId="4105244A" w14:textId="77777777" w:rsidR="00045166" w:rsidRPr="00B0485F" w:rsidRDefault="00045166" w:rsidP="008E75D8">
            <w:pPr>
              <w:pStyle w:val="051Tabletext228pt"/>
              <w:spacing w:before="20" w:after="20"/>
            </w:pPr>
            <w:r w:rsidRPr="00B0485F">
              <w:t>Pain</w:t>
            </w:r>
          </w:p>
          <w:p w14:paraId="7D4E0B89" w14:textId="77777777" w:rsidR="00045166" w:rsidRPr="00B0485F" w:rsidRDefault="00045166" w:rsidP="008E75D8">
            <w:pPr>
              <w:pStyle w:val="051Tabletext228pt"/>
              <w:spacing w:before="20" w:after="20"/>
            </w:pPr>
            <w:r w:rsidRPr="00B0485F">
              <w:t>Infection</w:t>
            </w:r>
          </w:p>
        </w:tc>
        <w:tc>
          <w:tcPr>
            <w:tcW w:w="761" w:type="pct"/>
          </w:tcPr>
          <w:p w14:paraId="361D931C" w14:textId="77777777" w:rsidR="00045166" w:rsidRPr="00B0485F" w:rsidRDefault="00045166" w:rsidP="008E75D8">
            <w:pPr>
              <w:pStyle w:val="051Tabletext228pt"/>
              <w:spacing w:before="20" w:after="20"/>
            </w:pPr>
            <w:r w:rsidRPr="00B0485F">
              <w:t>126.5 (mean)</w:t>
            </w:r>
          </w:p>
        </w:tc>
        <w:tc>
          <w:tcPr>
            <w:tcW w:w="652" w:type="pct"/>
          </w:tcPr>
          <w:p w14:paraId="27A17B41" w14:textId="77777777" w:rsidR="00045166" w:rsidRPr="00B0485F" w:rsidRDefault="00045166" w:rsidP="008E75D8">
            <w:pPr>
              <w:pStyle w:val="051Tabletext228pt"/>
              <w:spacing w:before="20" w:after="20"/>
            </w:pPr>
            <w:r w:rsidRPr="00B0485F">
              <w:t>Serious risk of bias</w:t>
            </w:r>
          </w:p>
        </w:tc>
      </w:tr>
      <w:tr w:rsidR="00045166" w:rsidRPr="00B0485F" w14:paraId="10371564" w14:textId="77777777" w:rsidTr="009833CF">
        <w:tc>
          <w:tcPr>
            <w:tcW w:w="1087" w:type="pct"/>
          </w:tcPr>
          <w:p w14:paraId="65FF9133" w14:textId="012A1E6D" w:rsidR="00045166" w:rsidRPr="00B0485F" w:rsidRDefault="00045166" w:rsidP="008E75D8">
            <w:pPr>
              <w:pStyle w:val="051Tabletext228pt"/>
              <w:spacing w:before="20" w:after="20"/>
            </w:pPr>
            <w:r w:rsidRPr="00B0485F">
              <w:t xml:space="preserve">Retropubic </w:t>
            </w:r>
          </w:p>
        </w:tc>
        <w:tc>
          <w:tcPr>
            <w:tcW w:w="707" w:type="pct"/>
          </w:tcPr>
          <w:p w14:paraId="1872490A" w14:textId="77777777" w:rsidR="00045166" w:rsidRPr="00B0485F" w:rsidRDefault="00045166" w:rsidP="008E75D8">
            <w:pPr>
              <w:pStyle w:val="051Tabletext228pt"/>
              <w:spacing w:before="20" w:after="20"/>
            </w:pPr>
            <w:r w:rsidRPr="00B0485F">
              <w:t>Holmgreen 2007</w:t>
            </w:r>
          </w:p>
          <w:p w14:paraId="7368D39B" w14:textId="434A4AA0" w:rsidR="00045166" w:rsidRPr="00B0485F" w:rsidRDefault="00045166" w:rsidP="008E75D8">
            <w:pPr>
              <w:pStyle w:val="051Tabletext228pt"/>
              <w:spacing w:before="20" w:after="20"/>
            </w:pPr>
          </w:p>
        </w:tc>
        <w:tc>
          <w:tcPr>
            <w:tcW w:w="869" w:type="pct"/>
          </w:tcPr>
          <w:p w14:paraId="0E13EC48" w14:textId="77777777" w:rsidR="00045166" w:rsidRDefault="00045166" w:rsidP="008E75D8">
            <w:pPr>
              <w:pStyle w:val="051Tabletext228pt"/>
              <w:spacing w:before="20" w:after="20"/>
            </w:pPr>
            <w:r w:rsidRPr="00B0485F">
              <w:t>Case series</w:t>
            </w:r>
          </w:p>
          <w:p w14:paraId="178ACC62" w14:textId="0C346E48" w:rsidR="00045166" w:rsidRPr="00B0485F" w:rsidRDefault="00495CC3" w:rsidP="008E75D8">
            <w:pPr>
              <w:pStyle w:val="051Tabletext228pt"/>
              <w:spacing w:before="20" w:after="20"/>
            </w:pPr>
            <w:r>
              <w:t>N=463</w:t>
            </w:r>
          </w:p>
        </w:tc>
        <w:tc>
          <w:tcPr>
            <w:tcW w:w="924" w:type="pct"/>
          </w:tcPr>
          <w:p w14:paraId="42CF94CF" w14:textId="77777777" w:rsidR="00045166" w:rsidRPr="00B0485F" w:rsidRDefault="00045166" w:rsidP="008E75D8">
            <w:pPr>
              <w:pStyle w:val="051Tabletext228pt"/>
              <w:spacing w:before="20" w:after="20"/>
            </w:pPr>
            <w:r w:rsidRPr="00B0485F">
              <w:t>Pain</w:t>
            </w:r>
          </w:p>
          <w:p w14:paraId="308C8E6F" w14:textId="77777777" w:rsidR="00045166" w:rsidRPr="00B0485F" w:rsidRDefault="00045166" w:rsidP="008E75D8">
            <w:pPr>
              <w:pStyle w:val="051Tabletext228pt"/>
              <w:spacing w:before="20" w:after="20"/>
            </w:pPr>
            <w:r w:rsidRPr="00B0485F">
              <w:t>Infection</w:t>
            </w:r>
          </w:p>
          <w:p w14:paraId="1B410BDF" w14:textId="77777777" w:rsidR="00045166" w:rsidRPr="00B0485F" w:rsidRDefault="00045166" w:rsidP="008E75D8">
            <w:pPr>
              <w:pStyle w:val="051Tabletext228pt"/>
              <w:spacing w:before="20" w:after="20"/>
            </w:pPr>
            <w:r w:rsidRPr="00B0485F">
              <w:t>De novo urgency</w:t>
            </w:r>
          </w:p>
        </w:tc>
        <w:tc>
          <w:tcPr>
            <w:tcW w:w="761" w:type="pct"/>
          </w:tcPr>
          <w:p w14:paraId="297131CB" w14:textId="77777777" w:rsidR="00045166" w:rsidRPr="00B0485F" w:rsidRDefault="00045166" w:rsidP="008E75D8">
            <w:pPr>
              <w:pStyle w:val="051Tabletext228pt"/>
              <w:spacing w:before="20" w:after="20"/>
            </w:pPr>
            <w:r w:rsidRPr="00B0485F">
              <w:t>62.4 (median)</w:t>
            </w:r>
          </w:p>
        </w:tc>
        <w:tc>
          <w:tcPr>
            <w:tcW w:w="652" w:type="pct"/>
          </w:tcPr>
          <w:p w14:paraId="76901308" w14:textId="77777777" w:rsidR="00045166" w:rsidRPr="00B0485F" w:rsidRDefault="00045166" w:rsidP="008E75D8">
            <w:pPr>
              <w:pStyle w:val="051Tabletext228pt"/>
              <w:spacing w:before="20" w:after="20"/>
            </w:pPr>
            <w:r w:rsidRPr="00B0485F">
              <w:t>Serious risk of bias</w:t>
            </w:r>
          </w:p>
        </w:tc>
      </w:tr>
      <w:tr w:rsidR="00045166" w:rsidRPr="00B0485F" w14:paraId="3002ACEF" w14:textId="77777777" w:rsidTr="009833CF">
        <w:tc>
          <w:tcPr>
            <w:tcW w:w="1087" w:type="pct"/>
          </w:tcPr>
          <w:p w14:paraId="2C3C5DFE" w14:textId="47DDFB5D" w:rsidR="00045166" w:rsidRPr="00B0485F" w:rsidRDefault="00045166" w:rsidP="008E75D8">
            <w:pPr>
              <w:pStyle w:val="051Tabletext228pt"/>
              <w:spacing w:before="20" w:after="20"/>
            </w:pPr>
            <w:r w:rsidRPr="00B0485F">
              <w:t>Retropubic</w:t>
            </w:r>
          </w:p>
        </w:tc>
        <w:tc>
          <w:tcPr>
            <w:tcW w:w="707" w:type="pct"/>
          </w:tcPr>
          <w:p w14:paraId="22EEA9C0" w14:textId="77777777" w:rsidR="00045166" w:rsidRPr="00B0485F" w:rsidRDefault="00045166" w:rsidP="008E75D8">
            <w:pPr>
              <w:pStyle w:val="051Tabletext228pt"/>
              <w:spacing w:before="20" w:after="20"/>
            </w:pPr>
            <w:proofErr w:type="spellStart"/>
            <w:r w:rsidRPr="00B0485F">
              <w:t>Kuuva</w:t>
            </w:r>
            <w:proofErr w:type="spellEnd"/>
            <w:r w:rsidRPr="00B0485F">
              <w:t xml:space="preserve"> 2006</w:t>
            </w:r>
          </w:p>
          <w:p w14:paraId="38F2E160" w14:textId="4108F248" w:rsidR="00045166" w:rsidRPr="00B0485F" w:rsidRDefault="00045166" w:rsidP="008E75D8">
            <w:pPr>
              <w:pStyle w:val="051Tabletext228pt"/>
              <w:spacing w:before="20" w:after="20"/>
            </w:pPr>
          </w:p>
        </w:tc>
        <w:tc>
          <w:tcPr>
            <w:tcW w:w="869" w:type="pct"/>
          </w:tcPr>
          <w:p w14:paraId="501D35F5" w14:textId="77777777" w:rsidR="00045166" w:rsidRDefault="00045166" w:rsidP="008E75D8">
            <w:pPr>
              <w:pStyle w:val="051Tabletext228pt"/>
              <w:spacing w:before="20" w:after="20"/>
            </w:pPr>
            <w:r w:rsidRPr="00B0485F">
              <w:t>Case series</w:t>
            </w:r>
          </w:p>
          <w:p w14:paraId="58BCE34F" w14:textId="541E57AE" w:rsidR="00045166" w:rsidRPr="00B0485F" w:rsidRDefault="00495CC3" w:rsidP="008E75D8">
            <w:pPr>
              <w:pStyle w:val="051Tabletext228pt"/>
              <w:spacing w:before="20" w:after="20"/>
            </w:pPr>
            <w:r>
              <w:t>N=129</w:t>
            </w:r>
          </w:p>
        </w:tc>
        <w:tc>
          <w:tcPr>
            <w:tcW w:w="924" w:type="pct"/>
          </w:tcPr>
          <w:p w14:paraId="616939D2" w14:textId="77777777" w:rsidR="00045166" w:rsidRPr="00B0485F" w:rsidRDefault="00045166" w:rsidP="008E75D8">
            <w:pPr>
              <w:pStyle w:val="051Tabletext228pt"/>
              <w:spacing w:before="20" w:after="20"/>
            </w:pPr>
            <w:r w:rsidRPr="00B0485F">
              <w:t>Mesh extrusion</w:t>
            </w:r>
          </w:p>
          <w:p w14:paraId="1CDC0B40" w14:textId="77777777" w:rsidR="00045166" w:rsidRPr="00B0485F" w:rsidRDefault="00045166" w:rsidP="008E75D8">
            <w:pPr>
              <w:pStyle w:val="051Tabletext228pt"/>
              <w:spacing w:before="20" w:after="20"/>
            </w:pPr>
            <w:r w:rsidRPr="00B0485F">
              <w:t>Infection</w:t>
            </w:r>
          </w:p>
          <w:p w14:paraId="40A8678C" w14:textId="77777777" w:rsidR="00045166" w:rsidRPr="00B0485F" w:rsidRDefault="00045166" w:rsidP="008E75D8">
            <w:pPr>
              <w:pStyle w:val="051Tabletext228pt"/>
              <w:spacing w:before="20" w:after="20"/>
            </w:pPr>
            <w:r w:rsidRPr="00B0485F">
              <w:t>De novo urge incontinence</w:t>
            </w:r>
          </w:p>
        </w:tc>
        <w:tc>
          <w:tcPr>
            <w:tcW w:w="761" w:type="pct"/>
          </w:tcPr>
          <w:p w14:paraId="179942C6" w14:textId="77777777" w:rsidR="00045166" w:rsidRPr="00B0485F" w:rsidRDefault="00045166" w:rsidP="008E75D8">
            <w:pPr>
              <w:pStyle w:val="051Tabletext228pt"/>
              <w:spacing w:before="20" w:after="20"/>
            </w:pPr>
            <w:r w:rsidRPr="00B0485F">
              <w:t>72 (median)</w:t>
            </w:r>
          </w:p>
        </w:tc>
        <w:tc>
          <w:tcPr>
            <w:tcW w:w="652" w:type="pct"/>
          </w:tcPr>
          <w:p w14:paraId="6DA36265" w14:textId="77777777" w:rsidR="00045166" w:rsidRPr="00B0485F" w:rsidRDefault="00045166" w:rsidP="008E75D8">
            <w:pPr>
              <w:pStyle w:val="051Tabletext228pt"/>
              <w:spacing w:before="20" w:after="20"/>
            </w:pPr>
            <w:r w:rsidRPr="00B0485F">
              <w:t>Serious risk of bias</w:t>
            </w:r>
          </w:p>
        </w:tc>
      </w:tr>
      <w:tr w:rsidR="00045166" w:rsidRPr="00B0485F" w14:paraId="67C3B213" w14:textId="77777777" w:rsidTr="009833CF">
        <w:tc>
          <w:tcPr>
            <w:tcW w:w="1087" w:type="pct"/>
          </w:tcPr>
          <w:p w14:paraId="71B12A8F" w14:textId="2A00E85E" w:rsidR="00045166" w:rsidRPr="00B0485F" w:rsidRDefault="00045166" w:rsidP="008E75D8">
            <w:pPr>
              <w:pStyle w:val="051Tabletext228pt"/>
              <w:spacing w:before="20" w:after="20"/>
            </w:pPr>
            <w:r w:rsidRPr="00B0485F">
              <w:t xml:space="preserve">Retropubic </w:t>
            </w:r>
          </w:p>
        </w:tc>
        <w:tc>
          <w:tcPr>
            <w:tcW w:w="707" w:type="pct"/>
          </w:tcPr>
          <w:p w14:paraId="34BA92B5" w14:textId="77777777" w:rsidR="00045166" w:rsidRPr="00B0485F" w:rsidRDefault="00045166" w:rsidP="008E75D8">
            <w:pPr>
              <w:pStyle w:val="051Tabletext228pt"/>
              <w:spacing w:before="20" w:after="20"/>
            </w:pPr>
            <w:r w:rsidRPr="00B0485F">
              <w:t>Lee 2010</w:t>
            </w:r>
          </w:p>
          <w:p w14:paraId="749AECD0" w14:textId="192AB1A3" w:rsidR="00045166" w:rsidRPr="00B0485F" w:rsidRDefault="00045166" w:rsidP="008E75D8">
            <w:pPr>
              <w:pStyle w:val="051Tabletext228pt"/>
              <w:spacing w:before="20" w:after="20"/>
            </w:pPr>
          </w:p>
        </w:tc>
        <w:tc>
          <w:tcPr>
            <w:tcW w:w="869" w:type="pct"/>
          </w:tcPr>
          <w:p w14:paraId="2D7783A3" w14:textId="77777777" w:rsidR="00045166" w:rsidRDefault="00045166" w:rsidP="008E75D8">
            <w:pPr>
              <w:pStyle w:val="051Tabletext228pt"/>
              <w:spacing w:before="20" w:after="20"/>
            </w:pPr>
            <w:r w:rsidRPr="00B0485F">
              <w:t>Case series</w:t>
            </w:r>
          </w:p>
          <w:p w14:paraId="767BD734" w14:textId="5ED0935E" w:rsidR="00045166" w:rsidRPr="00B0485F" w:rsidRDefault="00495CC3" w:rsidP="008E75D8">
            <w:pPr>
              <w:pStyle w:val="051Tabletext228pt"/>
              <w:spacing w:before="20" w:after="20"/>
            </w:pPr>
            <w:r>
              <w:t>N=107</w:t>
            </w:r>
          </w:p>
        </w:tc>
        <w:tc>
          <w:tcPr>
            <w:tcW w:w="924" w:type="pct"/>
          </w:tcPr>
          <w:p w14:paraId="07FBD89C" w14:textId="77777777" w:rsidR="00045166" w:rsidRPr="00B0485F" w:rsidRDefault="00045166" w:rsidP="008E75D8">
            <w:pPr>
              <w:pStyle w:val="051Tabletext228pt"/>
              <w:spacing w:before="20" w:after="20"/>
            </w:pPr>
            <w:r w:rsidRPr="00B0485F">
              <w:t>De novo urge incontinence</w:t>
            </w:r>
          </w:p>
          <w:p w14:paraId="63B18FBE" w14:textId="77777777" w:rsidR="00045166" w:rsidRPr="00B0485F" w:rsidRDefault="00045166" w:rsidP="008E75D8">
            <w:pPr>
              <w:pStyle w:val="051Tabletext228pt"/>
              <w:spacing w:before="20" w:after="20"/>
            </w:pPr>
            <w:r w:rsidRPr="00B0485F">
              <w:t>De novo urgency</w:t>
            </w:r>
          </w:p>
        </w:tc>
        <w:tc>
          <w:tcPr>
            <w:tcW w:w="761" w:type="pct"/>
          </w:tcPr>
          <w:p w14:paraId="2DE45945" w14:textId="77777777" w:rsidR="00045166" w:rsidRPr="00B0485F" w:rsidRDefault="00045166" w:rsidP="008E75D8">
            <w:pPr>
              <w:pStyle w:val="051Tabletext228pt"/>
              <w:spacing w:before="20" w:after="20"/>
            </w:pPr>
            <w:r w:rsidRPr="00B0485F">
              <w:t>72</w:t>
            </w:r>
          </w:p>
        </w:tc>
        <w:tc>
          <w:tcPr>
            <w:tcW w:w="652" w:type="pct"/>
          </w:tcPr>
          <w:p w14:paraId="2C417F77" w14:textId="77777777" w:rsidR="00045166" w:rsidRPr="00B0485F" w:rsidRDefault="00045166" w:rsidP="008E75D8">
            <w:pPr>
              <w:pStyle w:val="051Tabletext228pt"/>
              <w:spacing w:before="20" w:after="20"/>
            </w:pPr>
            <w:r w:rsidRPr="00B0485F">
              <w:t>Serious risk of bias</w:t>
            </w:r>
          </w:p>
        </w:tc>
      </w:tr>
      <w:tr w:rsidR="00045166" w:rsidRPr="00B0485F" w14:paraId="6B8BB5D0" w14:textId="77777777" w:rsidTr="009833CF">
        <w:tc>
          <w:tcPr>
            <w:tcW w:w="1087" w:type="pct"/>
          </w:tcPr>
          <w:p w14:paraId="5993656F" w14:textId="7FDF2B52" w:rsidR="00045166" w:rsidRPr="00B0485F" w:rsidRDefault="00045166" w:rsidP="008E75D8">
            <w:pPr>
              <w:pStyle w:val="051Tabletext228pt"/>
              <w:spacing w:before="20" w:after="20"/>
            </w:pPr>
            <w:r w:rsidRPr="00B0485F">
              <w:lastRenderedPageBreak/>
              <w:t xml:space="preserve">Retropubic </w:t>
            </w:r>
          </w:p>
        </w:tc>
        <w:tc>
          <w:tcPr>
            <w:tcW w:w="707" w:type="pct"/>
          </w:tcPr>
          <w:p w14:paraId="06A727B3" w14:textId="77777777" w:rsidR="00045166" w:rsidRPr="00B0485F" w:rsidRDefault="00045166" w:rsidP="008E75D8">
            <w:pPr>
              <w:pStyle w:val="051Tabletext228pt"/>
              <w:spacing w:before="20" w:after="20"/>
            </w:pPr>
            <w:r w:rsidRPr="00B0485F">
              <w:t>Nilsson 2004, 2008, 2013</w:t>
            </w:r>
          </w:p>
          <w:p w14:paraId="55AA9F5F" w14:textId="2392312E" w:rsidR="00045166" w:rsidRPr="00B0485F" w:rsidRDefault="00045166" w:rsidP="008E75D8">
            <w:pPr>
              <w:pStyle w:val="051Tabletext228pt"/>
              <w:spacing w:before="20" w:after="20"/>
            </w:pPr>
          </w:p>
        </w:tc>
        <w:tc>
          <w:tcPr>
            <w:tcW w:w="869" w:type="pct"/>
          </w:tcPr>
          <w:p w14:paraId="15A4CB9A" w14:textId="77777777" w:rsidR="00045166" w:rsidRDefault="00045166" w:rsidP="008E75D8">
            <w:pPr>
              <w:pStyle w:val="051Tabletext228pt"/>
              <w:spacing w:before="20" w:after="20"/>
            </w:pPr>
            <w:r w:rsidRPr="00B0485F">
              <w:t>Case series</w:t>
            </w:r>
          </w:p>
          <w:p w14:paraId="0DB0D2D6" w14:textId="124E9B4F" w:rsidR="00045166" w:rsidRPr="00B0485F" w:rsidRDefault="00D17519" w:rsidP="008E75D8">
            <w:pPr>
              <w:pStyle w:val="051Tabletext228pt"/>
              <w:spacing w:before="20" w:after="20"/>
            </w:pPr>
            <w:r>
              <w:t>N=80</w:t>
            </w:r>
          </w:p>
        </w:tc>
        <w:tc>
          <w:tcPr>
            <w:tcW w:w="924" w:type="pct"/>
          </w:tcPr>
          <w:p w14:paraId="53950E9E" w14:textId="77777777" w:rsidR="00045166" w:rsidRPr="00B0485F" w:rsidRDefault="00045166" w:rsidP="008E75D8">
            <w:pPr>
              <w:pStyle w:val="051Tabletext228pt"/>
              <w:spacing w:before="20" w:after="20"/>
            </w:pPr>
            <w:r w:rsidRPr="00B0485F">
              <w:t>Infection</w:t>
            </w:r>
          </w:p>
          <w:p w14:paraId="185EAA0E" w14:textId="77777777" w:rsidR="00045166" w:rsidRPr="00B0485F" w:rsidRDefault="00045166" w:rsidP="008E75D8">
            <w:pPr>
              <w:pStyle w:val="051Tabletext228pt"/>
              <w:spacing w:before="20" w:after="20"/>
            </w:pPr>
            <w:r w:rsidRPr="00B0485F">
              <w:t>De novo urge incontinence</w:t>
            </w:r>
          </w:p>
          <w:p w14:paraId="02AE88B9" w14:textId="77777777" w:rsidR="00045166" w:rsidRPr="00B0485F" w:rsidRDefault="00045166" w:rsidP="008E75D8">
            <w:pPr>
              <w:pStyle w:val="051Tabletext228pt"/>
              <w:spacing w:before="20" w:after="20"/>
            </w:pPr>
            <w:r w:rsidRPr="00B0485F">
              <w:t>POP occurrence</w:t>
            </w:r>
          </w:p>
          <w:p w14:paraId="641E8877" w14:textId="77777777" w:rsidR="00045166" w:rsidRPr="00B0485F" w:rsidRDefault="00045166" w:rsidP="008E75D8">
            <w:pPr>
              <w:pStyle w:val="051Tabletext228pt"/>
              <w:spacing w:before="20" w:after="20"/>
            </w:pPr>
            <w:r w:rsidRPr="00B0485F">
              <w:t>Mesh extrusion</w:t>
            </w:r>
          </w:p>
          <w:p w14:paraId="02662B9B" w14:textId="77777777" w:rsidR="00045166" w:rsidRPr="00B0485F" w:rsidRDefault="00045166" w:rsidP="008E75D8">
            <w:pPr>
              <w:pStyle w:val="051Tabletext228pt"/>
              <w:spacing w:before="20" w:after="20"/>
            </w:pPr>
            <w:r w:rsidRPr="00B0485F">
              <w:t>Need for catheterisation</w:t>
            </w:r>
          </w:p>
          <w:p w14:paraId="2ED04A0D" w14:textId="77777777" w:rsidR="00045166" w:rsidRPr="00B0485F" w:rsidRDefault="00045166" w:rsidP="008E75D8">
            <w:pPr>
              <w:pStyle w:val="051Tabletext228pt"/>
              <w:spacing w:before="20" w:after="20"/>
            </w:pPr>
            <w:r w:rsidRPr="00B0485F">
              <w:t>Mesh extrusion</w:t>
            </w:r>
          </w:p>
          <w:p w14:paraId="07B5AD84" w14:textId="77777777" w:rsidR="00045166" w:rsidRPr="00B0485F" w:rsidRDefault="00045166" w:rsidP="008E75D8">
            <w:pPr>
              <w:pStyle w:val="051Tabletext228pt"/>
              <w:spacing w:before="20" w:after="20"/>
            </w:pPr>
            <w:r w:rsidRPr="00B0485F">
              <w:t>POP occurrence</w:t>
            </w:r>
          </w:p>
        </w:tc>
        <w:tc>
          <w:tcPr>
            <w:tcW w:w="761" w:type="pct"/>
          </w:tcPr>
          <w:p w14:paraId="5FCE5DCB" w14:textId="77777777" w:rsidR="00045166" w:rsidRPr="00B0485F" w:rsidRDefault="00045166" w:rsidP="008E75D8">
            <w:pPr>
              <w:pStyle w:val="051Tabletext228pt"/>
              <w:spacing w:before="20" w:after="20"/>
            </w:pPr>
            <w:r w:rsidRPr="00B0485F">
              <w:t>91 (mean)</w:t>
            </w:r>
          </w:p>
          <w:p w14:paraId="0AF12178" w14:textId="77777777" w:rsidR="00045166" w:rsidRPr="00B0485F" w:rsidRDefault="00045166" w:rsidP="008E75D8">
            <w:pPr>
              <w:pStyle w:val="051Tabletext228pt"/>
              <w:spacing w:before="20" w:after="20"/>
            </w:pPr>
          </w:p>
          <w:p w14:paraId="5F9DC193" w14:textId="77777777" w:rsidR="00045166" w:rsidRPr="00B0485F" w:rsidRDefault="00045166" w:rsidP="008E75D8">
            <w:pPr>
              <w:pStyle w:val="051Tabletext228pt"/>
              <w:spacing w:before="20" w:after="20"/>
            </w:pPr>
          </w:p>
          <w:p w14:paraId="2D08A7A1" w14:textId="77777777" w:rsidR="00045166" w:rsidRPr="00B0485F" w:rsidRDefault="00045166" w:rsidP="008E75D8">
            <w:pPr>
              <w:pStyle w:val="051Tabletext228pt"/>
              <w:spacing w:before="20" w:after="20"/>
            </w:pPr>
            <w:r w:rsidRPr="00B0485F">
              <w:t>141 (median)</w:t>
            </w:r>
          </w:p>
          <w:p w14:paraId="40139225" w14:textId="77777777" w:rsidR="00045166" w:rsidRPr="00B0485F" w:rsidRDefault="00045166" w:rsidP="008E75D8">
            <w:pPr>
              <w:pStyle w:val="051Tabletext228pt"/>
              <w:spacing w:before="20" w:after="20"/>
            </w:pPr>
          </w:p>
          <w:p w14:paraId="5D927BD1" w14:textId="77777777" w:rsidR="00045166" w:rsidRPr="00B0485F" w:rsidRDefault="00045166" w:rsidP="008E75D8">
            <w:pPr>
              <w:pStyle w:val="051Tabletext228pt"/>
              <w:spacing w:before="20" w:after="20"/>
            </w:pPr>
            <w:r w:rsidRPr="00B0485F">
              <w:t>201 (mean)</w:t>
            </w:r>
          </w:p>
        </w:tc>
        <w:tc>
          <w:tcPr>
            <w:tcW w:w="652" w:type="pct"/>
          </w:tcPr>
          <w:p w14:paraId="57A4E255" w14:textId="77777777" w:rsidR="00045166" w:rsidRPr="00B0485F" w:rsidRDefault="00045166" w:rsidP="008E75D8">
            <w:pPr>
              <w:pStyle w:val="051Tabletext228pt"/>
              <w:spacing w:before="20" w:after="20"/>
            </w:pPr>
            <w:r w:rsidRPr="00B0485F">
              <w:t>Serious risk of bias</w:t>
            </w:r>
          </w:p>
        </w:tc>
      </w:tr>
      <w:tr w:rsidR="00045166" w:rsidRPr="00B0485F" w14:paraId="58AA88B1" w14:textId="77777777" w:rsidTr="009833CF">
        <w:tc>
          <w:tcPr>
            <w:tcW w:w="1087" w:type="pct"/>
          </w:tcPr>
          <w:p w14:paraId="69CACBB8" w14:textId="2E16BCFB" w:rsidR="00045166" w:rsidRPr="00B0485F" w:rsidRDefault="00045166" w:rsidP="008E75D8">
            <w:pPr>
              <w:pStyle w:val="051Tabletext228pt"/>
              <w:spacing w:before="20" w:after="20"/>
            </w:pPr>
            <w:r w:rsidRPr="00B0485F">
              <w:t xml:space="preserve">Retropubic </w:t>
            </w:r>
          </w:p>
        </w:tc>
        <w:tc>
          <w:tcPr>
            <w:tcW w:w="707" w:type="pct"/>
          </w:tcPr>
          <w:p w14:paraId="23F6460F" w14:textId="77777777" w:rsidR="00045166" w:rsidRPr="00B0485F" w:rsidRDefault="00045166" w:rsidP="008E75D8">
            <w:pPr>
              <w:pStyle w:val="051Tabletext228pt"/>
              <w:spacing w:before="20" w:after="20"/>
            </w:pPr>
            <w:r w:rsidRPr="00B0485F">
              <w:t>Olsson 2010</w:t>
            </w:r>
          </w:p>
          <w:p w14:paraId="39EA7CB9" w14:textId="7B16DC9B" w:rsidR="00045166" w:rsidRPr="00B0485F" w:rsidRDefault="00045166" w:rsidP="008E75D8">
            <w:pPr>
              <w:pStyle w:val="051Tabletext228pt"/>
              <w:spacing w:before="20" w:after="20"/>
            </w:pPr>
          </w:p>
        </w:tc>
        <w:tc>
          <w:tcPr>
            <w:tcW w:w="869" w:type="pct"/>
          </w:tcPr>
          <w:p w14:paraId="45362E6B" w14:textId="77777777" w:rsidR="00045166" w:rsidRDefault="00045166" w:rsidP="008E75D8">
            <w:pPr>
              <w:pStyle w:val="051Tabletext228pt"/>
              <w:spacing w:before="20" w:after="20"/>
            </w:pPr>
            <w:r w:rsidRPr="00B0485F">
              <w:t>Case series</w:t>
            </w:r>
          </w:p>
          <w:p w14:paraId="73BFA5C9" w14:textId="3D01F0E1" w:rsidR="00045166" w:rsidRPr="00B0485F" w:rsidRDefault="00D17519" w:rsidP="008E75D8">
            <w:pPr>
              <w:pStyle w:val="051Tabletext228pt"/>
              <w:spacing w:before="20" w:after="20"/>
            </w:pPr>
            <w:r>
              <w:t>N=124</w:t>
            </w:r>
          </w:p>
        </w:tc>
        <w:tc>
          <w:tcPr>
            <w:tcW w:w="924" w:type="pct"/>
          </w:tcPr>
          <w:p w14:paraId="1A481565" w14:textId="77777777" w:rsidR="00045166" w:rsidRPr="00B0485F" w:rsidRDefault="00045166" w:rsidP="008E75D8">
            <w:pPr>
              <w:pStyle w:val="051Tabletext228pt"/>
              <w:spacing w:before="20" w:after="20"/>
            </w:pPr>
            <w:r w:rsidRPr="00B0485F">
              <w:t>De novo urge incontinence</w:t>
            </w:r>
          </w:p>
          <w:p w14:paraId="5A698374" w14:textId="77777777" w:rsidR="00045166" w:rsidRPr="00B0485F" w:rsidRDefault="00045166" w:rsidP="008E75D8">
            <w:pPr>
              <w:pStyle w:val="051Tabletext228pt"/>
              <w:spacing w:before="20" w:after="20"/>
            </w:pPr>
            <w:r w:rsidRPr="00B0485F">
              <w:t>POP occurrence</w:t>
            </w:r>
          </w:p>
        </w:tc>
        <w:tc>
          <w:tcPr>
            <w:tcW w:w="761" w:type="pct"/>
          </w:tcPr>
          <w:p w14:paraId="1CE4E916" w14:textId="77777777" w:rsidR="00045166" w:rsidRPr="00B0485F" w:rsidRDefault="00045166" w:rsidP="008E75D8">
            <w:pPr>
              <w:pStyle w:val="051Tabletext228pt"/>
              <w:spacing w:before="20" w:after="20"/>
            </w:pPr>
            <w:r w:rsidRPr="00B0485F">
              <w:t>138 (median)</w:t>
            </w:r>
          </w:p>
        </w:tc>
        <w:tc>
          <w:tcPr>
            <w:tcW w:w="652" w:type="pct"/>
          </w:tcPr>
          <w:p w14:paraId="14CEB2B5" w14:textId="77777777" w:rsidR="00045166" w:rsidRPr="00B0485F" w:rsidRDefault="00045166" w:rsidP="008E75D8">
            <w:pPr>
              <w:pStyle w:val="051Tabletext228pt"/>
              <w:spacing w:before="20" w:after="20"/>
            </w:pPr>
            <w:r w:rsidRPr="00B0485F">
              <w:t>Serious risk of bias</w:t>
            </w:r>
          </w:p>
        </w:tc>
      </w:tr>
      <w:tr w:rsidR="00045166" w:rsidRPr="00B0485F" w14:paraId="177B09FD" w14:textId="77777777" w:rsidTr="009833CF">
        <w:tc>
          <w:tcPr>
            <w:tcW w:w="1087" w:type="pct"/>
          </w:tcPr>
          <w:p w14:paraId="214ADE52" w14:textId="395CBEAD" w:rsidR="00045166" w:rsidRPr="00B0485F" w:rsidRDefault="00045166" w:rsidP="008E75D8">
            <w:pPr>
              <w:pStyle w:val="051Tabletext228pt"/>
              <w:spacing w:before="20" w:after="20"/>
            </w:pPr>
            <w:r w:rsidRPr="00B0485F">
              <w:t xml:space="preserve">Retropubic </w:t>
            </w:r>
          </w:p>
        </w:tc>
        <w:tc>
          <w:tcPr>
            <w:tcW w:w="707" w:type="pct"/>
          </w:tcPr>
          <w:p w14:paraId="503FB878" w14:textId="77777777" w:rsidR="00045166" w:rsidRPr="00B0485F" w:rsidRDefault="00045166" w:rsidP="008E75D8">
            <w:pPr>
              <w:pStyle w:val="051Tabletext228pt"/>
              <w:spacing w:before="20" w:after="20"/>
            </w:pPr>
            <w:r w:rsidRPr="00B0485F">
              <w:t>Reich 2011</w:t>
            </w:r>
          </w:p>
          <w:p w14:paraId="3794B4C7" w14:textId="569E2496" w:rsidR="00045166" w:rsidRPr="00B0485F" w:rsidRDefault="00045166" w:rsidP="008E75D8">
            <w:pPr>
              <w:pStyle w:val="051Tabletext228pt"/>
              <w:spacing w:before="20" w:after="20"/>
            </w:pPr>
          </w:p>
        </w:tc>
        <w:tc>
          <w:tcPr>
            <w:tcW w:w="869" w:type="pct"/>
          </w:tcPr>
          <w:p w14:paraId="7E3C2440" w14:textId="77777777" w:rsidR="00045166" w:rsidRDefault="00045166" w:rsidP="008E75D8">
            <w:pPr>
              <w:pStyle w:val="051Tabletext228pt"/>
              <w:spacing w:before="20" w:after="20"/>
            </w:pPr>
            <w:r w:rsidRPr="00B0485F">
              <w:t>Case series</w:t>
            </w:r>
          </w:p>
          <w:p w14:paraId="5EE80052" w14:textId="2B3DD43F" w:rsidR="00045166" w:rsidRPr="00B0485F" w:rsidRDefault="006C6B42" w:rsidP="008E75D8">
            <w:pPr>
              <w:pStyle w:val="051Tabletext228pt"/>
              <w:spacing w:before="20" w:after="20"/>
            </w:pPr>
            <w:r>
              <w:t>N=108</w:t>
            </w:r>
          </w:p>
        </w:tc>
        <w:tc>
          <w:tcPr>
            <w:tcW w:w="924" w:type="pct"/>
          </w:tcPr>
          <w:p w14:paraId="05613551" w14:textId="77777777" w:rsidR="00045166" w:rsidRPr="00B0485F" w:rsidRDefault="00045166" w:rsidP="008E75D8">
            <w:pPr>
              <w:pStyle w:val="051Tabletext228pt"/>
              <w:spacing w:before="20" w:after="20"/>
            </w:pPr>
            <w:r w:rsidRPr="00B0485F">
              <w:t>Pain</w:t>
            </w:r>
          </w:p>
          <w:p w14:paraId="7D470AA3" w14:textId="77777777" w:rsidR="00045166" w:rsidRPr="00B0485F" w:rsidRDefault="00045166" w:rsidP="008E75D8">
            <w:pPr>
              <w:pStyle w:val="051Tabletext228pt"/>
              <w:spacing w:before="20" w:after="20"/>
            </w:pPr>
            <w:r w:rsidRPr="00B0485F">
              <w:t>Mesh extrusion</w:t>
            </w:r>
          </w:p>
          <w:p w14:paraId="2970017B" w14:textId="77777777" w:rsidR="00045166" w:rsidRPr="00B0485F" w:rsidRDefault="00045166" w:rsidP="008E75D8">
            <w:pPr>
              <w:pStyle w:val="051Tabletext228pt"/>
              <w:spacing w:before="20" w:after="20"/>
            </w:pPr>
            <w:r w:rsidRPr="00B0485F">
              <w:t>Infection</w:t>
            </w:r>
          </w:p>
          <w:p w14:paraId="48F5A5AC" w14:textId="77777777" w:rsidR="00045166" w:rsidRPr="00B0485F" w:rsidRDefault="00045166" w:rsidP="008E75D8">
            <w:pPr>
              <w:pStyle w:val="051Tabletext228pt"/>
              <w:spacing w:before="20" w:after="20"/>
            </w:pPr>
            <w:r w:rsidRPr="00B0485F">
              <w:t>De novo urge incontinence</w:t>
            </w:r>
          </w:p>
          <w:p w14:paraId="12E19719" w14:textId="77777777" w:rsidR="00045166" w:rsidRPr="00B0485F" w:rsidRDefault="00045166" w:rsidP="008E75D8">
            <w:pPr>
              <w:pStyle w:val="051Tabletext228pt"/>
              <w:spacing w:before="20" w:after="20"/>
            </w:pPr>
            <w:r w:rsidRPr="00B0485F">
              <w:t>POP occurrence</w:t>
            </w:r>
          </w:p>
        </w:tc>
        <w:tc>
          <w:tcPr>
            <w:tcW w:w="761" w:type="pct"/>
          </w:tcPr>
          <w:p w14:paraId="736E44DD" w14:textId="77777777" w:rsidR="00045166" w:rsidRPr="00B0485F" w:rsidRDefault="00045166" w:rsidP="008E75D8">
            <w:pPr>
              <w:pStyle w:val="051Tabletext228pt"/>
              <w:spacing w:before="20" w:after="20"/>
            </w:pPr>
            <w:r w:rsidRPr="00B0485F">
              <w:t>102 (median)</w:t>
            </w:r>
          </w:p>
        </w:tc>
        <w:tc>
          <w:tcPr>
            <w:tcW w:w="652" w:type="pct"/>
          </w:tcPr>
          <w:p w14:paraId="6854C79F" w14:textId="77777777" w:rsidR="00045166" w:rsidRPr="00B0485F" w:rsidRDefault="00045166" w:rsidP="008E75D8">
            <w:pPr>
              <w:pStyle w:val="051Tabletext228pt"/>
              <w:spacing w:before="20" w:after="20"/>
            </w:pPr>
            <w:r w:rsidRPr="00B0485F">
              <w:t>Serious risk of bias</w:t>
            </w:r>
          </w:p>
        </w:tc>
      </w:tr>
      <w:tr w:rsidR="00045166" w:rsidRPr="00B0485F" w14:paraId="1F299E94" w14:textId="77777777" w:rsidTr="009833CF">
        <w:tc>
          <w:tcPr>
            <w:tcW w:w="1087" w:type="pct"/>
          </w:tcPr>
          <w:p w14:paraId="663ADF9D" w14:textId="360BD65A" w:rsidR="00045166" w:rsidRPr="00B0485F" w:rsidRDefault="00045166" w:rsidP="008E75D8">
            <w:pPr>
              <w:pStyle w:val="051Tabletext228pt"/>
              <w:spacing w:before="20" w:after="20"/>
            </w:pPr>
            <w:r w:rsidRPr="00B0485F">
              <w:t xml:space="preserve">Retropubic </w:t>
            </w:r>
          </w:p>
        </w:tc>
        <w:tc>
          <w:tcPr>
            <w:tcW w:w="707" w:type="pct"/>
          </w:tcPr>
          <w:p w14:paraId="7BA1666B" w14:textId="77777777" w:rsidR="00045166" w:rsidRPr="00B0485F" w:rsidRDefault="00045166" w:rsidP="008E75D8">
            <w:pPr>
              <w:pStyle w:val="051Tabletext228pt"/>
              <w:spacing w:before="20" w:after="20"/>
            </w:pPr>
            <w:r w:rsidRPr="00B0485F">
              <w:t>Schauer 2017</w:t>
            </w:r>
          </w:p>
          <w:p w14:paraId="79E315A6" w14:textId="05CF5346" w:rsidR="00045166" w:rsidRPr="00B0485F" w:rsidRDefault="00045166" w:rsidP="008E75D8">
            <w:pPr>
              <w:pStyle w:val="051Tabletext228pt"/>
              <w:spacing w:before="20" w:after="20"/>
            </w:pPr>
          </w:p>
        </w:tc>
        <w:tc>
          <w:tcPr>
            <w:tcW w:w="869" w:type="pct"/>
          </w:tcPr>
          <w:p w14:paraId="5478C9CD" w14:textId="77777777" w:rsidR="00045166" w:rsidRDefault="00045166" w:rsidP="008E75D8">
            <w:pPr>
              <w:pStyle w:val="051Tabletext228pt"/>
              <w:spacing w:before="20" w:after="20"/>
            </w:pPr>
            <w:r w:rsidRPr="00B0485F">
              <w:t>Case series</w:t>
            </w:r>
          </w:p>
          <w:p w14:paraId="17C26809" w14:textId="3F08292D" w:rsidR="00045166" w:rsidRPr="00B0485F" w:rsidRDefault="006C6B42" w:rsidP="008E75D8">
            <w:pPr>
              <w:pStyle w:val="051Tabletext228pt"/>
              <w:spacing w:before="20" w:after="20"/>
            </w:pPr>
            <w:r>
              <w:t>N=139</w:t>
            </w:r>
          </w:p>
        </w:tc>
        <w:tc>
          <w:tcPr>
            <w:tcW w:w="924" w:type="pct"/>
          </w:tcPr>
          <w:p w14:paraId="181DD5F2" w14:textId="77777777" w:rsidR="00045166" w:rsidRPr="00B0485F" w:rsidRDefault="00045166" w:rsidP="008E75D8">
            <w:pPr>
              <w:pStyle w:val="051Tabletext228pt"/>
              <w:spacing w:before="20" w:after="20"/>
            </w:pPr>
            <w:r w:rsidRPr="00B0485F">
              <w:t>De novo urge incontinence</w:t>
            </w:r>
          </w:p>
        </w:tc>
        <w:tc>
          <w:tcPr>
            <w:tcW w:w="761" w:type="pct"/>
          </w:tcPr>
          <w:p w14:paraId="4BA572FD" w14:textId="77777777" w:rsidR="00045166" w:rsidRPr="00B0485F" w:rsidRDefault="00045166" w:rsidP="008E75D8">
            <w:pPr>
              <w:pStyle w:val="051Tabletext228pt"/>
              <w:spacing w:before="20" w:after="20"/>
            </w:pPr>
            <w:r w:rsidRPr="00B0485F">
              <w:t>120</w:t>
            </w:r>
          </w:p>
        </w:tc>
        <w:tc>
          <w:tcPr>
            <w:tcW w:w="652" w:type="pct"/>
          </w:tcPr>
          <w:p w14:paraId="25393817" w14:textId="77777777" w:rsidR="00045166" w:rsidRPr="00B0485F" w:rsidRDefault="00045166" w:rsidP="008E75D8">
            <w:pPr>
              <w:pStyle w:val="051Tabletext228pt"/>
              <w:spacing w:before="20" w:after="20"/>
            </w:pPr>
            <w:r w:rsidRPr="00B0485F">
              <w:t>Serious risk of bias</w:t>
            </w:r>
          </w:p>
        </w:tc>
      </w:tr>
      <w:tr w:rsidR="00045166" w:rsidRPr="00B0485F" w14:paraId="5F4691EE" w14:textId="77777777" w:rsidTr="009833CF">
        <w:tc>
          <w:tcPr>
            <w:tcW w:w="1087" w:type="pct"/>
          </w:tcPr>
          <w:p w14:paraId="1AB54D8A" w14:textId="7F2B1CEC" w:rsidR="00045166" w:rsidRPr="00B0485F" w:rsidRDefault="00045166" w:rsidP="008E75D8">
            <w:pPr>
              <w:pStyle w:val="051Tabletext228pt"/>
              <w:spacing w:before="20" w:after="20"/>
            </w:pPr>
            <w:r w:rsidRPr="00B0485F">
              <w:t>Retropubic</w:t>
            </w:r>
          </w:p>
        </w:tc>
        <w:tc>
          <w:tcPr>
            <w:tcW w:w="707" w:type="pct"/>
          </w:tcPr>
          <w:p w14:paraId="386C5C55" w14:textId="77777777" w:rsidR="00045166" w:rsidRPr="00B0485F" w:rsidRDefault="00045166" w:rsidP="008E75D8">
            <w:pPr>
              <w:pStyle w:val="051Tabletext228pt"/>
              <w:spacing w:before="20" w:after="20"/>
            </w:pPr>
            <w:proofErr w:type="spellStart"/>
            <w:r w:rsidRPr="00B0485F">
              <w:t>Serati</w:t>
            </w:r>
            <w:proofErr w:type="spellEnd"/>
            <w:r w:rsidRPr="00B0485F">
              <w:t xml:space="preserve"> 2017b</w:t>
            </w:r>
          </w:p>
          <w:p w14:paraId="301F015F" w14:textId="71E9BA1F" w:rsidR="00045166" w:rsidRPr="00B0485F" w:rsidRDefault="00045166" w:rsidP="008E75D8">
            <w:pPr>
              <w:pStyle w:val="051Tabletext228pt"/>
              <w:spacing w:before="20" w:after="20"/>
            </w:pPr>
          </w:p>
        </w:tc>
        <w:tc>
          <w:tcPr>
            <w:tcW w:w="869" w:type="pct"/>
          </w:tcPr>
          <w:p w14:paraId="7007B9BF" w14:textId="77777777" w:rsidR="00045166" w:rsidRDefault="00045166" w:rsidP="008E75D8">
            <w:pPr>
              <w:pStyle w:val="051Tabletext228pt"/>
              <w:spacing w:before="20" w:after="20"/>
            </w:pPr>
            <w:r w:rsidRPr="00B0485F">
              <w:t>Case series</w:t>
            </w:r>
          </w:p>
          <w:p w14:paraId="308460D8" w14:textId="7CD5DB50" w:rsidR="00045166" w:rsidRPr="00B0485F" w:rsidRDefault="006C6B42" w:rsidP="008E75D8">
            <w:pPr>
              <w:pStyle w:val="051Tabletext228pt"/>
              <w:spacing w:before="20" w:after="20"/>
            </w:pPr>
            <w:r>
              <w:t>N=55</w:t>
            </w:r>
          </w:p>
        </w:tc>
        <w:tc>
          <w:tcPr>
            <w:tcW w:w="924" w:type="pct"/>
          </w:tcPr>
          <w:p w14:paraId="6184154F" w14:textId="77777777" w:rsidR="00045166" w:rsidRPr="00B0485F" w:rsidRDefault="00045166" w:rsidP="008E75D8">
            <w:pPr>
              <w:pStyle w:val="051Tabletext228pt"/>
              <w:spacing w:before="20" w:after="20"/>
            </w:pPr>
            <w:r w:rsidRPr="00B0485F">
              <w:t>Pain</w:t>
            </w:r>
          </w:p>
          <w:p w14:paraId="2332658C" w14:textId="77777777" w:rsidR="00045166" w:rsidRPr="00B0485F" w:rsidRDefault="00045166" w:rsidP="008E75D8">
            <w:pPr>
              <w:pStyle w:val="051Tabletext228pt"/>
              <w:spacing w:before="20" w:after="20"/>
            </w:pPr>
            <w:r w:rsidRPr="00B0485F">
              <w:t>Mesh extrusion</w:t>
            </w:r>
          </w:p>
          <w:p w14:paraId="5F6E6A46" w14:textId="77777777" w:rsidR="00045166" w:rsidRPr="00B0485F" w:rsidRDefault="00045166" w:rsidP="008E75D8">
            <w:pPr>
              <w:pStyle w:val="051Tabletext228pt"/>
              <w:spacing w:before="20" w:after="20"/>
            </w:pPr>
            <w:r w:rsidRPr="00B0485F">
              <w:t>De novo urge incontinence</w:t>
            </w:r>
          </w:p>
          <w:p w14:paraId="29EFE509" w14:textId="77777777" w:rsidR="00045166" w:rsidRPr="00B0485F" w:rsidRDefault="00045166" w:rsidP="008E75D8">
            <w:pPr>
              <w:pStyle w:val="051Tabletext228pt"/>
              <w:spacing w:before="20" w:after="20"/>
            </w:pPr>
            <w:r w:rsidRPr="00B0485F">
              <w:t>POP occurrence</w:t>
            </w:r>
          </w:p>
        </w:tc>
        <w:tc>
          <w:tcPr>
            <w:tcW w:w="761" w:type="pct"/>
          </w:tcPr>
          <w:p w14:paraId="7332496E" w14:textId="77777777" w:rsidR="00045166" w:rsidRPr="00B0485F" w:rsidRDefault="00045166" w:rsidP="008E75D8">
            <w:pPr>
              <w:pStyle w:val="051Tabletext228pt"/>
              <w:spacing w:before="20" w:after="20"/>
            </w:pPr>
            <w:r w:rsidRPr="00B0485F">
              <w:t>156</w:t>
            </w:r>
          </w:p>
        </w:tc>
        <w:tc>
          <w:tcPr>
            <w:tcW w:w="652" w:type="pct"/>
          </w:tcPr>
          <w:p w14:paraId="6B3805E2" w14:textId="77777777" w:rsidR="00045166" w:rsidRPr="00B0485F" w:rsidRDefault="00045166" w:rsidP="008E75D8">
            <w:pPr>
              <w:pStyle w:val="051Tabletext228pt"/>
              <w:spacing w:before="20" w:after="20"/>
            </w:pPr>
            <w:r w:rsidRPr="00B0485F">
              <w:t>Serious risk of bias</w:t>
            </w:r>
          </w:p>
        </w:tc>
      </w:tr>
      <w:tr w:rsidR="00045166" w:rsidRPr="00B0485F" w14:paraId="3C60E912" w14:textId="77777777" w:rsidTr="009833CF">
        <w:tc>
          <w:tcPr>
            <w:tcW w:w="1087" w:type="pct"/>
          </w:tcPr>
          <w:p w14:paraId="315947C8" w14:textId="34018EF5" w:rsidR="00045166" w:rsidRPr="00B0485F" w:rsidRDefault="00045166" w:rsidP="008E75D8">
            <w:pPr>
              <w:pStyle w:val="051Tabletext228pt"/>
              <w:spacing w:before="20" w:after="20"/>
            </w:pPr>
            <w:r w:rsidRPr="00B0485F">
              <w:t xml:space="preserve">Retropubic </w:t>
            </w:r>
          </w:p>
        </w:tc>
        <w:tc>
          <w:tcPr>
            <w:tcW w:w="707" w:type="pct"/>
          </w:tcPr>
          <w:p w14:paraId="492381D9" w14:textId="77777777" w:rsidR="00045166" w:rsidRPr="00B0485F" w:rsidRDefault="00045166" w:rsidP="008E75D8">
            <w:pPr>
              <w:pStyle w:val="051Tabletext228pt"/>
              <w:spacing w:before="20" w:after="20"/>
            </w:pPr>
            <w:r w:rsidRPr="00B0485F">
              <w:t>Song 2017</w:t>
            </w:r>
          </w:p>
          <w:p w14:paraId="72393287" w14:textId="714EC449" w:rsidR="00045166" w:rsidRPr="00B0485F" w:rsidRDefault="00045166" w:rsidP="008E75D8">
            <w:pPr>
              <w:pStyle w:val="051Tabletext228pt"/>
              <w:spacing w:before="20" w:after="20"/>
            </w:pPr>
          </w:p>
        </w:tc>
        <w:tc>
          <w:tcPr>
            <w:tcW w:w="869" w:type="pct"/>
          </w:tcPr>
          <w:p w14:paraId="54C3776D" w14:textId="77777777" w:rsidR="00045166" w:rsidRDefault="00045166" w:rsidP="008E75D8">
            <w:pPr>
              <w:pStyle w:val="051Tabletext228pt"/>
              <w:spacing w:before="20" w:after="20"/>
            </w:pPr>
            <w:r w:rsidRPr="00B0485F">
              <w:t>Case series</w:t>
            </w:r>
          </w:p>
          <w:p w14:paraId="175456F0" w14:textId="5BF2EF60" w:rsidR="00045166" w:rsidRPr="00B0485F" w:rsidRDefault="006C6B42" w:rsidP="008E75D8">
            <w:pPr>
              <w:pStyle w:val="051Tabletext228pt"/>
              <w:spacing w:before="20" w:after="20"/>
            </w:pPr>
            <w:r>
              <w:t>N=206</w:t>
            </w:r>
          </w:p>
        </w:tc>
        <w:tc>
          <w:tcPr>
            <w:tcW w:w="924" w:type="pct"/>
          </w:tcPr>
          <w:p w14:paraId="1997EC43" w14:textId="77777777" w:rsidR="00045166" w:rsidRPr="00B0485F" w:rsidRDefault="00045166" w:rsidP="008E75D8">
            <w:pPr>
              <w:pStyle w:val="051Tabletext228pt"/>
              <w:spacing w:before="20" w:after="20"/>
            </w:pPr>
            <w:r w:rsidRPr="00B0485F">
              <w:t>Mesh extrusion</w:t>
            </w:r>
          </w:p>
          <w:p w14:paraId="744F8D38" w14:textId="77777777" w:rsidR="00045166" w:rsidRPr="00B0485F" w:rsidRDefault="00045166" w:rsidP="008E75D8">
            <w:pPr>
              <w:pStyle w:val="051Tabletext228pt"/>
              <w:spacing w:before="20" w:after="20"/>
            </w:pPr>
            <w:r w:rsidRPr="00B0485F">
              <w:t>De novo urgency</w:t>
            </w:r>
          </w:p>
        </w:tc>
        <w:tc>
          <w:tcPr>
            <w:tcW w:w="761" w:type="pct"/>
          </w:tcPr>
          <w:p w14:paraId="2AE9971B" w14:textId="77777777" w:rsidR="00045166" w:rsidRPr="00B0485F" w:rsidRDefault="00045166" w:rsidP="008E75D8">
            <w:pPr>
              <w:pStyle w:val="051Tabletext228pt"/>
              <w:spacing w:before="20" w:after="20"/>
            </w:pPr>
            <w:r w:rsidRPr="00B0485F">
              <w:t>162.4 (mean)</w:t>
            </w:r>
          </w:p>
        </w:tc>
        <w:tc>
          <w:tcPr>
            <w:tcW w:w="652" w:type="pct"/>
          </w:tcPr>
          <w:p w14:paraId="5E56A0BA" w14:textId="77777777" w:rsidR="00045166" w:rsidRPr="00B0485F" w:rsidRDefault="00045166" w:rsidP="008E75D8">
            <w:pPr>
              <w:pStyle w:val="051Tabletext228pt"/>
              <w:spacing w:before="20" w:after="20"/>
            </w:pPr>
            <w:r w:rsidRPr="00B0485F">
              <w:t>Serious risk of bias</w:t>
            </w:r>
          </w:p>
        </w:tc>
      </w:tr>
      <w:tr w:rsidR="00045166" w:rsidRPr="00B0485F" w14:paraId="5BEAABD8" w14:textId="77777777" w:rsidTr="009833CF">
        <w:tc>
          <w:tcPr>
            <w:tcW w:w="1087" w:type="pct"/>
          </w:tcPr>
          <w:p w14:paraId="6CDA27C9" w14:textId="3AD62558" w:rsidR="00045166" w:rsidRPr="00B0485F" w:rsidRDefault="00045166" w:rsidP="008E75D8">
            <w:pPr>
              <w:pStyle w:val="051Tabletext228pt"/>
              <w:spacing w:before="20" w:after="20"/>
            </w:pPr>
            <w:r w:rsidRPr="00B0485F">
              <w:t xml:space="preserve">Retropubic </w:t>
            </w:r>
          </w:p>
        </w:tc>
        <w:tc>
          <w:tcPr>
            <w:tcW w:w="707" w:type="pct"/>
          </w:tcPr>
          <w:p w14:paraId="08353878" w14:textId="77777777" w:rsidR="00045166" w:rsidRPr="00B0485F" w:rsidRDefault="00045166" w:rsidP="008E75D8">
            <w:pPr>
              <w:pStyle w:val="051Tabletext228pt"/>
              <w:spacing w:before="20" w:after="20"/>
            </w:pPr>
            <w:r w:rsidRPr="00B0485F">
              <w:t>Svenningsen 2013</w:t>
            </w:r>
          </w:p>
          <w:p w14:paraId="7CC3FD2D" w14:textId="009BE953" w:rsidR="00045166" w:rsidRPr="00B0485F" w:rsidRDefault="00045166" w:rsidP="008E75D8">
            <w:pPr>
              <w:pStyle w:val="051Tabletext228pt"/>
              <w:spacing w:before="20" w:after="20"/>
              <w:rPr>
                <w:highlight w:val="yellow"/>
              </w:rPr>
            </w:pPr>
          </w:p>
        </w:tc>
        <w:tc>
          <w:tcPr>
            <w:tcW w:w="869" w:type="pct"/>
          </w:tcPr>
          <w:p w14:paraId="5AB03766" w14:textId="77777777" w:rsidR="00045166" w:rsidRDefault="00045166" w:rsidP="008E75D8">
            <w:pPr>
              <w:pStyle w:val="051Tabletext228pt"/>
              <w:spacing w:before="20" w:after="20"/>
            </w:pPr>
            <w:r w:rsidRPr="00B0485F">
              <w:t>Case series</w:t>
            </w:r>
          </w:p>
          <w:p w14:paraId="05D4A049" w14:textId="5007747A" w:rsidR="00045166" w:rsidRPr="00B0485F" w:rsidRDefault="006C6B42" w:rsidP="008E75D8">
            <w:pPr>
              <w:pStyle w:val="051Tabletext228pt"/>
              <w:spacing w:before="20" w:after="20"/>
            </w:pPr>
            <w:r>
              <w:t>N=327</w:t>
            </w:r>
          </w:p>
        </w:tc>
        <w:tc>
          <w:tcPr>
            <w:tcW w:w="924" w:type="pct"/>
          </w:tcPr>
          <w:p w14:paraId="4915CA97" w14:textId="77777777" w:rsidR="00045166" w:rsidRPr="00B0485F" w:rsidRDefault="00045166" w:rsidP="008E75D8">
            <w:pPr>
              <w:pStyle w:val="051Tabletext228pt"/>
              <w:spacing w:before="20" w:after="20"/>
            </w:pPr>
            <w:r w:rsidRPr="00B0485F">
              <w:t>Mesh extrusion</w:t>
            </w:r>
          </w:p>
          <w:p w14:paraId="6409D3ED" w14:textId="77777777" w:rsidR="00045166" w:rsidRPr="00B0485F" w:rsidRDefault="00045166" w:rsidP="008E75D8">
            <w:pPr>
              <w:pStyle w:val="051Tabletext228pt"/>
              <w:spacing w:before="20" w:after="20"/>
            </w:pPr>
            <w:r w:rsidRPr="00B0485F">
              <w:t>Infection</w:t>
            </w:r>
          </w:p>
          <w:p w14:paraId="68141977" w14:textId="77777777" w:rsidR="00045166" w:rsidRPr="00B0485F" w:rsidRDefault="00045166" w:rsidP="008E75D8">
            <w:pPr>
              <w:pStyle w:val="051Tabletext228pt"/>
              <w:spacing w:before="20" w:after="20"/>
            </w:pPr>
            <w:r w:rsidRPr="00B0485F">
              <w:t>De novo urge incontinence</w:t>
            </w:r>
          </w:p>
        </w:tc>
        <w:tc>
          <w:tcPr>
            <w:tcW w:w="761" w:type="pct"/>
          </w:tcPr>
          <w:p w14:paraId="6621D96C" w14:textId="77777777" w:rsidR="00045166" w:rsidRPr="00B0485F" w:rsidRDefault="00045166" w:rsidP="008E75D8">
            <w:pPr>
              <w:pStyle w:val="051Tabletext228pt"/>
              <w:spacing w:before="20" w:after="20"/>
            </w:pPr>
            <w:r w:rsidRPr="00B0485F">
              <w:t>129 (median)</w:t>
            </w:r>
          </w:p>
        </w:tc>
        <w:tc>
          <w:tcPr>
            <w:tcW w:w="652" w:type="pct"/>
          </w:tcPr>
          <w:p w14:paraId="3B9EF35B" w14:textId="77777777" w:rsidR="00045166" w:rsidRPr="00B0485F" w:rsidRDefault="00045166" w:rsidP="008E75D8">
            <w:pPr>
              <w:pStyle w:val="051Tabletext228pt"/>
              <w:spacing w:before="20" w:after="20"/>
            </w:pPr>
            <w:r w:rsidRPr="00B0485F">
              <w:t>Serious risk of bias</w:t>
            </w:r>
          </w:p>
        </w:tc>
      </w:tr>
      <w:tr w:rsidR="00045166" w:rsidRPr="00B0485F" w14:paraId="7B0E66A9" w14:textId="77777777" w:rsidTr="009833CF">
        <w:tc>
          <w:tcPr>
            <w:tcW w:w="1087" w:type="pct"/>
          </w:tcPr>
          <w:p w14:paraId="54CF69BD" w14:textId="446380BA" w:rsidR="00045166" w:rsidRPr="00B0485F" w:rsidRDefault="00045166" w:rsidP="008E75D8">
            <w:pPr>
              <w:pStyle w:val="051Tabletext228pt"/>
              <w:spacing w:before="20" w:after="20"/>
            </w:pPr>
            <w:r w:rsidRPr="00B0485F">
              <w:t xml:space="preserve">Retropubic </w:t>
            </w:r>
          </w:p>
        </w:tc>
        <w:tc>
          <w:tcPr>
            <w:tcW w:w="707" w:type="pct"/>
          </w:tcPr>
          <w:p w14:paraId="3418638F" w14:textId="77777777" w:rsidR="00045166" w:rsidRPr="00B0485F" w:rsidRDefault="00045166" w:rsidP="008E75D8">
            <w:pPr>
              <w:pStyle w:val="051Tabletext228pt"/>
              <w:spacing w:before="20" w:after="20"/>
            </w:pPr>
            <w:proofErr w:type="spellStart"/>
            <w:r w:rsidRPr="00B0485F">
              <w:t>Tsivian</w:t>
            </w:r>
            <w:proofErr w:type="spellEnd"/>
            <w:r w:rsidRPr="00B0485F">
              <w:t xml:space="preserve"> 2006</w:t>
            </w:r>
          </w:p>
          <w:p w14:paraId="26B02E02" w14:textId="2CB43689" w:rsidR="00045166" w:rsidRPr="00B0485F" w:rsidRDefault="00045166" w:rsidP="008E75D8">
            <w:pPr>
              <w:pStyle w:val="051Tabletext228pt"/>
              <w:spacing w:before="20" w:after="20"/>
              <w:rPr>
                <w:highlight w:val="yellow"/>
              </w:rPr>
            </w:pPr>
          </w:p>
        </w:tc>
        <w:tc>
          <w:tcPr>
            <w:tcW w:w="869" w:type="pct"/>
          </w:tcPr>
          <w:p w14:paraId="1B5A94FE" w14:textId="77777777" w:rsidR="00045166" w:rsidRDefault="00045166" w:rsidP="008E75D8">
            <w:pPr>
              <w:pStyle w:val="051Tabletext228pt"/>
              <w:spacing w:before="20" w:after="20"/>
            </w:pPr>
            <w:r w:rsidRPr="00B0485F">
              <w:t>Case series</w:t>
            </w:r>
          </w:p>
          <w:p w14:paraId="4FE1BA06" w14:textId="17AC6149" w:rsidR="00045166" w:rsidRPr="00B0485F" w:rsidRDefault="006C6B42" w:rsidP="008E75D8">
            <w:pPr>
              <w:pStyle w:val="051Tabletext228pt"/>
              <w:spacing w:before="20" w:after="20"/>
            </w:pPr>
            <w:r>
              <w:t>N=81</w:t>
            </w:r>
          </w:p>
        </w:tc>
        <w:tc>
          <w:tcPr>
            <w:tcW w:w="924" w:type="pct"/>
          </w:tcPr>
          <w:p w14:paraId="21AA53F8" w14:textId="77777777" w:rsidR="00045166" w:rsidRPr="00B0485F" w:rsidRDefault="00045166" w:rsidP="008E75D8">
            <w:pPr>
              <w:pStyle w:val="051Tabletext228pt"/>
              <w:spacing w:before="20" w:after="20"/>
            </w:pPr>
            <w:r w:rsidRPr="00B0485F">
              <w:t>Mesh extrusion</w:t>
            </w:r>
          </w:p>
          <w:p w14:paraId="1E641821" w14:textId="77777777" w:rsidR="00045166" w:rsidRPr="00B0485F" w:rsidRDefault="00045166" w:rsidP="008E75D8">
            <w:pPr>
              <w:pStyle w:val="051Tabletext228pt"/>
              <w:spacing w:before="20" w:after="20"/>
            </w:pPr>
            <w:r w:rsidRPr="00B0485F">
              <w:t>Infection</w:t>
            </w:r>
          </w:p>
          <w:p w14:paraId="00FE64F6" w14:textId="77777777" w:rsidR="00045166" w:rsidRPr="00B0485F" w:rsidRDefault="00045166" w:rsidP="008E75D8">
            <w:pPr>
              <w:pStyle w:val="051Tabletext228pt"/>
              <w:spacing w:before="20" w:after="20"/>
            </w:pPr>
            <w:r w:rsidRPr="00B0485F">
              <w:t>De novo urgency</w:t>
            </w:r>
          </w:p>
        </w:tc>
        <w:tc>
          <w:tcPr>
            <w:tcW w:w="761" w:type="pct"/>
          </w:tcPr>
          <w:p w14:paraId="3A73E2F8" w14:textId="77777777" w:rsidR="00045166" w:rsidRPr="00B0485F" w:rsidRDefault="00045166" w:rsidP="008E75D8">
            <w:pPr>
              <w:pStyle w:val="051Tabletext228pt"/>
              <w:spacing w:before="20" w:after="20"/>
            </w:pPr>
            <w:r w:rsidRPr="00B0485F">
              <w:t>65 (median)</w:t>
            </w:r>
          </w:p>
        </w:tc>
        <w:tc>
          <w:tcPr>
            <w:tcW w:w="652" w:type="pct"/>
          </w:tcPr>
          <w:p w14:paraId="0AD72761" w14:textId="77777777" w:rsidR="00045166" w:rsidRPr="00B0485F" w:rsidRDefault="00045166" w:rsidP="008E75D8">
            <w:pPr>
              <w:pStyle w:val="051Tabletext228pt"/>
              <w:spacing w:before="20" w:after="20"/>
            </w:pPr>
            <w:r w:rsidRPr="00B0485F">
              <w:t>Serious risk of bias</w:t>
            </w:r>
          </w:p>
        </w:tc>
      </w:tr>
      <w:tr w:rsidR="00045166" w:rsidRPr="00B0485F" w14:paraId="547243C9" w14:textId="77777777" w:rsidTr="009833CF">
        <w:tc>
          <w:tcPr>
            <w:tcW w:w="1087" w:type="pct"/>
          </w:tcPr>
          <w:p w14:paraId="03654C18" w14:textId="1299D856" w:rsidR="00045166" w:rsidRPr="00B0485F" w:rsidRDefault="00045166" w:rsidP="008E75D8">
            <w:pPr>
              <w:pStyle w:val="051Tabletext228pt"/>
              <w:spacing w:before="20" w:after="20"/>
            </w:pPr>
            <w:proofErr w:type="spellStart"/>
            <w:r w:rsidRPr="00B0485F">
              <w:t>Transobturator</w:t>
            </w:r>
            <w:proofErr w:type="spellEnd"/>
            <w:r w:rsidR="00465A88">
              <w:t xml:space="preserve"> </w:t>
            </w:r>
          </w:p>
        </w:tc>
        <w:tc>
          <w:tcPr>
            <w:tcW w:w="707" w:type="pct"/>
          </w:tcPr>
          <w:p w14:paraId="6024D769" w14:textId="77777777" w:rsidR="00045166" w:rsidRPr="00B0485F" w:rsidRDefault="00045166" w:rsidP="008E75D8">
            <w:pPr>
              <w:pStyle w:val="051Tabletext228pt"/>
              <w:spacing w:before="20" w:after="20"/>
            </w:pPr>
            <w:proofErr w:type="spellStart"/>
            <w:r w:rsidRPr="00B0485F">
              <w:t>Abougamrah</w:t>
            </w:r>
            <w:proofErr w:type="spellEnd"/>
            <w:r w:rsidRPr="00B0485F">
              <w:t xml:space="preserve"> 2015</w:t>
            </w:r>
          </w:p>
          <w:p w14:paraId="0068B4CF" w14:textId="58D65C9A" w:rsidR="00045166" w:rsidRPr="00B0485F" w:rsidRDefault="00045166" w:rsidP="008E75D8">
            <w:pPr>
              <w:pStyle w:val="051Tabletext228pt"/>
              <w:spacing w:before="20" w:after="20"/>
            </w:pPr>
          </w:p>
        </w:tc>
        <w:tc>
          <w:tcPr>
            <w:tcW w:w="869" w:type="pct"/>
          </w:tcPr>
          <w:p w14:paraId="58E76246" w14:textId="77777777" w:rsidR="00045166" w:rsidRDefault="00045166" w:rsidP="008E75D8">
            <w:pPr>
              <w:pStyle w:val="051Tabletext228pt"/>
              <w:spacing w:before="20" w:after="20"/>
            </w:pPr>
            <w:r w:rsidRPr="00B0485F">
              <w:t>Prospective cohort</w:t>
            </w:r>
          </w:p>
          <w:p w14:paraId="4BED1E9F" w14:textId="2AC7AF09" w:rsidR="00045166" w:rsidRPr="00B0485F" w:rsidRDefault="006C6B42" w:rsidP="008E75D8">
            <w:pPr>
              <w:pStyle w:val="051Tabletext228pt"/>
              <w:spacing w:before="20" w:after="20"/>
            </w:pPr>
            <w:r>
              <w:t>N=431</w:t>
            </w:r>
          </w:p>
        </w:tc>
        <w:tc>
          <w:tcPr>
            <w:tcW w:w="924" w:type="pct"/>
          </w:tcPr>
          <w:p w14:paraId="62BCA728" w14:textId="77777777" w:rsidR="00045166" w:rsidRPr="00B0485F" w:rsidRDefault="00045166" w:rsidP="008E75D8">
            <w:pPr>
              <w:pStyle w:val="051Tabletext228pt"/>
              <w:spacing w:before="20" w:after="20"/>
            </w:pPr>
            <w:r w:rsidRPr="00B0485F">
              <w:t>Pain</w:t>
            </w:r>
          </w:p>
          <w:p w14:paraId="7A65993F" w14:textId="77777777" w:rsidR="00045166" w:rsidRPr="00B0485F" w:rsidRDefault="00045166" w:rsidP="008E75D8">
            <w:pPr>
              <w:pStyle w:val="051Tabletext228pt"/>
              <w:spacing w:before="20" w:after="20"/>
            </w:pPr>
            <w:r w:rsidRPr="00B0485F">
              <w:t>Mesh extrusion</w:t>
            </w:r>
          </w:p>
          <w:p w14:paraId="26B4FF6C" w14:textId="77777777" w:rsidR="00045166" w:rsidRPr="00B0485F" w:rsidRDefault="00045166" w:rsidP="008E75D8">
            <w:pPr>
              <w:pStyle w:val="051Tabletext228pt"/>
              <w:spacing w:before="20" w:after="20"/>
            </w:pPr>
            <w:r w:rsidRPr="00B0485F">
              <w:t>De novo urgency</w:t>
            </w:r>
          </w:p>
        </w:tc>
        <w:tc>
          <w:tcPr>
            <w:tcW w:w="761" w:type="pct"/>
          </w:tcPr>
          <w:p w14:paraId="08B79DB1" w14:textId="77777777" w:rsidR="00045166" w:rsidRPr="00B0485F" w:rsidRDefault="00045166" w:rsidP="008E75D8">
            <w:pPr>
              <w:pStyle w:val="051Tabletext228pt"/>
              <w:spacing w:before="20" w:after="20"/>
            </w:pPr>
            <w:r w:rsidRPr="00B0485F">
              <w:t xml:space="preserve">79 (generic </w:t>
            </w:r>
            <w:proofErr w:type="spellStart"/>
            <w:r w:rsidRPr="00B0485F">
              <w:t>transobturator</w:t>
            </w:r>
            <w:proofErr w:type="spellEnd"/>
            <w:r w:rsidRPr="00B0485F">
              <w:t xml:space="preserve"> tape), 87 (</w:t>
            </w:r>
            <w:proofErr w:type="spellStart"/>
            <w:r w:rsidRPr="00B0485F">
              <w:t>Monarc</w:t>
            </w:r>
            <w:proofErr w:type="spellEnd"/>
            <w:r w:rsidRPr="00B0485F">
              <w:t xml:space="preserve"> TOT)</w:t>
            </w:r>
          </w:p>
        </w:tc>
        <w:tc>
          <w:tcPr>
            <w:tcW w:w="652" w:type="pct"/>
          </w:tcPr>
          <w:p w14:paraId="07293F69" w14:textId="77777777" w:rsidR="00045166" w:rsidRPr="00B0485F" w:rsidRDefault="00045166" w:rsidP="008E75D8">
            <w:pPr>
              <w:pStyle w:val="051Tabletext228pt"/>
              <w:spacing w:before="20" w:after="20"/>
            </w:pPr>
            <w:r w:rsidRPr="00B0485F">
              <w:t>Serious risk of bias</w:t>
            </w:r>
          </w:p>
        </w:tc>
      </w:tr>
      <w:tr w:rsidR="00045166" w:rsidRPr="00B0485F" w14:paraId="6D1072E1" w14:textId="77777777" w:rsidTr="009833CF">
        <w:tc>
          <w:tcPr>
            <w:tcW w:w="1087" w:type="pct"/>
          </w:tcPr>
          <w:p w14:paraId="7FC1E85C" w14:textId="47F399DA" w:rsidR="00045166" w:rsidRPr="00B0485F" w:rsidRDefault="00045166" w:rsidP="008E75D8">
            <w:pPr>
              <w:pStyle w:val="051Tabletext228pt"/>
              <w:spacing w:before="20" w:after="20"/>
            </w:pPr>
            <w:proofErr w:type="spellStart"/>
            <w:r w:rsidRPr="00B0485F">
              <w:t>Transobturator</w:t>
            </w:r>
            <w:proofErr w:type="spellEnd"/>
            <w:r w:rsidR="00465A88">
              <w:t xml:space="preserve"> </w:t>
            </w:r>
          </w:p>
        </w:tc>
        <w:tc>
          <w:tcPr>
            <w:tcW w:w="707" w:type="pct"/>
          </w:tcPr>
          <w:p w14:paraId="4CFC088F" w14:textId="77777777" w:rsidR="00045166" w:rsidRPr="00B0485F" w:rsidRDefault="00045166" w:rsidP="008E75D8">
            <w:pPr>
              <w:pStyle w:val="051Tabletext228pt"/>
              <w:spacing w:before="20" w:after="20"/>
            </w:pPr>
            <w:r w:rsidRPr="00B0485F">
              <w:t>Athanasiou 2014</w:t>
            </w:r>
          </w:p>
          <w:p w14:paraId="7BE12897" w14:textId="312BAE1D" w:rsidR="00045166" w:rsidRPr="00B0485F" w:rsidRDefault="00045166" w:rsidP="008E75D8">
            <w:pPr>
              <w:pStyle w:val="051Tabletext228pt"/>
              <w:spacing w:before="20" w:after="20"/>
            </w:pPr>
          </w:p>
        </w:tc>
        <w:tc>
          <w:tcPr>
            <w:tcW w:w="869" w:type="pct"/>
          </w:tcPr>
          <w:p w14:paraId="759A036B" w14:textId="77777777" w:rsidR="00045166" w:rsidRDefault="00045166" w:rsidP="008E75D8">
            <w:pPr>
              <w:pStyle w:val="051Tabletext228pt"/>
              <w:spacing w:before="20" w:after="20"/>
            </w:pPr>
            <w:r w:rsidRPr="00B0485F">
              <w:t>Case series</w:t>
            </w:r>
          </w:p>
          <w:p w14:paraId="07DF3679" w14:textId="1802A637" w:rsidR="00045166" w:rsidRPr="00B0485F" w:rsidRDefault="006C6B42" w:rsidP="008E75D8">
            <w:pPr>
              <w:pStyle w:val="051Tabletext228pt"/>
              <w:spacing w:before="20" w:after="20"/>
            </w:pPr>
            <w:r>
              <w:t>N=124</w:t>
            </w:r>
          </w:p>
        </w:tc>
        <w:tc>
          <w:tcPr>
            <w:tcW w:w="924" w:type="pct"/>
          </w:tcPr>
          <w:p w14:paraId="19397F20" w14:textId="77777777" w:rsidR="00045166" w:rsidRPr="00B0485F" w:rsidRDefault="00045166" w:rsidP="008E75D8">
            <w:pPr>
              <w:pStyle w:val="051Tabletext228pt"/>
              <w:spacing w:before="20" w:after="20"/>
            </w:pPr>
            <w:r w:rsidRPr="00B0485F">
              <w:t>Mesh extrusion</w:t>
            </w:r>
          </w:p>
          <w:p w14:paraId="4DCEA6D2" w14:textId="77777777" w:rsidR="00045166" w:rsidRPr="00B0485F" w:rsidRDefault="00045166" w:rsidP="008E75D8">
            <w:pPr>
              <w:pStyle w:val="051Tabletext228pt"/>
              <w:spacing w:before="20" w:after="20"/>
            </w:pPr>
            <w:r w:rsidRPr="00B0485F">
              <w:t>De novo urge incontinence</w:t>
            </w:r>
          </w:p>
        </w:tc>
        <w:tc>
          <w:tcPr>
            <w:tcW w:w="761" w:type="pct"/>
          </w:tcPr>
          <w:p w14:paraId="0BE2A8F9" w14:textId="77777777" w:rsidR="00045166" w:rsidRPr="00B0485F" w:rsidRDefault="00045166" w:rsidP="008E75D8">
            <w:pPr>
              <w:pStyle w:val="051Tabletext228pt"/>
              <w:spacing w:before="20" w:after="20"/>
            </w:pPr>
            <w:r w:rsidRPr="00B0485F">
              <w:t>90.3</w:t>
            </w:r>
          </w:p>
        </w:tc>
        <w:tc>
          <w:tcPr>
            <w:tcW w:w="652" w:type="pct"/>
          </w:tcPr>
          <w:p w14:paraId="11791467" w14:textId="77777777" w:rsidR="00045166" w:rsidRPr="00B0485F" w:rsidRDefault="00045166" w:rsidP="008E75D8">
            <w:pPr>
              <w:pStyle w:val="051Tabletext228pt"/>
              <w:spacing w:before="20" w:after="20"/>
            </w:pPr>
            <w:r w:rsidRPr="00B0485F">
              <w:t>Serious risk of bias</w:t>
            </w:r>
          </w:p>
        </w:tc>
      </w:tr>
      <w:tr w:rsidR="00045166" w:rsidRPr="00B0485F" w14:paraId="7DC1370D" w14:textId="77777777" w:rsidTr="009833CF">
        <w:tc>
          <w:tcPr>
            <w:tcW w:w="1087" w:type="pct"/>
          </w:tcPr>
          <w:p w14:paraId="3D899655" w14:textId="7DD901AC" w:rsidR="00045166" w:rsidRPr="00B0485F" w:rsidRDefault="00045166" w:rsidP="008E75D8">
            <w:pPr>
              <w:pStyle w:val="051Tabletext228pt"/>
              <w:spacing w:before="20" w:after="20"/>
            </w:pPr>
            <w:proofErr w:type="spellStart"/>
            <w:r w:rsidRPr="00B0485F">
              <w:t>Transobturator</w:t>
            </w:r>
            <w:proofErr w:type="spellEnd"/>
            <w:r w:rsidR="00465A88">
              <w:t xml:space="preserve"> </w:t>
            </w:r>
          </w:p>
        </w:tc>
        <w:tc>
          <w:tcPr>
            <w:tcW w:w="707" w:type="pct"/>
          </w:tcPr>
          <w:p w14:paraId="62590641" w14:textId="77777777" w:rsidR="00045166" w:rsidRPr="00B0485F" w:rsidRDefault="00045166" w:rsidP="008E75D8">
            <w:pPr>
              <w:pStyle w:val="051Tabletext228pt"/>
              <w:spacing w:before="20" w:after="20"/>
            </w:pPr>
            <w:r w:rsidRPr="00B0485F">
              <w:t>Chun 2014</w:t>
            </w:r>
          </w:p>
          <w:p w14:paraId="0C51E17B" w14:textId="30EA6DBA" w:rsidR="00045166" w:rsidRPr="00B0485F" w:rsidRDefault="00045166" w:rsidP="008E75D8">
            <w:pPr>
              <w:pStyle w:val="051Tabletext228pt"/>
              <w:spacing w:before="20" w:after="20"/>
            </w:pPr>
          </w:p>
        </w:tc>
        <w:tc>
          <w:tcPr>
            <w:tcW w:w="869" w:type="pct"/>
          </w:tcPr>
          <w:p w14:paraId="2A236113" w14:textId="77777777" w:rsidR="00045166" w:rsidRDefault="00045166" w:rsidP="008E75D8">
            <w:pPr>
              <w:pStyle w:val="051Tabletext228pt"/>
              <w:spacing w:before="20" w:after="20"/>
            </w:pPr>
            <w:r w:rsidRPr="00B0485F">
              <w:t>Retrospective cohort</w:t>
            </w:r>
          </w:p>
          <w:p w14:paraId="3C43D472" w14:textId="2B60CB96" w:rsidR="00045166" w:rsidRPr="00B0485F" w:rsidRDefault="006C6B42" w:rsidP="008E75D8">
            <w:pPr>
              <w:pStyle w:val="051Tabletext228pt"/>
              <w:spacing w:before="20" w:after="20"/>
            </w:pPr>
            <w:r>
              <w:t>N=215</w:t>
            </w:r>
          </w:p>
        </w:tc>
        <w:tc>
          <w:tcPr>
            <w:tcW w:w="924" w:type="pct"/>
          </w:tcPr>
          <w:p w14:paraId="1139EC10" w14:textId="77777777" w:rsidR="00045166" w:rsidRPr="00B0485F" w:rsidRDefault="00045166" w:rsidP="008E75D8">
            <w:pPr>
              <w:pStyle w:val="051Tabletext228pt"/>
              <w:spacing w:before="20" w:after="20"/>
            </w:pPr>
            <w:r w:rsidRPr="00B0485F">
              <w:t>Pain</w:t>
            </w:r>
          </w:p>
          <w:p w14:paraId="7621E2B3" w14:textId="77777777" w:rsidR="00045166" w:rsidRPr="00B0485F" w:rsidRDefault="00045166" w:rsidP="008E75D8">
            <w:pPr>
              <w:pStyle w:val="051Tabletext228pt"/>
              <w:spacing w:before="20" w:after="20"/>
            </w:pPr>
            <w:r w:rsidRPr="00B0485F">
              <w:t>Infection</w:t>
            </w:r>
          </w:p>
          <w:p w14:paraId="0D02D269" w14:textId="77777777" w:rsidR="00045166" w:rsidRPr="00B0485F" w:rsidRDefault="00045166" w:rsidP="008E75D8">
            <w:pPr>
              <w:pStyle w:val="051Tabletext228pt"/>
              <w:spacing w:before="20" w:after="20"/>
            </w:pPr>
            <w:r w:rsidRPr="00B0485F">
              <w:t>De novo urge incontinence</w:t>
            </w:r>
          </w:p>
        </w:tc>
        <w:tc>
          <w:tcPr>
            <w:tcW w:w="761" w:type="pct"/>
          </w:tcPr>
          <w:p w14:paraId="404EB07B" w14:textId="77777777" w:rsidR="00045166" w:rsidRPr="00B0485F" w:rsidRDefault="00045166" w:rsidP="008E75D8">
            <w:pPr>
              <w:pStyle w:val="051Tabletext228pt"/>
              <w:spacing w:before="20" w:after="20"/>
            </w:pPr>
            <w:r w:rsidRPr="00B0485F">
              <w:t>85.2 (median)</w:t>
            </w:r>
          </w:p>
        </w:tc>
        <w:tc>
          <w:tcPr>
            <w:tcW w:w="652" w:type="pct"/>
          </w:tcPr>
          <w:p w14:paraId="25D52A37" w14:textId="77777777" w:rsidR="00045166" w:rsidRPr="00B0485F" w:rsidRDefault="00045166" w:rsidP="008E75D8">
            <w:pPr>
              <w:pStyle w:val="051Tabletext228pt"/>
              <w:spacing w:before="20" w:after="20"/>
            </w:pPr>
            <w:r w:rsidRPr="00B0485F">
              <w:t>Serious risk of bias</w:t>
            </w:r>
          </w:p>
        </w:tc>
      </w:tr>
      <w:tr w:rsidR="00045166" w:rsidRPr="00B0485F" w14:paraId="71335DC6" w14:textId="77777777" w:rsidTr="009833CF">
        <w:tc>
          <w:tcPr>
            <w:tcW w:w="1087" w:type="pct"/>
          </w:tcPr>
          <w:p w14:paraId="7869DAF7" w14:textId="09221BE6" w:rsidR="00045166" w:rsidRPr="00B0485F" w:rsidRDefault="00045166" w:rsidP="008E75D8">
            <w:pPr>
              <w:pStyle w:val="051Tabletext228pt"/>
              <w:spacing w:before="20" w:after="20"/>
            </w:pPr>
            <w:proofErr w:type="spellStart"/>
            <w:r w:rsidRPr="00B0485F">
              <w:t>Transobturator</w:t>
            </w:r>
            <w:proofErr w:type="spellEnd"/>
            <w:r w:rsidRPr="00B0485F">
              <w:t xml:space="preserve"> </w:t>
            </w:r>
          </w:p>
        </w:tc>
        <w:tc>
          <w:tcPr>
            <w:tcW w:w="707" w:type="pct"/>
          </w:tcPr>
          <w:p w14:paraId="10022FA4" w14:textId="77777777" w:rsidR="00045166" w:rsidRPr="00B0485F" w:rsidRDefault="00045166" w:rsidP="008E75D8">
            <w:pPr>
              <w:pStyle w:val="051Tabletext228pt"/>
              <w:spacing w:before="20" w:after="20"/>
            </w:pPr>
            <w:r w:rsidRPr="00B0485F">
              <w:t>Montera 2018</w:t>
            </w:r>
          </w:p>
          <w:p w14:paraId="3EEA6E6F" w14:textId="150227E1" w:rsidR="00045166" w:rsidRPr="00B0485F" w:rsidRDefault="00045166" w:rsidP="008E75D8">
            <w:pPr>
              <w:pStyle w:val="051Tabletext228pt"/>
              <w:spacing w:before="20" w:after="20"/>
            </w:pPr>
          </w:p>
        </w:tc>
        <w:tc>
          <w:tcPr>
            <w:tcW w:w="869" w:type="pct"/>
          </w:tcPr>
          <w:p w14:paraId="4FE3CEF7" w14:textId="77777777" w:rsidR="00045166" w:rsidRDefault="00045166" w:rsidP="008E75D8">
            <w:pPr>
              <w:pStyle w:val="051Tabletext228pt"/>
              <w:spacing w:before="20" w:after="20"/>
            </w:pPr>
            <w:r w:rsidRPr="00B0485F">
              <w:t>Case series</w:t>
            </w:r>
          </w:p>
          <w:p w14:paraId="429B7995" w14:textId="598D73E7" w:rsidR="00045166" w:rsidRPr="00B0485F" w:rsidRDefault="006C6B42" w:rsidP="008E75D8">
            <w:pPr>
              <w:pStyle w:val="051Tabletext228pt"/>
              <w:spacing w:before="20" w:after="20"/>
            </w:pPr>
            <w:r>
              <w:t>N=50</w:t>
            </w:r>
          </w:p>
        </w:tc>
        <w:tc>
          <w:tcPr>
            <w:tcW w:w="924" w:type="pct"/>
          </w:tcPr>
          <w:p w14:paraId="61941A20" w14:textId="77777777" w:rsidR="00045166" w:rsidRPr="00B0485F" w:rsidRDefault="00045166" w:rsidP="008E75D8">
            <w:pPr>
              <w:pStyle w:val="051Tabletext228pt"/>
              <w:spacing w:before="20" w:after="20"/>
            </w:pPr>
            <w:r w:rsidRPr="00B0485F">
              <w:t>Pain</w:t>
            </w:r>
          </w:p>
          <w:p w14:paraId="09BB2508" w14:textId="77777777" w:rsidR="00045166" w:rsidRPr="00B0485F" w:rsidRDefault="00045166" w:rsidP="008E75D8">
            <w:pPr>
              <w:pStyle w:val="051Tabletext228pt"/>
              <w:spacing w:before="20" w:after="20"/>
            </w:pPr>
            <w:r w:rsidRPr="00B0485F">
              <w:t>Mesh extrusion</w:t>
            </w:r>
          </w:p>
        </w:tc>
        <w:tc>
          <w:tcPr>
            <w:tcW w:w="761" w:type="pct"/>
          </w:tcPr>
          <w:p w14:paraId="6B884A7E" w14:textId="77777777" w:rsidR="00045166" w:rsidRPr="00B0485F" w:rsidRDefault="00045166" w:rsidP="008E75D8">
            <w:pPr>
              <w:pStyle w:val="051Tabletext228pt"/>
              <w:spacing w:before="20" w:after="20"/>
            </w:pPr>
            <w:r w:rsidRPr="00B0485F">
              <w:t>126 (median)</w:t>
            </w:r>
          </w:p>
        </w:tc>
        <w:tc>
          <w:tcPr>
            <w:tcW w:w="652" w:type="pct"/>
          </w:tcPr>
          <w:p w14:paraId="669EB284" w14:textId="77777777" w:rsidR="00045166" w:rsidRPr="00B0485F" w:rsidRDefault="00045166" w:rsidP="008E75D8">
            <w:pPr>
              <w:pStyle w:val="051Tabletext228pt"/>
              <w:spacing w:before="20" w:after="20"/>
            </w:pPr>
            <w:r w:rsidRPr="00B0485F">
              <w:t>Serious risk of bias</w:t>
            </w:r>
          </w:p>
        </w:tc>
      </w:tr>
      <w:tr w:rsidR="00045166" w:rsidRPr="00B0485F" w14:paraId="787D57B4" w14:textId="77777777" w:rsidTr="009833CF">
        <w:tc>
          <w:tcPr>
            <w:tcW w:w="1087" w:type="pct"/>
          </w:tcPr>
          <w:p w14:paraId="5AA15D61" w14:textId="7C94F621" w:rsidR="00045166" w:rsidRPr="00B0485F" w:rsidRDefault="00045166" w:rsidP="008E75D8">
            <w:pPr>
              <w:pStyle w:val="051Tabletext228pt"/>
              <w:spacing w:before="20" w:after="20"/>
            </w:pPr>
            <w:proofErr w:type="spellStart"/>
            <w:r w:rsidRPr="00B0485F">
              <w:lastRenderedPageBreak/>
              <w:t>Transobturator</w:t>
            </w:r>
            <w:proofErr w:type="spellEnd"/>
            <w:r w:rsidRPr="00B0485F">
              <w:t xml:space="preserve"> </w:t>
            </w:r>
          </w:p>
        </w:tc>
        <w:tc>
          <w:tcPr>
            <w:tcW w:w="707" w:type="pct"/>
          </w:tcPr>
          <w:p w14:paraId="7B88342B" w14:textId="77777777" w:rsidR="00045166" w:rsidRPr="00B0485F" w:rsidRDefault="00045166" w:rsidP="008E75D8">
            <w:pPr>
              <w:pStyle w:val="051Tabletext228pt"/>
              <w:spacing w:before="20" w:after="20"/>
            </w:pPr>
            <w:proofErr w:type="spellStart"/>
            <w:r w:rsidRPr="00B0485F">
              <w:t>Serati</w:t>
            </w:r>
            <w:proofErr w:type="spellEnd"/>
            <w:r w:rsidRPr="00B0485F">
              <w:t xml:space="preserve"> 2017a</w:t>
            </w:r>
          </w:p>
          <w:p w14:paraId="33463EF9" w14:textId="7E339876" w:rsidR="00045166" w:rsidRPr="00B0485F" w:rsidRDefault="00045166" w:rsidP="008E75D8">
            <w:pPr>
              <w:pStyle w:val="051Tabletext228pt"/>
              <w:spacing w:before="20" w:after="20"/>
            </w:pPr>
          </w:p>
        </w:tc>
        <w:tc>
          <w:tcPr>
            <w:tcW w:w="869" w:type="pct"/>
          </w:tcPr>
          <w:p w14:paraId="104F0B20" w14:textId="77777777" w:rsidR="00045166" w:rsidRDefault="00045166" w:rsidP="008E75D8">
            <w:pPr>
              <w:pStyle w:val="051Tabletext228pt"/>
              <w:spacing w:before="20" w:after="20"/>
            </w:pPr>
            <w:r w:rsidRPr="00B0485F">
              <w:t>Case series</w:t>
            </w:r>
          </w:p>
          <w:p w14:paraId="28EA98EC" w14:textId="53E5CCDB" w:rsidR="00045166" w:rsidRPr="00B0485F" w:rsidRDefault="006C6B42" w:rsidP="008E75D8">
            <w:pPr>
              <w:pStyle w:val="051Tabletext228pt"/>
              <w:spacing w:before="20" w:after="20"/>
            </w:pPr>
            <w:r>
              <w:t>N=160</w:t>
            </w:r>
          </w:p>
        </w:tc>
        <w:tc>
          <w:tcPr>
            <w:tcW w:w="924" w:type="pct"/>
          </w:tcPr>
          <w:p w14:paraId="4AF94DA1" w14:textId="77777777" w:rsidR="00045166" w:rsidRPr="00B0485F" w:rsidRDefault="00045166" w:rsidP="008E75D8">
            <w:pPr>
              <w:pStyle w:val="051Tabletext228pt"/>
              <w:spacing w:before="20" w:after="20"/>
            </w:pPr>
            <w:r w:rsidRPr="00B0485F">
              <w:t>Pain</w:t>
            </w:r>
          </w:p>
          <w:p w14:paraId="592406A8" w14:textId="77777777" w:rsidR="00045166" w:rsidRPr="00B0485F" w:rsidRDefault="00045166" w:rsidP="008E75D8">
            <w:pPr>
              <w:pStyle w:val="051Tabletext228pt"/>
              <w:spacing w:before="20" w:after="20"/>
            </w:pPr>
            <w:r w:rsidRPr="00B0485F">
              <w:t>Mesh extrusion</w:t>
            </w:r>
          </w:p>
          <w:p w14:paraId="56204DD2" w14:textId="77777777" w:rsidR="00045166" w:rsidRPr="00B0485F" w:rsidRDefault="00045166" w:rsidP="008E75D8">
            <w:pPr>
              <w:pStyle w:val="051Tabletext228pt"/>
              <w:spacing w:before="20" w:after="20"/>
            </w:pPr>
            <w:r w:rsidRPr="00B0485F">
              <w:t>De novo urge incontinence</w:t>
            </w:r>
          </w:p>
          <w:p w14:paraId="3056559F" w14:textId="77777777" w:rsidR="00045166" w:rsidRPr="00B0485F" w:rsidRDefault="00045166" w:rsidP="008E75D8">
            <w:pPr>
              <w:pStyle w:val="051Tabletext228pt"/>
              <w:spacing w:before="20" w:after="20"/>
            </w:pPr>
            <w:r w:rsidRPr="00B0485F">
              <w:t>POP occurrence</w:t>
            </w:r>
          </w:p>
        </w:tc>
        <w:tc>
          <w:tcPr>
            <w:tcW w:w="761" w:type="pct"/>
          </w:tcPr>
          <w:p w14:paraId="7B1F708D" w14:textId="77777777" w:rsidR="00045166" w:rsidRPr="00B0485F" w:rsidRDefault="00045166" w:rsidP="008E75D8">
            <w:pPr>
              <w:pStyle w:val="051Tabletext228pt"/>
              <w:spacing w:before="20" w:after="20"/>
            </w:pPr>
            <w:r w:rsidRPr="00B0485F">
              <w:t>120</w:t>
            </w:r>
          </w:p>
        </w:tc>
        <w:tc>
          <w:tcPr>
            <w:tcW w:w="652" w:type="pct"/>
          </w:tcPr>
          <w:p w14:paraId="002DCF7B" w14:textId="77777777" w:rsidR="00045166" w:rsidRPr="00B0485F" w:rsidRDefault="00045166" w:rsidP="008E75D8">
            <w:pPr>
              <w:pStyle w:val="051Tabletext228pt"/>
              <w:spacing w:before="20" w:after="20"/>
            </w:pPr>
            <w:r w:rsidRPr="00B0485F">
              <w:t>Serious risk of bias</w:t>
            </w:r>
          </w:p>
        </w:tc>
      </w:tr>
      <w:tr w:rsidR="00045166" w:rsidRPr="00B0485F" w14:paraId="68D21E27" w14:textId="77777777" w:rsidTr="009833CF">
        <w:tc>
          <w:tcPr>
            <w:tcW w:w="1087" w:type="pct"/>
          </w:tcPr>
          <w:p w14:paraId="7B9A932B" w14:textId="79B35D4D" w:rsidR="00045166" w:rsidRPr="00B0485F" w:rsidRDefault="00045166" w:rsidP="008E75D8">
            <w:pPr>
              <w:pStyle w:val="051Tabletext228pt"/>
              <w:spacing w:before="20" w:after="20"/>
            </w:pPr>
            <w:proofErr w:type="spellStart"/>
            <w:r w:rsidRPr="00B0485F">
              <w:t>Transobturator</w:t>
            </w:r>
            <w:proofErr w:type="spellEnd"/>
            <w:r w:rsidRPr="00B0485F">
              <w:t xml:space="preserve"> </w:t>
            </w:r>
          </w:p>
        </w:tc>
        <w:tc>
          <w:tcPr>
            <w:tcW w:w="707" w:type="pct"/>
          </w:tcPr>
          <w:p w14:paraId="740CCDBB" w14:textId="77777777" w:rsidR="00045166" w:rsidRPr="00B0485F" w:rsidRDefault="00045166" w:rsidP="008E75D8">
            <w:pPr>
              <w:pStyle w:val="051Tabletext228pt"/>
              <w:spacing w:before="20" w:after="20"/>
            </w:pPr>
            <w:proofErr w:type="spellStart"/>
            <w:r w:rsidRPr="00B0485F">
              <w:t>Sivaslioglu</w:t>
            </w:r>
            <w:proofErr w:type="spellEnd"/>
            <w:r w:rsidRPr="00B0485F">
              <w:t xml:space="preserve"> 2010</w:t>
            </w:r>
          </w:p>
          <w:p w14:paraId="2A3D7B8A" w14:textId="5703C783" w:rsidR="00045166" w:rsidRPr="00B0485F" w:rsidRDefault="00045166" w:rsidP="008E75D8">
            <w:pPr>
              <w:pStyle w:val="051Tabletext228pt"/>
              <w:spacing w:before="20" w:after="20"/>
            </w:pPr>
          </w:p>
        </w:tc>
        <w:tc>
          <w:tcPr>
            <w:tcW w:w="869" w:type="pct"/>
          </w:tcPr>
          <w:p w14:paraId="1A6A9DF5" w14:textId="77777777" w:rsidR="00045166" w:rsidRDefault="00045166" w:rsidP="008E75D8">
            <w:pPr>
              <w:pStyle w:val="051Tabletext228pt"/>
              <w:spacing w:before="20" w:after="20"/>
            </w:pPr>
            <w:r w:rsidRPr="00B0485F">
              <w:t>RCT</w:t>
            </w:r>
          </w:p>
          <w:p w14:paraId="13B939AC" w14:textId="3442F5A7" w:rsidR="00045166" w:rsidRPr="00B0485F" w:rsidRDefault="006C6B42" w:rsidP="008E75D8">
            <w:pPr>
              <w:pStyle w:val="051Tabletext228pt"/>
              <w:spacing w:before="20" w:after="20"/>
            </w:pPr>
            <w:r>
              <w:t>N=80</w:t>
            </w:r>
          </w:p>
        </w:tc>
        <w:tc>
          <w:tcPr>
            <w:tcW w:w="924" w:type="pct"/>
          </w:tcPr>
          <w:p w14:paraId="43E63B79" w14:textId="77777777" w:rsidR="00045166" w:rsidRPr="00B0485F" w:rsidRDefault="00045166" w:rsidP="008E75D8">
            <w:pPr>
              <w:pStyle w:val="051Tabletext228pt"/>
              <w:spacing w:before="20" w:after="20"/>
            </w:pPr>
            <w:r w:rsidRPr="00B0485F">
              <w:t>Pain</w:t>
            </w:r>
          </w:p>
          <w:p w14:paraId="72846F70" w14:textId="77777777" w:rsidR="00045166" w:rsidRPr="00B0485F" w:rsidRDefault="00045166" w:rsidP="008E75D8">
            <w:pPr>
              <w:pStyle w:val="051Tabletext228pt"/>
              <w:spacing w:before="20" w:after="20"/>
            </w:pPr>
            <w:r w:rsidRPr="00B0485F">
              <w:t>Mesh extrusion</w:t>
            </w:r>
          </w:p>
        </w:tc>
        <w:tc>
          <w:tcPr>
            <w:tcW w:w="761" w:type="pct"/>
          </w:tcPr>
          <w:p w14:paraId="5DB41DC3" w14:textId="77777777" w:rsidR="00045166" w:rsidRPr="00B0485F" w:rsidRDefault="00045166" w:rsidP="008E75D8">
            <w:pPr>
              <w:pStyle w:val="051Tabletext228pt"/>
              <w:spacing w:before="20" w:after="20"/>
            </w:pPr>
            <w:r w:rsidRPr="00B0485F">
              <w:t>64</w:t>
            </w:r>
          </w:p>
        </w:tc>
        <w:tc>
          <w:tcPr>
            <w:tcW w:w="652" w:type="pct"/>
          </w:tcPr>
          <w:p w14:paraId="61E6A844" w14:textId="77777777" w:rsidR="00045166" w:rsidRPr="00B0485F" w:rsidRDefault="00045166" w:rsidP="008E75D8">
            <w:pPr>
              <w:pStyle w:val="051Tabletext228pt"/>
              <w:spacing w:before="20" w:after="20"/>
            </w:pPr>
            <w:r w:rsidRPr="00B0485F">
              <w:t>Unclear risk of bias</w:t>
            </w:r>
          </w:p>
        </w:tc>
      </w:tr>
      <w:tr w:rsidR="00045166" w:rsidRPr="00B0485F" w14:paraId="7501CF3C" w14:textId="77777777" w:rsidTr="009833CF">
        <w:tc>
          <w:tcPr>
            <w:tcW w:w="1087" w:type="pct"/>
          </w:tcPr>
          <w:p w14:paraId="5FDBBC1F" w14:textId="710F42FD" w:rsidR="00045166" w:rsidRPr="00B0485F" w:rsidRDefault="00045166" w:rsidP="008E75D8">
            <w:pPr>
              <w:pStyle w:val="051Tabletext228pt"/>
              <w:spacing w:before="20" w:after="20"/>
            </w:pPr>
            <w:proofErr w:type="spellStart"/>
            <w:r w:rsidRPr="00B0485F">
              <w:t>Transobturator</w:t>
            </w:r>
            <w:proofErr w:type="spellEnd"/>
            <w:r w:rsidRPr="00B0485F">
              <w:t xml:space="preserve"> </w:t>
            </w:r>
          </w:p>
        </w:tc>
        <w:tc>
          <w:tcPr>
            <w:tcW w:w="707" w:type="pct"/>
          </w:tcPr>
          <w:p w14:paraId="0BCCD811" w14:textId="77777777" w:rsidR="00045166" w:rsidRPr="00B0485F" w:rsidRDefault="00045166" w:rsidP="008E75D8">
            <w:pPr>
              <w:pStyle w:val="051Tabletext228pt"/>
              <w:spacing w:before="20" w:after="20"/>
            </w:pPr>
            <w:r w:rsidRPr="00B0485F">
              <w:t>Tutolo 2017</w:t>
            </w:r>
          </w:p>
          <w:p w14:paraId="4C89BFBE" w14:textId="2F1131DD" w:rsidR="00045166" w:rsidRPr="00B0485F" w:rsidRDefault="00045166" w:rsidP="008E75D8">
            <w:pPr>
              <w:pStyle w:val="051Tabletext228pt"/>
              <w:spacing w:before="20" w:after="20"/>
              <w:rPr>
                <w:highlight w:val="yellow"/>
              </w:rPr>
            </w:pPr>
          </w:p>
        </w:tc>
        <w:tc>
          <w:tcPr>
            <w:tcW w:w="869" w:type="pct"/>
          </w:tcPr>
          <w:p w14:paraId="19C5D818" w14:textId="77777777" w:rsidR="00045166" w:rsidRDefault="00045166" w:rsidP="008E75D8">
            <w:pPr>
              <w:pStyle w:val="051Tabletext228pt"/>
              <w:spacing w:before="20" w:after="20"/>
            </w:pPr>
            <w:r w:rsidRPr="00B0485F">
              <w:t>Retrospective cohort</w:t>
            </w:r>
          </w:p>
          <w:p w14:paraId="5B8DC55F" w14:textId="24E55C47" w:rsidR="00045166" w:rsidRPr="00B0485F" w:rsidRDefault="001F5B14" w:rsidP="008E75D8">
            <w:pPr>
              <w:pStyle w:val="051Tabletext228pt"/>
              <w:spacing w:before="20" w:after="20"/>
            </w:pPr>
            <w:r>
              <w:t>N=381</w:t>
            </w:r>
          </w:p>
        </w:tc>
        <w:tc>
          <w:tcPr>
            <w:tcW w:w="924" w:type="pct"/>
          </w:tcPr>
          <w:p w14:paraId="68D9B62F" w14:textId="77777777" w:rsidR="00045166" w:rsidRPr="00B0485F" w:rsidRDefault="00045166" w:rsidP="008E75D8">
            <w:pPr>
              <w:pStyle w:val="051Tabletext228pt"/>
              <w:spacing w:before="20" w:after="20"/>
            </w:pPr>
            <w:r w:rsidRPr="00B0485F">
              <w:t>Mesh extrusion</w:t>
            </w:r>
          </w:p>
          <w:p w14:paraId="032F1FC4" w14:textId="77777777" w:rsidR="00045166" w:rsidRPr="00B0485F" w:rsidRDefault="00045166" w:rsidP="008E75D8">
            <w:pPr>
              <w:pStyle w:val="051Tabletext228pt"/>
              <w:spacing w:before="20" w:after="20"/>
            </w:pPr>
            <w:r w:rsidRPr="00B0485F">
              <w:t>De novo urge incontinence</w:t>
            </w:r>
          </w:p>
        </w:tc>
        <w:tc>
          <w:tcPr>
            <w:tcW w:w="761" w:type="pct"/>
          </w:tcPr>
          <w:p w14:paraId="41E24AE4" w14:textId="77777777" w:rsidR="00045166" w:rsidRPr="00B0485F" w:rsidRDefault="00045166" w:rsidP="008E75D8">
            <w:pPr>
              <w:pStyle w:val="051Tabletext228pt"/>
              <w:spacing w:before="20" w:after="20"/>
            </w:pPr>
            <w:r w:rsidRPr="00B0485F">
              <w:t>65 (mean)</w:t>
            </w:r>
          </w:p>
        </w:tc>
        <w:tc>
          <w:tcPr>
            <w:tcW w:w="652" w:type="pct"/>
          </w:tcPr>
          <w:p w14:paraId="215FD883" w14:textId="77777777" w:rsidR="00045166" w:rsidRPr="00B0485F" w:rsidRDefault="00045166" w:rsidP="008E75D8">
            <w:pPr>
              <w:pStyle w:val="051Tabletext228pt"/>
              <w:spacing w:before="20" w:after="20"/>
            </w:pPr>
            <w:r w:rsidRPr="00B0485F">
              <w:t>Serious risk of bias</w:t>
            </w:r>
          </w:p>
        </w:tc>
      </w:tr>
      <w:tr w:rsidR="00045166" w:rsidRPr="00B0485F" w14:paraId="0599D4FE" w14:textId="77777777" w:rsidTr="009833CF">
        <w:tc>
          <w:tcPr>
            <w:tcW w:w="1087" w:type="pct"/>
          </w:tcPr>
          <w:p w14:paraId="61783318" w14:textId="7189D307" w:rsidR="00045166" w:rsidRPr="00B0485F" w:rsidRDefault="00045166" w:rsidP="008E75D8">
            <w:pPr>
              <w:pStyle w:val="051Tabletext228pt"/>
              <w:spacing w:before="20" w:after="20"/>
            </w:pPr>
            <w:proofErr w:type="spellStart"/>
            <w:r w:rsidRPr="00B0485F">
              <w:t>Transobturator</w:t>
            </w:r>
            <w:proofErr w:type="spellEnd"/>
            <w:r w:rsidRPr="00B0485F">
              <w:t xml:space="preserve"> </w:t>
            </w:r>
          </w:p>
        </w:tc>
        <w:tc>
          <w:tcPr>
            <w:tcW w:w="707" w:type="pct"/>
          </w:tcPr>
          <w:p w14:paraId="5B4D1B20" w14:textId="77777777" w:rsidR="00045166" w:rsidRPr="00B0485F" w:rsidRDefault="00045166" w:rsidP="008E75D8">
            <w:pPr>
              <w:pStyle w:val="051Tabletext228pt"/>
              <w:spacing w:before="20" w:after="20"/>
            </w:pPr>
            <w:r w:rsidRPr="00B0485F">
              <w:t>Ulrich 2016</w:t>
            </w:r>
          </w:p>
          <w:p w14:paraId="38167AAF" w14:textId="451CEDCE" w:rsidR="00045166" w:rsidRPr="00B0485F" w:rsidRDefault="00045166" w:rsidP="008E75D8">
            <w:pPr>
              <w:pStyle w:val="051Tabletext228pt"/>
              <w:spacing w:before="20" w:after="20"/>
              <w:rPr>
                <w:highlight w:val="yellow"/>
              </w:rPr>
            </w:pPr>
          </w:p>
        </w:tc>
        <w:tc>
          <w:tcPr>
            <w:tcW w:w="869" w:type="pct"/>
          </w:tcPr>
          <w:p w14:paraId="7FB1CBC8" w14:textId="77777777" w:rsidR="00045166" w:rsidRDefault="00045166" w:rsidP="008E75D8">
            <w:pPr>
              <w:pStyle w:val="051Tabletext228pt"/>
              <w:spacing w:before="20" w:after="20"/>
            </w:pPr>
            <w:r w:rsidRPr="00B0485F">
              <w:t>Case series</w:t>
            </w:r>
          </w:p>
          <w:p w14:paraId="516D602B" w14:textId="0792C6DB" w:rsidR="00045166" w:rsidRPr="00B0485F" w:rsidRDefault="001F5B14" w:rsidP="008E75D8">
            <w:pPr>
              <w:pStyle w:val="051Tabletext228pt"/>
              <w:spacing w:before="20" w:after="20"/>
            </w:pPr>
            <w:r>
              <w:t>N=71</w:t>
            </w:r>
          </w:p>
        </w:tc>
        <w:tc>
          <w:tcPr>
            <w:tcW w:w="924" w:type="pct"/>
          </w:tcPr>
          <w:p w14:paraId="6C0F2E3B" w14:textId="77777777" w:rsidR="00045166" w:rsidRPr="00B0485F" w:rsidRDefault="00045166" w:rsidP="008E75D8">
            <w:pPr>
              <w:pStyle w:val="051Tabletext228pt"/>
              <w:spacing w:before="20" w:after="20"/>
            </w:pPr>
            <w:r w:rsidRPr="00B0485F">
              <w:t>Pain</w:t>
            </w:r>
          </w:p>
          <w:p w14:paraId="1D6D7AC2" w14:textId="77777777" w:rsidR="00045166" w:rsidRPr="00B0485F" w:rsidRDefault="00045166" w:rsidP="008E75D8">
            <w:pPr>
              <w:pStyle w:val="051Tabletext228pt"/>
              <w:spacing w:before="20" w:after="20"/>
            </w:pPr>
            <w:r w:rsidRPr="00B0485F">
              <w:t>Mesh extrusion</w:t>
            </w:r>
          </w:p>
          <w:p w14:paraId="0C0B188E" w14:textId="77777777" w:rsidR="00045166" w:rsidRPr="00B0485F" w:rsidRDefault="00045166" w:rsidP="008E75D8">
            <w:pPr>
              <w:pStyle w:val="051Tabletext228pt"/>
              <w:spacing w:before="20" w:after="20"/>
            </w:pPr>
            <w:r w:rsidRPr="00B0485F">
              <w:t>De novo urge incontinence</w:t>
            </w:r>
          </w:p>
        </w:tc>
        <w:tc>
          <w:tcPr>
            <w:tcW w:w="761" w:type="pct"/>
          </w:tcPr>
          <w:p w14:paraId="20B9BC48" w14:textId="77777777" w:rsidR="00045166" w:rsidRPr="00B0485F" w:rsidRDefault="00045166" w:rsidP="008E75D8">
            <w:pPr>
              <w:pStyle w:val="051Tabletext228pt"/>
              <w:spacing w:before="20" w:after="20"/>
            </w:pPr>
            <w:r w:rsidRPr="00B0485F">
              <w:t>120</w:t>
            </w:r>
          </w:p>
        </w:tc>
        <w:tc>
          <w:tcPr>
            <w:tcW w:w="652" w:type="pct"/>
          </w:tcPr>
          <w:p w14:paraId="1078CE95" w14:textId="77777777" w:rsidR="00045166" w:rsidRPr="00B0485F" w:rsidRDefault="00045166" w:rsidP="008E75D8">
            <w:pPr>
              <w:pStyle w:val="051Tabletext228pt"/>
              <w:spacing w:before="20" w:after="20"/>
            </w:pPr>
            <w:r w:rsidRPr="00B0485F">
              <w:t>Serious risk of bias</w:t>
            </w:r>
          </w:p>
        </w:tc>
      </w:tr>
      <w:tr w:rsidR="0060387C" w:rsidRPr="00B0485F" w14:paraId="67485ADB" w14:textId="77777777" w:rsidTr="009833CF">
        <w:tc>
          <w:tcPr>
            <w:tcW w:w="1087" w:type="pct"/>
          </w:tcPr>
          <w:p w14:paraId="0022D2F2" w14:textId="49E118AD" w:rsidR="0060387C" w:rsidRPr="00B0485F" w:rsidRDefault="00E50A1C" w:rsidP="008E75D8">
            <w:pPr>
              <w:pStyle w:val="051Tabletext228pt"/>
              <w:spacing w:before="20" w:after="20"/>
            </w:pPr>
            <w:r w:rsidRPr="00B0485F">
              <w:t>R</w:t>
            </w:r>
            <w:r w:rsidR="0060387C" w:rsidRPr="00B0485F">
              <w:t>etropubic</w:t>
            </w:r>
            <w:r>
              <w:t xml:space="preserve">, </w:t>
            </w:r>
            <w:proofErr w:type="spellStart"/>
            <w:r>
              <w:t>t</w:t>
            </w:r>
            <w:r w:rsidRPr="00B0485F">
              <w:t>ransobturator</w:t>
            </w:r>
            <w:proofErr w:type="spellEnd"/>
          </w:p>
        </w:tc>
        <w:tc>
          <w:tcPr>
            <w:tcW w:w="707" w:type="pct"/>
          </w:tcPr>
          <w:p w14:paraId="53032C69" w14:textId="77777777" w:rsidR="0060387C" w:rsidRPr="00B0485F" w:rsidRDefault="0060387C" w:rsidP="008E75D8">
            <w:pPr>
              <w:pStyle w:val="051Tabletext228pt"/>
              <w:spacing w:before="20" w:after="20"/>
            </w:pPr>
            <w:r w:rsidRPr="00B0485F">
              <w:t>Al-Zahrani 2016</w:t>
            </w:r>
          </w:p>
          <w:p w14:paraId="3BCB8F37" w14:textId="468A2839" w:rsidR="0060387C" w:rsidRPr="00B0485F" w:rsidRDefault="0060387C" w:rsidP="008E75D8">
            <w:pPr>
              <w:pStyle w:val="051Tabletext228pt"/>
              <w:spacing w:before="20" w:after="20"/>
            </w:pPr>
          </w:p>
        </w:tc>
        <w:tc>
          <w:tcPr>
            <w:tcW w:w="869" w:type="pct"/>
          </w:tcPr>
          <w:p w14:paraId="66728943" w14:textId="77777777" w:rsidR="0060387C" w:rsidRDefault="0060387C" w:rsidP="008E75D8">
            <w:pPr>
              <w:pStyle w:val="051Tabletext228pt"/>
              <w:spacing w:before="20" w:after="20"/>
            </w:pPr>
            <w:r w:rsidRPr="00B0485F">
              <w:t>Retrospective cohort</w:t>
            </w:r>
          </w:p>
          <w:p w14:paraId="0B41F565" w14:textId="1F679CDE" w:rsidR="0060387C" w:rsidRPr="00B0485F" w:rsidRDefault="001F5B14" w:rsidP="008E75D8">
            <w:pPr>
              <w:pStyle w:val="051Tabletext228pt"/>
              <w:spacing w:before="20" w:after="20"/>
            </w:pPr>
            <w:r>
              <w:t>N=330</w:t>
            </w:r>
          </w:p>
        </w:tc>
        <w:tc>
          <w:tcPr>
            <w:tcW w:w="924" w:type="pct"/>
          </w:tcPr>
          <w:p w14:paraId="7C6FD0F2" w14:textId="77777777" w:rsidR="0060387C" w:rsidRPr="00B0485F" w:rsidRDefault="0060387C" w:rsidP="008E75D8">
            <w:pPr>
              <w:pStyle w:val="051Tabletext228pt"/>
              <w:spacing w:before="20" w:after="20"/>
            </w:pPr>
            <w:r w:rsidRPr="00B0485F">
              <w:t>Mesh extrusion</w:t>
            </w:r>
          </w:p>
          <w:p w14:paraId="68AFC906" w14:textId="77777777" w:rsidR="0060387C" w:rsidRPr="00B0485F" w:rsidRDefault="0060387C" w:rsidP="008E75D8">
            <w:pPr>
              <w:pStyle w:val="051Tabletext228pt"/>
              <w:spacing w:before="20" w:after="20"/>
            </w:pPr>
            <w:r w:rsidRPr="00B0485F">
              <w:t>De novo urge incontinence</w:t>
            </w:r>
          </w:p>
          <w:p w14:paraId="3ABFE7C9" w14:textId="77777777" w:rsidR="0060387C" w:rsidRPr="00B0485F" w:rsidRDefault="0060387C" w:rsidP="008E75D8">
            <w:pPr>
              <w:pStyle w:val="051Tabletext228pt"/>
              <w:spacing w:before="20" w:after="20"/>
            </w:pPr>
            <w:r w:rsidRPr="00B0485F">
              <w:t>De novo urgency</w:t>
            </w:r>
          </w:p>
        </w:tc>
        <w:tc>
          <w:tcPr>
            <w:tcW w:w="761" w:type="pct"/>
          </w:tcPr>
          <w:p w14:paraId="6F2BE67A" w14:textId="77777777" w:rsidR="0060387C" w:rsidRPr="00B0485F" w:rsidRDefault="0060387C" w:rsidP="008E75D8">
            <w:pPr>
              <w:pStyle w:val="051Tabletext228pt"/>
              <w:spacing w:before="20" w:after="20"/>
            </w:pPr>
            <w:r w:rsidRPr="00B0485F">
              <w:t>128.4 (</w:t>
            </w:r>
            <w:proofErr w:type="spellStart"/>
            <w:r w:rsidRPr="00B0485F">
              <w:t>transobturator</w:t>
            </w:r>
            <w:proofErr w:type="spellEnd"/>
            <w:r w:rsidRPr="00B0485F">
              <w:t>), 153.6 (retropubic)</w:t>
            </w:r>
          </w:p>
        </w:tc>
        <w:tc>
          <w:tcPr>
            <w:tcW w:w="652" w:type="pct"/>
          </w:tcPr>
          <w:p w14:paraId="0235DC12" w14:textId="77777777" w:rsidR="0060387C" w:rsidRPr="00B0485F" w:rsidRDefault="0060387C" w:rsidP="008E75D8">
            <w:pPr>
              <w:pStyle w:val="051Tabletext228pt"/>
              <w:spacing w:before="20" w:after="20"/>
            </w:pPr>
            <w:r w:rsidRPr="00B0485F">
              <w:t>Serious risk of bias</w:t>
            </w:r>
          </w:p>
        </w:tc>
      </w:tr>
      <w:tr w:rsidR="003E7976" w:rsidRPr="00B0485F" w14:paraId="16D3B83F" w14:textId="77777777" w:rsidTr="009833CF">
        <w:tc>
          <w:tcPr>
            <w:tcW w:w="1087" w:type="pct"/>
          </w:tcPr>
          <w:p w14:paraId="6B856D5C" w14:textId="643A2C1F" w:rsidR="003E7976" w:rsidRPr="00B0485F" w:rsidRDefault="003E7976" w:rsidP="003E7976">
            <w:pPr>
              <w:pStyle w:val="051Tabletext228pt"/>
              <w:spacing w:before="20" w:after="20"/>
            </w:pPr>
            <w:r w:rsidRPr="00B0485F">
              <w:t xml:space="preserve">Retropubic, </w:t>
            </w:r>
            <w:proofErr w:type="spellStart"/>
            <w:r w:rsidRPr="00B0485F">
              <w:t>transobturator</w:t>
            </w:r>
            <w:proofErr w:type="spellEnd"/>
          </w:p>
        </w:tc>
        <w:tc>
          <w:tcPr>
            <w:tcW w:w="707" w:type="pct"/>
          </w:tcPr>
          <w:p w14:paraId="78C14D31" w14:textId="77777777" w:rsidR="003E7976" w:rsidRPr="00B0485F" w:rsidRDefault="003E7976" w:rsidP="008E75D8">
            <w:pPr>
              <w:pStyle w:val="051Tabletext228pt"/>
              <w:spacing w:before="20" w:after="20"/>
            </w:pPr>
            <w:proofErr w:type="spellStart"/>
            <w:r w:rsidRPr="00B0485F">
              <w:t>Porena</w:t>
            </w:r>
            <w:proofErr w:type="spellEnd"/>
            <w:r w:rsidRPr="00B0485F">
              <w:t xml:space="preserve"> 2007</w:t>
            </w:r>
          </w:p>
          <w:p w14:paraId="2ABB4ADC" w14:textId="5CD2143E" w:rsidR="003E7976" w:rsidRPr="00B0485F" w:rsidRDefault="003E7976" w:rsidP="008E75D8">
            <w:pPr>
              <w:pStyle w:val="051Tabletext228pt"/>
              <w:spacing w:before="20" w:after="20"/>
            </w:pPr>
          </w:p>
        </w:tc>
        <w:tc>
          <w:tcPr>
            <w:tcW w:w="869" w:type="pct"/>
          </w:tcPr>
          <w:p w14:paraId="58562D51" w14:textId="77777777" w:rsidR="003E7976" w:rsidRDefault="003E7976" w:rsidP="008E75D8">
            <w:pPr>
              <w:pStyle w:val="051Tabletext228pt"/>
              <w:spacing w:before="20" w:after="20"/>
            </w:pPr>
            <w:r w:rsidRPr="00B0485F">
              <w:t>RCT</w:t>
            </w:r>
          </w:p>
          <w:p w14:paraId="6E33AFB6" w14:textId="0F4B8619" w:rsidR="003E7976" w:rsidRPr="00B0485F" w:rsidRDefault="001F5B14" w:rsidP="008E75D8">
            <w:pPr>
              <w:pStyle w:val="051Tabletext228pt"/>
              <w:spacing w:before="20" w:after="20"/>
            </w:pPr>
            <w:r>
              <w:t>N=148</w:t>
            </w:r>
          </w:p>
        </w:tc>
        <w:tc>
          <w:tcPr>
            <w:tcW w:w="924" w:type="pct"/>
          </w:tcPr>
          <w:p w14:paraId="4FE8D87F" w14:textId="77777777" w:rsidR="003E7976" w:rsidRPr="00B0485F" w:rsidRDefault="003E7976" w:rsidP="008E75D8">
            <w:pPr>
              <w:pStyle w:val="051Tabletext228pt"/>
              <w:spacing w:before="20" w:after="20"/>
            </w:pPr>
            <w:r w:rsidRPr="00B0485F">
              <w:t>Pain</w:t>
            </w:r>
          </w:p>
          <w:p w14:paraId="32C651E2" w14:textId="77777777" w:rsidR="003E7976" w:rsidRPr="00B0485F" w:rsidRDefault="003E7976" w:rsidP="008E75D8">
            <w:pPr>
              <w:pStyle w:val="051Tabletext228pt"/>
              <w:spacing w:before="20" w:after="20"/>
            </w:pPr>
            <w:r w:rsidRPr="00B0485F">
              <w:t>Infection</w:t>
            </w:r>
          </w:p>
          <w:p w14:paraId="7D402B75" w14:textId="77777777" w:rsidR="003E7976" w:rsidRPr="00B0485F" w:rsidRDefault="003E7976" w:rsidP="008E75D8">
            <w:pPr>
              <w:pStyle w:val="051Tabletext228pt"/>
              <w:spacing w:before="20" w:after="20"/>
            </w:pPr>
            <w:r w:rsidRPr="00B0485F">
              <w:t>POP occurrence</w:t>
            </w:r>
          </w:p>
          <w:p w14:paraId="21D017F9" w14:textId="77777777" w:rsidR="003E7976" w:rsidRPr="00B0485F" w:rsidRDefault="003E7976" w:rsidP="008E75D8">
            <w:pPr>
              <w:pStyle w:val="051Tabletext228pt"/>
              <w:spacing w:before="20" w:after="20"/>
            </w:pPr>
            <w:r w:rsidRPr="00B0485F">
              <w:t>Wound complications</w:t>
            </w:r>
          </w:p>
        </w:tc>
        <w:tc>
          <w:tcPr>
            <w:tcW w:w="761" w:type="pct"/>
          </w:tcPr>
          <w:p w14:paraId="473477A9" w14:textId="77777777" w:rsidR="003E7976" w:rsidRPr="00B0485F" w:rsidRDefault="003E7976" w:rsidP="008E75D8">
            <w:pPr>
              <w:pStyle w:val="051Tabletext228pt"/>
              <w:spacing w:before="20" w:after="20"/>
            </w:pPr>
            <w:r w:rsidRPr="00B0485F">
              <w:t>100 (median)</w:t>
            </w:r>
          </w:p>
        </w:tc>
        <w:tc>
          <w:tcPr>
            <w:tcW w:w="652" w:type="pct"/>
          </w:tcPr>
          <w:p w14:paraId="42DF5DD2" w14:textId="77777777" w:rsidR="003E7976" w:rsidRPr="00B0485F" w:rsidRDefault="003E7976" w:rsidP="008E75D8">
            <w:pPr>
              <w:pStyle w:val="051Tabletext228pt"/>
              <w:spacing w:before="20" w:after="20"/>
            </w:pPr>
            <w:r w:rsidRPr="00B0485F">
              <w:t>High risk of bias</w:t>
            </w:r>
          </w:p>
        </w:tc>
      </w:tr>
      <w:tr w:rsidR="00E50A1C" w:rsidRPr="00B0485F" w14:paraId="4A182160" w14:textId="77777777" w:rsidTr="009833CF">
        <w:tc>
          <w:tcPr>
            <w:tcW w:w="1087" w:type="pct"/>
          </w:tcPr>
          <w:p w14:paraId="0F89E447" w14:textId="0900B09D" w:rsidR="00E50A1C" w:rsidRPr="00B0485F" w:rsidRDefault="00E50A1C" w:rsidP="00E50A1C">
            <w:pPr>
              <w:pStyle w:val="051Tabletext228pt"/>
              <w:spacing w:before="20" w:after="20"/>
            </w:pPr>
            <w:r w:rsidRPr="00B0485F">
              <w:t xml:space="preserve">Retropubic, </w:t>
            </w:r>
            <w:proofErr w:type="spellStart"/>
            <w:r w:rsidRPr="00B0485F">
              <w:t>transobturator</w:t>
            </w:r>
            <w:proofErr w:type="spellEnd"/>
          </w:p>
        </w:tc>
        <w:tc>
          <w:tcPr>
            <w:tcW w:w="707" w:type="pct"/>
          </w:tcPr>
          <w:p w14:paraId="380734B6" w14:textId="77777777" w:rsidR="00E50A1C" w:rsidRPr="00B0485F" w:rsidRDefault="00E50A1C" w:rsidP="008E75D8">
            <w:pPr>
              <w:pStyle w:val="051Tabletext228pt"/>
              <w:spacing w:before="20" w:after="20"/>
            </w:pPr>
            <w:r w:rsidRPr="00B0485F">
              <w:t>Zhang 2016</w:t>
            </w:r>
          </w:p>
          <w:p w14:paraId="077DF772" w14:textId="3B294F11" w:rsidR="00E50A1C" w:rsidRPr="00B0485F" w:rsidRDefault="00E50A1C" w:rsidP="008E75D8">
            <w:pPr>
              <w:pStyle w:val="051Tabletext228pt"/>
              <w:spacing w:before="20" w:after="20"/>
              <w:rPr>
                <w:highlight w:val="yellow"/>
              </w:rPr>
            </w:pPr>
          </w:p>
        </w:tc>
        <w:tc>
          <w:tcPr>
            <w:tcW w:w="869" w:type="pct"/>
          </w:tcPr>
          <w:p w14:paraId="210E2B24" w14:textId="77777777" w:rsidR="00E50A1C" w:rsidRDefault="00E50A1C" w:rsidP="008E75D8">
            <w:pPr>
              <w:pStyle w:val="051Tabletext228pt"/>
              <w:spacing w:before="20" w:after="20"/>
            </w:pPr>
            <w:r w:rsidRPr="00B0485F">
              <w:t>RCT</w:t>
            </w:r>
          </w:p>
          <w:p w14:paraId="068A9547" w14:textId="74B73591" w:rsidR="00E50A1C" w:rsidRPr="00B0485F" w:rsidRDefault="001F5B14" w:rsidP="008E75D8">
            <w:pPr>
              <w:pStyle w:val="051Tabletext228pt"/>
              <w:spacing w:before="20" w:after="20"/>
            </w:pPr>
            <w:r>
              <w:t>N=140</w:t>
            </w:r>
          </w:p>
        </w:tc>
        <w:tc>
          <w:tcPr>
            <w:tcW w:w="924" w:type="pct"/>
          </w:tcPr>
          <w:p w14:paraId="0D8D7580" w14:textId="77777777" w:rsidR="00E50A1C" w:rsidRPr="00B0485F" w:rsidRDefault="00E50A1C" w:rsidP="008E75D8">
            <w:pPr>
              <w:pStyle w:val="051Tabletext228pt"/>
              <w:spacing w:before="20" w:after="20"/>
            </w:pPr>
            <w:r w:rsidRPr="00B0485F">
              <w:t>Pain</w:t>
            </w:r>
          </w:p>
          <w:p w14:paraId="06E16587" w14:textId="77777777" w:rsidR="00E50A1C" w:rsidRPr="00B0485F" w:rsidRDefault="00E50A1C" w:rsidP="008E75D8">
            <w:pPr>
              <w:pStyle w:val="051Tabletext228pt"/>
              <w:spacing w:before="20" w:after="20"/>
            </w:pPr>
            <w:r w:rsidRPr="00B0485F">
              <w:t>Infection</w:t>
            </w:r>
          </w:p>
        </w:tc>
        <w:tc>
          <w:tcPr>
            <w:tcW w:w="761" w:type="pct"/>
          </w:tcPr>
          <w:p w14:paraId="10009E19" w14:textId="77777777" w:rsidR="00E50A1C" w:rsidRPr="00B0485F" w:rsidRDefault="00E50A1C" w:rsidP="008E75D8">
            <w:pPr>
              <w:pStyle w:val="051Tabletext228pt"/>
              <w:spacing w:before="20" w:after="20"/>
            </w:pPr>
            <w:r w:rsidRPr="00B0485F">
              <w:t>95 (mean)</w:t>
            </w:r>
          </w:p>
        </w:tc>
        <w:tc>
          <w:tcPr>
            <w:tcW w:w="652" w:type="pct"/>
          </w:tcPr>
          <w:p w14:paraId="02BDE573" w14:textId="77777777" w:rsidR="00E50A1C" w:rsidRPr="00B0485F" w:rsidRDefault="00E50A1C" w:rsidP="008E75D8">
            <w:pPr>
              <w:pStyle w:val="051Tabletext228pt"/>
              <w:spacing w:before="20" w:after="20"/>
            </w:pPr>
            <w:r w:rsidRPr="00B0485F">
              <w:t>Unclear risk of bias</w:t>
            </w:r>
          </w:p>
        </w:tc>
      </w:tr>
      <w:tr w:rsidR="008C3B23" w:rsidRPr="00B0485F" w14:paraId="2958D31B" w14:textId="77777777" w:rsidTr="009833CF">
        <w:tc>
          <w:tcPr>
            <w:tcW w:w="1087" w:type="pct"/>
          </w:tcPr>
          <w:p w14:paraId="53540EBD" w14:textId="11AF67FD" w:rsidR="008C3B23" w:rsidRPr="00B2600D" w:rsidRDefault="008C3B23" w:rsidP="008C3B23">
            <w:pPr>
              <w:pStyle w:val="031Tablesubheading8pt"/>
              <w:rPr>
                <w:caps/>
              </w:rPr>
            </w:pPr>
            <w:r w:rsidRPr="00B2600D">
              <w:rPr>
                <w:caps/>
              </w:rPr>
              <w:t>Col</w:t>
            </w:r>
            <w:r w:rsidR="00B2600D" w:rsidRPr="00B2600D">
              <w:rPr>
                <w:caps/>
              </w:rPr>
              <w:t>posuspension</w:t>
            </w:r>
          </w:p>
        </w:tc>
        <w:tc>
          <w:tcPr>
            <w:tcW w:w="707" w:type="pct"/>
          </w:tcPr>
          <w:p w14:paraId="5AC65D3F" w14:textId="77777777" w:rsidR="008C3B23" w:rsidRPr="00B0485F" w:rsidRDefault="008C3B23" w:rsidP="008C3B23">
            <w:pPr>
              <w:pStyle w:val="031Tablesubheading8pt"/>
            </w:pPr>
          </w:p>
        </w:tc>
        <w:tc>
          <w:tcPr>
            <w:tcW w:w="869" w:type="pct"/>
          </w:tcPr>
          <w:p w14:paraId="06F42C02" w14:textId="77777777" w:rsidR="008C3B23" w:rsidRPr="00B0485F" w:rsidRDefault="008C3B23" w:rsidP="008C3B23">
            <w:pPr>
              <w:pStyle w:val="031Tablesubheading8pt"/>
            </w:pPr>
          </w:p>
        </w:tc>
        <w:tc>
          <w:tcPr>
            <w:tcW w:w="924" w:type="pct"/>
          </w:tcPr>
          <w:p w14:paraId="6048EE57" w14:textId="77777777" w:rsidR="008C3B23" w:rsidRPr="00B0485F" w:rsidRDefault="008C3B23" w:rsidP="008C3B23">
            <w:pPr>
              <w:pStyle w:val="031Tablesubheading8pt"/>
            </w:pPr>
          </w:p>
        </w:tc>
        <w:tc>
          <w:tcPr>
            <w:tcW w:w="761" w:type="pct"/>
          </w:tcPr>
          <w:p w14:paraId="68EC607C" w14:textId="77777777" w:rsidR="008C3B23" w:rsidRPr="00B0485F" w:rsidRDefault="008C3B23" w:rsidP="008C3B23">
            <w:pPr>
              <w:pStyle w:val="031Tablesubheading8pt"/>
            </w:pPr>
          </w:p>
        </w:tc>
        <w:tc>
          <w:tcPr>
            <w:tcW w:w="652" w:type="pct"/>
          </w:tcPr>
          <w:p w14:paraId="4F3E6FEE" w14:textId="77777777" w:rsidR="008C3B23" w:rsidRPr="00B0485F" w:rsidRDefault="008C3B23" w:rsidP="008C3B23">
            <w:pPr>
              <w:pStyle w:val="031Tablesubheading8pt"/>
            </w:pPr>
          </w:p>
        </w:tc>
      </w:tr>
      <w:tr w:rsidR="00045166" w:rsidRPr="00B0485F" w14:paraId="6D482FDC" w14:textId="77777777" w:rsidTr="009833CF">
        <w:tc>
          <w:tcPr>
            <w:tcW w:w="1087" w:type="pct"/>
          </w:tcPr>
          <w:p w14:paraId="798CC3DA" w14:textId="22806738" w:rsidR="00045166" w:rsidRPr="00B0485F" w:rsidRDefault="00B2600D" w:rsidP="008E75D8">
            <w:pPr>
              <w:pStyle w:val="051Tabletext228pt"/>
              <w:spacing w:before="20" w:after="20"/>
            </w:pPr>
            <w:r>
              <w:t>M</w:t>
            </w:r>
            <w:r w:rsidR="00045166" w:rsidRPr="00B0485F">
              <w:t>ethod not specified</w:t>
            </w:r>
          </w:p>
        </w:tc>
        <w:tc>
          <w:tcPr>
            <w:tcW w:w="707" w:type="pct"/>
          </w:tcPr>
          <w:p w14:paraId="28426926" w14:textId="77777777" w:rsidR="00045166" w:rsidRPr="00B0485F" w:rsidRDefault="00045166" w:rsidP="008E75D8">
            <w:pPr>
              <w:pStyle w:val="051Tabletext228pt"/>
              <w:spacing w:before="20" w:after="20"/>
            </w:pPr>
            <w:r w:rsidRPr="00B0485F">
              <w:t>Alcalay 1995</w:t>
            </w:r>
          </w:p>
          <w:p w14:paraId="16C8A076" w14:textId="40FB0DF6" w:rsidR="00045166" w:rsidRPr="00B0485F" w:rsidRDefault="00045166" w:rsidP="008E75D8">
            <w:pPr>
              <w:pStyle w:val="051Tabletext228pt"/>
              <w:spacing w:before="20" w:after="20"/>
            </w:pPr>
          </w:p>
        </w:tc>
        <w:tc>
          <w:tcPr>
            <w:tcW w:w="869" w:type="pct"/>
          </w:tcPr>
          <w:p w14:paraId="1AE7D302" w14:textId="77777777" w:rsidR="00045166" w:rsidRDefault="00045166" w:rsidP="008E75D8">
            <w:pPr>
              <w:pStyle w:val="051Tabletext228pt"/>
              <w:spacing w:before="20" w:after="20"/>
            </w:pPr>
            <w:r w:rsidRPr="00B0485F">
              <w:t>Case series</w:t>
            </w:r>
          </w:p>
          <w:p w14:paraId="29C0978D" w14:textId="6B3A2315" w:rsidR="00045166" w:rsidRPr="00B0485F" w:rsidRDefault="001F5B14" w:rsidP="008E75D8">
            <w:pPr>
              <w:pStyle w:val="051Tabletext228pt"/>
              <w:spacing w:before="20" w:after="20"/>
            </w:pPr>
            <w:r>
              <w:t>N=109</w:t>
            </w:r>
          </w:p>
        </w:tc>
        <w:tc>
          <w:tcPr>
            <w:tcW w:w="924" w:type="pct"/>
          </w:tcPr>
          <w:p w14:paraId="5C82B70A" w14:textId="77777777" w:rsidR="00045166" w:rsidRPr="00B0485F" w:rsidRDefault="00045166" w:rsidP="008E75D8">
            <w:pPr>
              <w:pStyle w:val="051Tabletext228pt"/>
              <w:spacing w:before="20" w:after="20"/>
            </w:pPr>
            <w:r w:rsidRPr="00B0485F">
              <w:t>Infection</w:t>
            </w:r>
          </w:p>
          <w:p w14:paraId="1DB4EB07" w14:textId="77777777" w:rsidR="00045166" w:rsidRPr="00B0485F" w:rsidRDefault="00045166" w:rsidP="008E75D8">
            <w:pPr>
              <w:pStyle w:val="051Tabletext228pt"/>
              <w:spacing w:before="20" w:after="20"/>
            </w:pPr>
            <w:r w:rsidRPr="00B0485F">
              <w:t>De novo urge incontinence</w:t>
            </w:r>
          </w:p>
          <w:p w14:paraId="40A930B4" w14:textId="77777777" w:rsidR="00045166" w:rsidRPr="00B0485F" w:rsidRDefault="00045166" w:rsidP="008E75D8">
            <w:pPr>
              <w:pStyle w:val="051Tabletext228pt"/>
              <w:spacing w:before="20" w:after="20"/>
            </w:pPr>
            <w:r w:rsidRPr="00B0485F">
              <w:t>De novo urgency</w:t>
            </w:r>
          </w:p>
          <w:p w14:paraId="35BE35F8" w14:textId="77777777" w:rsidR="00045166" w:rsidRPr="00B0485F" w:rsidRDefault="00045166" w:rsidP="008E75D8">
            <w:pPr>
              <w:pStyle w:val="051Tabletext228pt"/>
              <w:spacing w:before="20" w:after="20"/>
            </w:pPr>
            <w:r w:rsidRPr="00B0485F">
              <w:t>POP occurrence</w:t>
            </w:r>
          </w:p>
        </w:tc>
        <w:tc>
          <w:tcPr>
            <w:tcW w:w="761" w:type="pct"/>
          </w:tcPr>
          <w:p w14:paraId="5D2936FF" w14:textId="77777777" w:rsidR="00045166" w:rsidRPr="00B0485F" w:rsidRDefault="00045166" w:rsidP="008E75D8">
            <w:pPr>
              <w:pStyle w:val="051Tabletext228pt"/>
              <w:spacing w:before="20" w:after="20"/>
            </w:pPr>
            <w:r w:rsidRPr="00B0485F">
              <w:t>165.6 (mean)</w:t>
            </w:r>
          </w:p>
        </w:tc>
        <w:tc>
          <w:tcPr>
            <w:tcW w:w="652" w:type="pct"/>
          </w:tcPr>
          <w:p w14:paraId="112FAE8E" w14:textId="77777777" w:rsidR="00045166" w:rsidRPr="00B0485F" w:rsidRDefault="00045166" w:rsidP="008E75D8">
            <w:pPr>
              <w:pStyle w:val="051Tabletext228pt"/>
              <w:spacing w:before="20" w:after="20"/>
            </w:pPr>
            <w:r w:rsidRPr="00B0485F">
              <w:t>Serious risk of bias</w:t>
            </w:r>
          </w:p>
        </w:tc>
      </w:tr>
      <w:tr w:rsidR="00045166" w:rsidRPr="00B0485F" w14:paraId="0FC17DCD" w14:textId="77777777" w:rsidTr="009833CF">
        <w:tc>
          <w:tcPr>
            <w:tcW w:w="1087" w:type="pct"/>
          </w:tcPr>
          <w:p w14:paraId="0561068F" w14:textId="2542D78C" w:rsidR="00045166" w:rsidRPr="00B0485F" w:rsidRDefault="00B2600D" w:rsidP="008E75D8">
            <w:pPr>
              <w:pStyle w:val="051Tabletext228pt"/>
              <w:spacing w:before="20" w:after="20"/>
            </w:pPr>
            <w:r>
              <w:t>M</w:t>
            </w:r>
            <w:r w:rsidR="00045166" w:rsidRPr="00B0485F">
              <w:t>ethod not specified</w:t>
            </w:r>
          </w:p>
        </w:tc>
        <w:tc>
          <w:tcPr>
            <w:tcW w:w="707" w:type="pct"/>
          </w:tcPr>
          <w:p w14:paraId="76454455" w14:textId="77777777" w:rsidR="00045166" w:rsidRPr="00B0485F" w:rsidRDefault="00045166" w:rsidP="008E75D8">
            <w:pPr>
              <w:pStyle w:val="051Tabletext228pt"/>
              <w:spacing w:before="20" w:after="20"/>
            </w:pPr>
            <w:r w:rsidRPr="00B0485F">
              <w:t>Kjolhede 2005</w:t>
            </w:r>
          </w:p>
          <w:p w14:paraId="5A5B6D69" w14:textId="48A1E97F" w:rsidR="00045166" w:rsidRPr="00B0485F" w:rsidRDefault="00045166" w:rsidP="008E75D8">
            <w:pPr>
              <w:pStyle w:val="051Tabletext228pt"/>
              <w:spacing w:before="20" w:after="20"/>
            </w:pPr>
          </w:p>
        </w:tc>
        <w:tc>
          <w:tcPr>
            <w:tcW w:w="869" w:type="pct"/>
          </w:tcPr>
          <w:p w14:paraId="6D243D03" w14:textId="77777777" w:rsidR="00045166" w:rsidRDefault="00045166" w:rsidP="008E75D8">
            <w:pPr>
              <w:pStyle w:val="051Tabletext228pt"/>
              <w:spacing w:before="20" w:after="20"/>
            </w:pPr>
            <w:r w:rsidRPr="00B0485F">
              <w:t>Case series</w:t>
            </w:r>
          </w:p>
          <w:p w14:paraId="00812ACB" w14:textId="73A6D193" w:rsidR="00045166" w:rsidRPr="00B0485F" w:rsidRDefault="001F5B14" w:rsidP="008E75D8">
            <w:pPr>
              <w:pStyle w:val="051Tabletext228pt"/>
              <w:spacing w:before="20" w:after="20"/>
            </w:pPr>
            <w:r>
              <w:t>N=192</w:t>
            </w:r>
          </w:p>
        </w:tc>
        <w:tc>
          <w:tcPr>
            <w:tcW w:w="924" w:type="pct"/>
          </w:tcPr>
          <w:p w14:paraId="76535275" w14:textId="77777777" w:rsidR="00045166" w:rsidRPr="00B0485F" w:rsidRDefault="00045166" w:rsidP="008E75D8">
            <w:pPr>
              <w:pStyle w:val="051Tabletext228pt"/>
              <w:spacing w:before="20" w:after="20"/>
            </w:pPr>
            <w:r w:rsidRPr="00B0485F">
              <w:t>Infection</w:t>
            </w:r>
          </w:p>
        </w:tc>
        <w:tc>
          <w:tcPr>
            <w:tcW w:w="761" w:type="pct"/>
          </w:tcPr>
          <w:p w14:paraId="758F52DB" w14:textId="77777777" w:rsidR="00045166" w:rsidRPr="00B0485F" w:rsidRDefault="00045166" w:rsidP="008E75D8">
            <w:pPr>
              <w:pStyle w:val="051Tabletext228pt"/>
              <w:spacing w:before="20" w:after="20"/>
            </w:pPr>
            <w:r w:rsidRPr="00B0485F">
              <w:t>168 (median)</w:t>
            </w:r>
          </w:p>
        </w:tc>
        <w:tc>
          <w:tcPr>
            <w:tcW w:w="652" w:type="pct"/>
          </w:tcPr>
          <w:p w14:paraId="166A86C9" w14:textId="77777777" w:rsidR="00045166" w:rsidRPr="00B0485F" w:rsidRDefault="00045166" w:rsidP="008E75D8">
            <w:pPr>
              <w:pStyle w:val="051Tabletext228pt"/>
              <w:spacing w:before="20" w:after="20"/>
            </w:pPr>
            <w:r w:rsidRPr="00B0485F">
              <w:t>Serious risk of bias</w:t>
            </w:r>
          </w:p>
        </w:tc>
      </w:tr>
      <w:tr w:rsidR="00045166" w:rsidRPr="00B0485F" w14:paraId="3B414B72" w14:textId="77777777" w:rsidTr="009833CF">
        <w:tc>
          <w:tcPr>
            <w:tcW w:w="1087" w:type="pct"/>
          </w:tcPr>
          <w:p w14:paraId="0D03DE78" w14:textId="608C9506" w:rsidR="00045166" w:rsidRPr="00B0485F" w:rsidRDefault="00045166" w:rsidP="008E75D8">
            <w:pPr>
              <w:pStyle w:val="051Tabletext228pt"/>
              <w:spacing w:before="20" w:after="20"/>
            </w:pPr>
            <w:r w:rsidRPr="00B0485F">
              <w:t>Lapar</w:t>
            </w:r>
            <w:r w:rsidR="00260305">
              <w:t>o</w:t>
            </w:r>
            <w:r w:rsidRPr="00B0485F">
              <w:t>scopic</w:t>
            </w:r>
          </w:p>
        </w:tc>
        <w:tc>
          <w:tcPr>
            <w:tcW w:w="707" w:type="pct"/>
          </w:tcPr>
          <w:p w14:paraId="687A4F86" w14:textId="77777777" w:rsidR="00045166" w:rsidRPr="00B0485F" w:rsidRDefault="00045166" w:rsidP="008E75D8">
            <w:pPr>
              <w:pStyle w:val="051Tabletext228pt"/>
              <w:spacing w:before="20" w:after="20"/>
            </w:pPr>
            <w:proofErr w:type="spellStart"/>
            <w:r w:rsidRPr="00B0485F">
              <w:t>Antovska</w:t>
            </w:r>
            <w:proofErr w:type="spellEnd"/>
            <w:r w:rsidRPr="00B0485F">
              <w:t xml:space="preserve"> 2013</w:t>
            </w:r>
          </w:p>
          <w:p w14:paraId="3749AEC8" w14:textId="4184B601" w:rsidR="00045166" w:rsidRPr="00B0485F" w:rsidRDefault="00045166" w:rsidP="008E75D8">
            <w:pPr>
              <w:pStyle w:val="051Tabletext228pt"/>
              <w:spacing w:before="20" w:after="20"/>
            </w:pPr>
          </w:p>
        </w:tc>
        <w:tc>
          <w:tcPr>
            <w:tcW w:w="869" w:type="pct"/>
          </w:tcPr>
          <w:p w14:paraId="1ADB9944" w14:textId="77777777" w:rsidR="00045166" w:rsidRDefault="00045166" w:rsidP="008E75D8">
            <w:pPr>
              <w:pStyle w:val="051Tabletext228pt"/>
              <w:spacing w:before="20" w:after="20"/>
            </w:pPr>
            <w:r w:rsidRPr="00B0485F">
              <w:t>Prospective cohort</w:t>
            </w:r>
          </w:p>
          <w:p w14:paraId="20C3061A" w14:textId="497ACD59" w:rsidR="00045166" w:rsidRPr="00B0485F" w:rsidRDefault="001F5B14" w:rsidP="008E75D8">
            <w:pPr>
              <w:pStyle w:val="051Tabletext228pt"/>
              <w:spacing w:before="20" w:after="20"/>
            </w:pPr>
            <w:r>
              <w:t>N=145</w:t>
            </w:r>
          </w:p>
        </w:tc>
        <w:tc>
          <w:tcPr>
            <w:tcW w:w="924" w:type="pct"/>
          </w:tcPr>
          <w:p w14:paraId="74CDC5F2" w14:textId="77777777" w:rsidR="00045166" w:rsidRPr="00B0485F" w:rsidRDefault="00045166" w:rsidP="008E75D8">
            <w:pPr>
              <w:pStyle w:val="051Tabletext228pt"/>
              <w:spacing w:before="20" w:after="20"/>
            </w:pPr>
            <w:r w:rsidRPr="00B0485F">
              <w:t>Fistula</w:t>
            </w:r>
          </w:p>
        </w:tc>
        <w:tc>
          <w:tcPr>
            <w:tcW w:w="761" w:type="pct"/>
          </w:tcPr>
          <w:p w14:paraId="152FBF17" w14:textId="77777777" w:rsidR="00045166" w:rsidRPr="00B0485F" w:rsidRDefault="00045166" w:rsidP="008E75D8">
            <w:pPr>
              <w:pStyle w:val="051Tabletext228pt"/>
              <w:spacing w:before="20" w:after="20"/>
            </w:pPr>
            <w:r w:rsidRPr="00B0485F">
              <w:t>103.6 (mean)</w:t>
            </w:r>
          </w:p>
        </w:tc>
        <w:tc>
          <w:tcPr>
            <w:tcW w:w="652" w:type="pct"/>
          </w:tcPr>
          <w:p w14:paraId="63C297AA" w14:textId="77777777" w:rsidR="00045166" w:rsidRPr="00B0485F" w:rsidRDefault="00045166" w:rsidP="008E75D8">
            <w:pPr>
              <w:pStyle w:val="051Tabletext228pt"/>
              <w:spacing w:before="20" w:after="20"/>
            </w:pPr>
            <w:r w:rsidRPr="00B0485F">
              <w:t>Serious risk of bias</w:t>
            </w:r>
          </w:p>
        </w:tc>
      </w:tr>
      <w:tr w:rsidR="00045166" w:rsidRPr="00B0485F" w14:paraId="0E441E5D" w14:textId="77777777" w:rsidTr="009833CF">
        <w:tc>
          <w:tcPr>
            <w:tcW w:w="1087" w:type="pct"/>
          </w:tcPr>
          <w:p w14:paraId="52F82376" w14:textId="7EEBBA06" w:rsidR="00045166" w:rsidRPr="00B0485F" w:rsidRDefault="00045166" w:rsidP="008E75D8">
            <w:pPr>
              <w:pStyle w:val="051Tabletext228pt"/>
              <w:spacing w:before="20" w:after="20"/>
            </w:pPr>
            <w:r w:rsidRPr="00B0485F">
              <w:t>Open</w:t>
            </w:r>
          </w:p>
        </w:tc>
        <w:tc>
          <w:tcPr>
            <w:tcW w:w="707" w:type="pct"/>
          </w:tcPr>
          <w:p w14:paraId="147557E9" w14:textId="77777777" w:rsidR="00045166" w:rsidRPr="00B0485F" w:rsidRDefault="00045166" w:rsidP="008E75D8">
            <w:pPr>
              <w:pStyle w:val="051Tabletext228pt"/>
              <w:spacing w:before="20" w:after="20"/>
            </w:pPr>
            <w:r w:rsidRPr="00B0485F">
              <w:t>Greenwell 2015</w:t>
            </w:r>
          </w:p>
          <w:p w14:paraId="74BA4AA7" w14:textId="47D3375B" w:rsidR="00045166" w:rsidRPr="00B0485F" w:rsidRDefault="00045166" w:rsidP="008E75D8">
            <w:pPr>
              <w:pStyle w:val="051Tabletext228pt"/>
              <w:spacing w:before="20" w:after="20"/>
            </w:pPr>
          </w:p>
        </w:tc>
        <w:tc>
          <w:tcPr>
            <w:tcW w:w="869" w:type="pct"/>
          </w:tcPr>
          <w:p w14:paraId="0F33E709" w14:textId="77777777" w:rsidR="00045166" w:rsidRDefault="00045166" w:rsidP="008E75D8">
            <w:pPr>
              <w:pStyle w:val="051Tabletext228pt"/>
              <w:spacing w:before="20" w:after="20"/>
            </w:pPr>
            <w:r w:rsidRPr="00B0485F">
              <w:t>Retrospective cohort</w:t>
            </w:r>
          </w:p>
          <w:p w14:paraId="29CECDAC" w14:textId="53136787" w:rsidR="00045166" w:rsidRPr="00B0485F" w:rsidRDefault="001F5B14" w:rsidP="008E75D8">
            <w:pPr>
              <w:pStyle w:val="051Tabletext228pt"/>
              <w:spacing w:before="20" w:after="20"/>
            </w:pPr>
            <w:r>
              <w:t>N=96</w:t>
            </w:r>
          </w:p>
        </w:tc>
        <w:tc>
          <w:tcPr>
            <w:tcW w:w="924" w:type="pct"/>
          </w:tcPr>
          <w:p w14:paraId="7DB513A0" w14:textId="77777777" w:rsidR="00045166" w:rsidRPr="00B0485F" w:rsidRDefault="00045166" w:rsidP="008E75D8">
            <w:pPr>
              <w:pStyle w:val="051Tabletext228pt"/>
              <w:spacing w:before="20" w:after="20"/>
            </w:pPr>
            <w:r w:rsidRPr="00B0485F">
              <w:t>Need for catheterisation</w:t>
            </w:r>
          </w:p>
          <w:p w14:paraId="26BEE0A8" w14:textId="77777777" w:rsidR="00045166" w:rsidRPr="00B0485F" w:rsidRDefault="00045166" w:rsidP="008E75D8">
            <w:pPr>
              <w:pStyle w:val="051Tabletext228pt"/>
              <w:spacing w:before="20" w:after="20"/>
            </w:pPr>
            <w:r w:rsidRPr="00B0485F">
              <w:t>De novo urge incontinence</w:t>
            </w:r>
          </w:p>
          <w:p w14:paraId="03BD4681" w14:textId="77777777" w:rsidR="00045166" w:rsidRPr="00B0485F" w:rsidRDefault="00045166" w:rsidP="008E75D8">
            <w:pPr>
              <w:pStyle w:val="051Tabletext228pt"/>
              <w:spacing w:before="20" w:after="20"/>
            </w:pPr>
            <w:r w:rsidRPr="00B0485F">
              <w:t>POP occurrence</w:t>
            </w:r>
          </w:p>
        </w:tc>
        <w:tc>
          <w:tcPr>
            <w:tcW w:w="761" w:type="pct"/>
          </w:tcPr>
          <w:p w14:paraId="0F46828E" w14:textId="77777777" w:rsidR="00045166" w:rsidRPr="00B0485F" w:rsidRDefault="00045166" w:rsidP="008E75D8">
            <w:pPr>
              <w:pStyle w:val="051Tabletext228pt"/>
              <w:spacing w:before="20" w:after="20"/>
            </w:pPr>
            <w:r w:rsidRPr="00B0485F">
              <w:t>108.5 (median)</w:t>
            </w:r>
          </w:p>
        </w:tc>
        <w:tc>
          <w:tcPr>
            <w:tcW w:w="652" w:type="pct"/>
          </w:tcPr>
          <w:p w14:paraId="1F0B4433" w14:textId="77777777" w:rsidR="00045166" w:rsidRPr="00B0485F" w:rsidRDefault="00045166" w:rsidP="008E75D8">
            <w:pPr>
              <w:pStyle w:val="051Tabletext228pt"/>
              <w:spacing w:before="20" w:after="20"/>
            </w:pPr>
            <w:r w:rsidRPr="00B0485F">
              <w:t>Serious risk of bias</w:t>
            </w:r>
          </w:p>
        </w:tc>
      </w:tr>
      <w:tr w:rsidR="00045166" w:rsidRPr="00B0485F" w14:paraId="7A358518" w14:textId="77777777" w:rsidTr="009833CF">
        <w:tc>
          <w:tcPr>
            <w:tcW w:w="1087" w:type="pct"/>
          </w:tcPr>
          <w:p w14:paraId="664D9459" w14:textId="344C7563" w:rsidR="00045166" w:rsidRPr="00B0485F" w:rsidRDefault="00045166" w:rsidP="008E75D8">
            <w:pPr>
              <w:pStyle w:val="051Tabletext228pt"/>
              <w:spacing w:before="20" w:after="20"/>
            </w:pPr>
            <w:r w:rsidRPr="00B0485F">
              <w:t xml:space="preserve">Open </w:t>
            </w:r>
          </w:p>
        </w:tc>
        <w:tc>
          <w:tcPr>
            <w:tcW w:w="707" w:type="pct"/>
          </w:tcPr>
          <w:p w14:paraId="49410DDF" w14:textId="77777777" w:rsidR="00045166" w:rsidRPr="00B0485F" w:rsidRDefault="00045166" w:rsidP="008E75D8">
            <w:pPr>
              <w:pStyle w:val="051Tabletext228pt"/>
              <w:spacing w:before="20" w:after="20"/>
            </w:pPr>
            <w:r w:rsidRPr="00B0485F">
              <w:t>Ladwig 2004</w:t>
            </w:r>
          </w:p>
          <w:p w14:paraId="5FBE014C" w14:textId="7C1F4A62" w:rsidR="00045166" w:rsidRPr="00B0485F" w:rsidRDefault="00045166" w:rsidP="008E75D8">
            <w:pPr>
              <w:pStyle w:val="051Tabletext228pt"/>
              <w:spacing w:before="20" w:after="20"/>
            </w:pPr>
          </w:p>
        </w:tc>
        <w:tc>
          <w:tcPr>
            <w:tcW w:w="869" w:type="pct"/>
          </w:tcPr>
          <w:p w14:paraId="40E3B600" w14:textId="77777777" w:rsidR="00045166" w:rsidRDefault="00045166" w:rsidP="008E75D8">
            <w:pPr>
              <w:pStyle w:val="051Tabletext228pt"/>
              <w:spacing w:before="20" w:after="20"/>
            </w:pPr>
            <w:r w:rsidRPr="00B0485F">
              <w:t>Case series</w:t>
            </w:r>
          </w:p>
          <w:p w14:paraId="17449FEC" w14:textId="5426027A" w:rsidR="00045166" w:rsidRPr="00B0485F" w:rsidRDefault="001F5B14" w:rsidP="008E75D8">
            <w:pPr>
              <w:pStyle w:val="051Tabletext228pt"/>
              <w:spacing w:before="20" w:after="20"/>
            </w:pPr>
            <w:r>
              <w:t>N=374</w:t>
            </w:r>
          </w:p>
        </w:tc>
        <w:tc>
          <w:tcPr>
            <w:tcW w:w="924" w:type="pct"/>
          </w:tcPr>
          <w:p w14:paraId="3EB7D602" w14:textId="77777777" w:rsidR="00045166" w:rsidRPr="00B0485F" w:rsidRDefault="00045166" w:rsidP="008E75D8">
            <w:pPr>
              <w:pStyle w:val="051Tabletext228pt"/>
              <w:spacing w:before="20" w:after="20"/>
            </w:pPr>
            <w:r w:rsidRPr="00B0485F">
              <w:t>Infection</w:t>
            </w:r>
          </w:p>
          <w:p w14:paraId="2D99EA30" w14:textId="77777777" w:rsidR="00045166" w:rsidRPr="00B0485F" w:rsidRDefault="00045166" w:rsidP="008E75D8">
            <w:pPr>
              <w:pStyle w:val="051Tabletext228pt"/>
              <w:spacing w:before="20" w:after="20"/>
            </w:pPr>
            <w:r w:rsidRPr="00B0485F">
              <w:t>De novo frequency</w:t>
            </w:r>
          </w:p>
          <w:p w14:paraId="04B9F6A7" w14:textId="77777777" w:rsidR="00045166" w:rsidRPr="00B0485F" w:rsidRDefault="00045166" w:rsidP="008E75D8">
            <w:pPr>
              <w:pStyle w:val="051Tabletext228pt"/>
              <w:spacing w:before="20" w:after="20"/>
            </w:pPr>
            <w:r w:rsidRPr="00B0485F">
              <w:t>De novo urgency</w:t>
            </w:r>
          </w:p>
          <w:p w14:paraId="6D381585" w14:textId="77777777" w:rsidR="00045166" w:rsidRPr="00B0485F" w:rsidRDefault="00045166" w:rsidP="008E75D8">
            <w:pPr>
              <w:pStyle w:val="051Tabletext228pt"/>
              <w:spacing w:before="20" w:after="20"/>
            </w:pPr>
            <w:r w:rsidRPr="00B0485F">
              <w:t>De novo nocturia</w:t>
            </w:r>
          </w:p>
        </w:tc>
        <w:tc>
          <w:tcPr>
            <w:tcW w:w="761" w:type="pct"/>
          </w:tcPr>
          <w:p w14:paraId="1B9E79A4" w14:textId="77777777" w:rsidR="00045166" w:rsidRPr="00B0485F" w:rsidRDefault="00045166" w:rsidP="008E75D8">
            <w:pPr>
              <w:pStyle w:val="051Tabletext228pt"/>
              <w:spacing w:before="20" w:after="20"/>
            </w:pPr>
            <w:r w:rsidRPr="00B0485F">
              <w:t>110.4 (median)</w:t>
            </w:r>
          </w:p>
        </w:tc>
        <w:tc>
          <w:tcPr>
            <w:tcW w:w="652" w:type="pct"/>
          </w:tcPr>
          <w:p w14:paraId="29AD58D4" w14:textId="77777777" w:rsidR="00045166" w:rsidRPr="00B0485F" w:rsidRDefault="00045166" w:rsidP="008E75D8">
            <w:pPr>
              <w:pStyle w:val="051Tabletext228pt"/>
              <w:spacing w:before="20" w:after="20"/>
            </w:pPr>
            <w:r w:rsidRPr="00B0485F">
              <w:t>Serious risk of bias</w:t>
            </w:r>
          </w:p>
        </w:tc>
      </w:tr>
      <w:tr w:rsidR="00045166" w:rsidRPr="00B0485F" w14:paraId="12BB37EE" w14:textId="77777777" w:rsidTr="009833CF">
        <w:tc>
          <w:tcPr>
            <w:tcW w:w="1087" w:type="pct"/>
          </w:tcPr>
          <w:p w14:paraId="723FDFE1" w14:textId="74401E85" w:rsidR="00045166" w:rsidRPr="00B0485F" w:rsidRDefault="00045166" w:rsidP="008E75D8">
            <w:pPr>
              <w:pStyle w:val="051Tabletext228pt"/>
              <w:spacing w:before="20" w:after="20"/>
            </w:pPr>
            <w:r w:rsidRPr="00B0485F">
              <w:t xml:space="preserve">Open </w:t>
            </w:r>
          </w:p>
        </w:tc>
        <w:tc>
          <w:tcPr>
            <w:tcW w:w="707" w:type="pct"/>
          </w:tcPr>
          <w:p w14:paraId="177CA5D0" w14:textId="77777777" w:rsidR="00045166" w:rsidRPr="00B0485F" w:rsidRDefault="00045166" w:rsidP="008E75D8">
            <w:pPr>
              <w:pStyle w:val="051Tabletext228pt"/>
              <w:spacing w:before="20" w:after="20"/>
            </w:pPr>
            <w:r w:rsidRPr="00B0485F">
              <w:t>Riggs 1986</w:t>
            </w:r>
          </w:p>
          <w:p w14:paraId="23F1E5C5" w14:textId="350C788D" w:rsidR="00045166" w:rsidRPr="00B0485F" w:rsidRDefault="00045166" w:rsidP="008E75D8">
            <w:pPr>
              <w:pStyle w:val="051Tabletext228pt"/>
              <w:spacing w:before="20" w:after="20"/>
            </w:pPr>
          </w:p>
        </w:tc>
        <w:tc>
          <w:tcPr>
            <w:tcW w:w="869" w:type="pct"/>
          </w:tcPr>
          <w:p w14:paraId="5292D296" w14:textId="77777777" w:rsidR="00045166" w:rsidRDefault="00045166" w:rsidP="008E75D8">
            <w:pPr>
              <w:pStyle w:val="051Tabletext228pt"/>
              <w:spacing w:before="20" w:after="20"/>
            </w:pPr>
            <w:r w:rsidRPr="00B0485F">
              <w:t>Case series</w:t>
            </w:r>
          </w:p>
          <w:p w14:paraId="12087BCE" w14:textId="46954C30" w:rsidR="00045166" w:rsidRPr="00B0485F" w:rsidRDefault="001F5B14" w:rsidP="008E75D8">
            <w:pPr>
              <w:pStyle w:val="051Tabletext228pt"/>
              <w:spacing w:before="20" w:after="20"/>
            </w:pPr>
            <w:r>
              <w:t>N=719</w:t>
            </w:r>
          </w:p>
        </w:tc>
        <w:tc>
          <w:tcPr>
            <w:tcW w:w="924" w:type="pct"/>
          </w:tcPr>
          <w:p w14:paraId="6A823B04" w14:textId="77777777" w:rsidR="00045166" w:rsidRPr="00B0485F" w:rsidRDefault="00045166" w:rsidP="008E75D8">
            <w:pPr>
              <w:pStyle w:val="051Tabletext228pt"/>
              <w:spacing w:before="20" w:after="20"/>
            </w:pPr>
            <w:r w:rsidRPr="00B0485F">
              <w:t>Fistula</w:t>
            </w:r>
          </w:p>
          <w:p w14:paraId="211EF69A" w14:textId="77777777" w:rsidR="00045166" w:rsidRPr="00B0485F" w:rsidRDefault="00045166" w:rsidP="008E75D8">
            <w:pPr>
              <w:pStyle w:val="051Tabletext228pt"/>
              <w:spacing w:before="20" w:after="20"/>
            </w:pPr>
            <w:r w:rsidRPr="00B0485F">
              <w:t>Infection</w:t>
            </w:r>
          </w:p>
          <w:p w14:paraId="3BE725DF" w14:textId="77777777" w:rsidR="00045166" w:rsidRPr="00B0485F" w:rsidRDefault="00045166" w:rsidP="008E75D8">
            <w:pPr>
              <w:pStyle w:val="051Tabletext228pt"/>
              <w:spacing w:before="20" w:after="20"/>
            </w:pPr>
            <w:r w:rsidRPr="00B0485F">
              <w:t>Wound complications</w:t>
            </w:r>
          </w:p>
        </w:tc>
        <w:tc>
          <w:tcPr>
            <w:tcW w:w="761" w:type="pct"/>
          </w:tcPr>
          <w:p w14:paraId="2DA4B122" w14:textId="77777777" w:rsidR="00045166" w:rsidRPr="00B0485F" w:rsidRDefault="00045166" w:rsidP="008E75D8">
            <w:pPr>
              <w:pStyle w:val="051Tabletext228pt"/>
              <w:spacing w:before="20" w:after="20"/>
            </w:pPr>
            <w:r w:rsidRPr="00B0485F">
              <w:t>192 (mean)</w:t>
            </w:r>
          </w:p>
        </w:tc>
        <w:tc>
          <w:tcPr>
            <w:tcW w:w="652" w:type="pct"/>
          </w:tcPr>
          <w:p w14:paraId="222C2604" w14:textId="77777777" w:rsidR="00045166" w:rsidRPr="00B0485F" w:rsidRDefault="00045166" w:rsidP="008E75D8">
            <w:pPr>
              <w:pStyle w:val="051Tabletext228pt"/>
              <w:spacing w:before="20" w:after="20"/>
            </w:pPr>
            <w:r w:rsidRPr="00B0485F">
              <w:t>Serious risk of bias</w:t>
            </w:r>
          </w:p>
        </w:tc>
      </w:tr>
      <w:tr w:rsidR="00B2600D" w:rsidRPr="00B0485F" w14:paraId="0894C991" w14:textId="77777777" w:rsidTr="009833CF">
        <w:tc>
          <w:tcPr>
            <w:tcW w:w="1087" w:type="pct"/>
          </w:tcPr>
          <w:p w14:paraId="0A83B6FC" w14:textId="7665CDD0" w:rsidR="00B2600D" w:rsidRPr="00B0485F" w:rsidRDefault="00610F31" w:rsidP="00610F31">
            <w:pPr>
              <w:pStyle w:val="031Tablesubheading8pt"/>
            </w:pPr>
            <w:r>
              <w:lastRenderedPageBreak/>
              <w:t>PUBOVAGINAL SLING</w:t>
            </w:r>
          </w:p>
        </w:tc>
        <w:tc>
          <w:tcPr>
            <w:tcW w:w="707" w:type="pct"/>
          </w:tcPr>
          <w:p w14:paraId="7A0F97A4" w14:textId="77777777" w:rsidR="00B2600D" w:rsidRPr="00B0485F" w:rsidRDefault="00B2600D" w:rsidP="00610F31">
            <w:pPr>
              <w:pStyle w:val="031Tablesubheading8pt"/>
            </w:pPr>
          </w:p>
        </w:tc>
        <w:tc>
          <w:tcPr>
            <w:tcW w:w="869" w:type="pct"/>
          </w:tcPr>
          <w:p w14:paraId="43397453" w14:textId="77777777" w:rsidR="00B2600D" w:rsidRPr="00B0485F" w:rsidRDefault="00B2600D" w:rsidP="00610F31">
            <w:pPr>
              <w:pStyle w:val="031Tablesubheading8pt"/>
            </w:pPr>
          </w:p>
        </w:tc>
        <w:tc>
          <w:tcPr>
            <w:tcW w:w="924" w:type="pct"/>
          </w:tcPr>
          <w:p w14:paraId="0E3076D6" w14:textId="77777777" w:rsidR="00B2600D" w:rsidRPr="00B0485F" w:rsidRDefault="00B2600D" w:rsidP="00610F31">
            <w:pPr>
              <w:pStyle w:val="031Tablesubheading8pt"/>
            </w:pPr>
          </w:p>
        </w:tc>
        <w:tc>
          <w:tcPr>
            <w:tcW w:w="761" w:type="pct"/>
          </w:tcPr>
          <w:p w14:paraId="744BABAF" w14:textId="77777777" w:rsidR="00B2600D" w:rsidRPr="00B0485F" w:rsidRDefault="00B2600D" w:rsidP="00610F31">
            <w:pPr>
              <w:pStyle w:val="031Tablesubheading8pt"/>
            </w:pPr>
          </w:p>
        </w:tc>
        <w:tc>
          <w:tcPr>
            <w:tcW w:w="652" w:type="pct"/>
          </w:tcPr>
          <w:p w14:paraId="16063E68" w14:textId="77777777" w:rsidR="00B2600D" w:rsidRPr="00B0485F" w:rsidRDefault="00B2600D" w:rsidP="00610F31">
            <w:pPr>
              <w:pStyle w:val="031Tablesubheading8pt"/>
            </w:pPr>
          </w:p>
        </w:tc>
      </w:tr>
      <w:tr w:rsidR="00045166" w:rsidRPr="00B0485F" w14:paraId="07E0CDD6" w14:textId="77777777" w:rsidTr="009833CF">
        <w:tc>
          <w:tcPr>
            <w:tcW w:w="1087" w:type="pct"/>
          </w:tcPr>
          <w:p w14:paraId="335D5C16" w14:textId="77777777" w:rsidR="00045166" w:rsidRPr="00B0485F" w:rsidRDefault="00045166" w:rsidP="008E75D8">
            <w:pPr>
              <w:pStyle w:val="051Tabletext228pt"/>
              <w:spacing w:before="20" w:after="20"/>
            </w:pPr>
            <w:r w:rsidRPr="00B0485F">
              <w:t>Autologous rectus fascial sling</w:t>
            </w:r>
          </w:p>
        </w:tc>
        <w:tc>
          <w:tcPr>
            <w:tcW w:w="707" w:type="pct"/>
          </w:tcPr>
          <w:p w14:paraId="1FA27B6E" w14:textId="77777777" w:rsidR="00045166" w:rsidRPr="00B0485F" w:rsidRDefault="00045166" w:rsidP="008E75D8">
            <w:pPr>
              <w:pStyle w:val="051Tabletext228pt"/>
              <w:spacing w:before="20" w:after="20"/>
            </w:pPr>
            <w:r w:rsidRPr="00B0485F">
              <w:t>Hawkins 2002</w:t>
            </w:r>
          </w:p>
          <w:p w14:paraId="3765F0B8" w14:textId="78DB16FC" w:rsidR="00045166" w:rsidRPr="00B0485F" w:rsidRDefault="00045166" w:rsidP="008E75D8">
            <w:pPr>
              <w:pStyle w:val="051Tabletext228pt"/>
              <w:spacing w:before="20" w:after="20"/>
            </w:pPr>
          </w:p>
        </w:tc>
        <w:tc>
          <w:tcPr>
            <w:tcW w:w="869" w:type="pct"/>
          </w:tcPr>
          <w:p w14:paraId="65987825" w14:textId="77777777" w:rsidR="00045166" w:rsidRDefault="00045166" w:rsidP="008E75D8">
            <w:pPr>
              <w:pStyle w:val="051Tabletext228pt"/>
              <w:spacing w:before="20" w:after="20"/>
            </w:pPr>
            <w:r w:rsidRPr="00B0485F">
              <w:t>Case series</w:t>
            </w:r>
          </w:p>
          <w:p w14:paraId="5CD0A0CD" w14:textId="5F782C73" w:rsidR="00045166" w:rsidRPr="00B0485F" w:rsidRDefault="001F5B14" w:rsidP="008E75D8">
            <w:pPr>
              <w:pStyle w:val="051Tabletext228pt"/>
              <w:spacing w:before="20" w:after="20"/>
            </w:pPr>
            <w:r>
              <w:t>N=132</w:t>
            </w:r>
          </w:p>
        </w:tc>
        <w:tc>
          <w:tcPr>
            <w:tcW w:w="924" w:type="pct"/>
          </w:tcPr>
          <w:p w14:paraId="4AB5D022" w14:textId="77777777" w:rsidR="00045166" w:rsidRPr="00B0485F" w:rsidRDefault="00045166" w:rsidP="008E75D8">
            <w:pPr>
              <w:pStyle w:val="051Tabletext228pt"/>
              <w:spacing w:before="20" w:after="20"/>
            </w:pPr>
            <w:r w:rsidRPr="00B0485F">
              <w:t>Pain</w:t>
            </w:r>
          </w:p>
          <w:p w14:paraId="3BFE8543" w14:textId="77777777" w:rsidR="00045166" w:rsidRPr="00B0485F" w:rsidRDefault="00045166" w:rsidP="008E75D8">
            <w:pPr>
              <w:pStyle w:val="051Tabletext228pt"/>
              <w:spacing w:before="20" w:after="20"/>
            </w:pPr>
            <w:r w:rsidRPr="00B0485F">
              <w:t>Need for catheterisation</w:t>
            </w:r>
          </w:p>
          <w:p w14:paraId="2E4B3E2C" w14:textId="77777777" w:rsidR="00045166" w:rsidRPr="00B0485F" w:rsidRDefault="00045166" w:rsidP="008E75D8">
            <w:pPr>
              <w:pStyle w:val="051Tabletext228pt"/>
              <w:spacing w:before="20" w:after="20"/>
            </w:pPr>
            <w:r w:rsidRPr="00B0485F">
              <w:t>Infection</w:t>
            </w:r>
          </w:p>
        </w:tc>
        <w:tc>
          <w:tcPr>
            <w:tcW w:w="761" w:type="pct"/>
          </w:tcPr>
          <w:p w14:paraId="179CE7DE" w14:textId="77777777" w:rsidR="00045166" w:rsidRPr="00B0485F" w:rsidRDefault="00045166" w:rsidP="008E75D8">
            <w:pPr>
              <w:pStyle w:val="051Tabletext228pt"/>
              <w:spacing w:before="20" w:after="20"/>
            </w:pPr>
            <w:r w:rsidRPr="00B0485F">
              <w:t>72 (median)</w:t>
            </w:r>
          </w:p>
        </w:tc>
        <w:tc>
          <w:tcPr>
            <w:tcW w:w="652" w:type="pct"/>
          </w:tcPr>
          <w:p w14:paraId="7977E6DE" w14:textId="77777777" w:rsidR="00045166" w:rsidRPr="00B0485F" w:rsidRDefault="00045166" w:rsidP="008E75D8">
            <w:pPr>
              <w:pStyle w:val="051Tabletext228pt"/>
              <w:spacing w:before="20" w:after="20"/>
            </w:pPr>
            <w:r w:rsidRPr="00B0485F">
              <w:t>Serious risk of bias</w:t>
            </w:r>
          </w:p>
        </w:tc>
      </w:tr>
      <w:tr w:rsidR="00610F31" w:rsidRPr="00B0485F" w14:paraId="5A070E39" w14:textId="77777777" w:rsidTr="009833CF">
        <w:tc>
          <w:tcPr>
            <w:tcW w:w="1087" w:type="pct"/>
            <w:shd w:val="clear" w:color="auto" w:fill="D9D9D9" w:themeFill="background1" w:themeFillShade="D9"/>
          </w:tcPr>
          <w:p w14:paraId="4374825E" w14:textId="520A2A96" w:rsidR="00610F31" w:rsidRPr="00B0485F" w:rsidRDefault="00A55C76" w:rsidP="00610F31">
            <w:pPr>
              <w:pStyle w:val="031Tablesubheading8pt"/>
            </w:pPr>
            <w:r>
              <w:t>VARIOUS</w:t>
            </w:r>
          </w:p>
        </w:tc>
        <w:tc>
          <w:tcPr>
            <w:tcW w:w="707" w:type="pct"/>
            <w:shd w:val="clear" w:color="auto" w:fill="D9D9D9" w:themeFill="background1" w:themeFillShade="D9"/>
          </w:tcPr>
          <w:p w14:paraId="67BA35E6" w14:textId="77777777" w:rsidR="00610F31" w:rsidRPr="00B0485F" w:rsidRDefault="00610F31" w:rsidP="00610F31">
            <w:pPr>
              <w:pStyle w:val="031Tablesubheading8pt"/>
            </w:pPr>
          </w:p>
        </w:tc>
        <w:tc>
          <w:tcPr>
            <w:tcW w:w="869" w:type="pct"/>
            <w:shd w:val="clear" w:color="auto" w:fill="D9D9D9" w:themeFill="background1" w:themeFillShade="D9"/>
          </w:tcPr>
          <w:p w14:paraId="6DB2AC04" w14:textId="77777777" w:rsidR="00610F31" w:rsidRPr="00B0485F" w:rsidRDefault="00610F31" w:rsidP="00610F31">
            <w:pPr>
              <w:pStyle w:val="031Tablesubheading8pt"/>
            </w:pPr>
          </w:p>
        </w:tc>
        <w:tc>
          <w:tcPr>
            <w:tcW w:w="924" w:type="pct"/>
            <w:shd w:val="clear" w:color="auto" w:fill="D9D9D9" w:themeFill="background1" w:themeFillShade="D9"/>
          </w:tcPr>
          <w:p w14:paraId="7A7E1221" w14:textId="77777777" w:rsidR="00610F31" w:rsidRPr="00B0485F" w:rsidRDefault="00610F31" w:rsidP="00610F31">
            <w:pPr>
              <w:pStyle w:val="031Tablesubheading8pt"/>
            </w:pPr>
          </w:p>
        </w:tc>
        <w:tc>
          <w:tcPr>
            <w:tcW w:w="761" w:type="pct"/>
            <w:shd w:val="clear" w:color="auto" w:fill="D9D9D9" w:themeFill="background1" w:themeFillShade="D9"/>
          </w:tcPr>
          <w:p w14:paraId="518A85C8" w14:textId="77777777" w:rsidR="00610F31" w:rsidRPr="00B0485F" w:rsidRDefault="00610F31" w:rsidP="00610F31">
            <w:pPr>
              <w:pStyle w:val="031Tablesubheading8pt"/>
            </w:pPr>
          </w:p>
        </w:tc>
        <w:tc>
          <w:tcPr>
            <w:tcW w:w="652" w:type="pct"/>
            <w:shd w:val="clear" w:color="auto" w:fill="D9D9D9" w:themeFill="background1" w:themeFillShade="D9"/>
          </w:tcPr>
          <w:p w14:paraId="4A3B24FE" w14:textId="77777777" w:rsidR="00610F31" w:rsidRPr="00B0485F" w:rsidRDefault="00610F31" w:rsidP="00610F31">
            <w:pPr>
              <w:pStyle w:val="031Tablesubheading8pt"/>
            </w:pPr>
          </w:p>
        </w:tc>
      </w:tr>
      <w:tr w:rsidR="00045166" w:rsidRPr="00B0485F" w14:paraId="76A27116" w14:textId="77777777" w:rsidTr="009833CF">
        <w:tc>
          <w:tcPr>
            <w:tcW w:w="1087" w:type="pct"/>
          </w:tcPr>
          <w:p w14:paraId="3E0FECE1" w14:textId="77777777" w:rsidR="00045166" w:rsidRPr="00B0485F" w:rsidRDefault="00045166" w:rsidP="008E75D8">
            <w:pPr>
              <w:pStyle w:val="051Tabletext228pt"/>
              <w:spacing w:before="20" w:after="20"/>
            </w:pPr>
            <w:r w:rsidRPr="00B0485F">
              <w:t xml:space="preserve">Retropubic synthetic mesh sling, open </w:t>
            </w:r>
            <w:proofErr w:type="spellStart"/>
            <w:r w:rsidRPr="00B0485F">
              <w:t>colposuspension</w:t>
            </w:r>
            <w:proofErr w:type="spellEnd"/>
          </w:p>
        </w:tc>
        <w:tc>
          <w:tcPr>
            <w:tcW w:w="707" w:type="pct"/>
          </w:tcPr>
          <w:p w14:paraId="03FF3A53" w14:textId="77777777" w:rsidR="00045166" w:rsidRPr="00B0485F" w:rsidRDefault="00045166" w:rsidP="008E75D8">
            <w:pPr>
              <w:pStyle w:val="051Tabletext228pt"/>
              <w:spacing w:before="20" w:after="20"/>
            </w:pPr>
            <w:proofErr w:type="spellStart"/>
            <w:r w:rsidRPr="00B0485F">
              <w:t>Holdo</w:t>
            </w:r>
            <w:proofErr w:type="spellEnd"/>
            <w:r w:rsidRPr="00B0485F">
              <w:t xml:space="preserve"> 2017</w:t>
            </w:r>
          </w:p>
          <w:p w14:paraId="716D39AC" w14:textId="1A846203" w:rsidR="00045166" w:rsidRPr="00B0485F" w:rsidRDefault="00045166" w:rsidP="008E75D8">
            <w:pPr>
              <w:pStyle w:val="051Tabletext228pt"/>
              <w:spacing w:before="20" w:after="20"/>
            </w:pPr>
          </w:p>
        </w:tc>
        <w:tc>
          <w:tcPr>
            <w:tcW w:w="869" w:type="pct"/>
          </w:tcPr>
          <w:p w14:paraId="0FB55832" w14:textId="77777777" w:rsidR="00045166" w:rsidRDefault="00045166" w:rsidP="008E75D8">
            <w:pPr>
              <w:pStyle w:val="051Tabletext228pt"/>
              <w:spacing w:before="20" w:after="20"/>
            </w:pPr>
            <w:r w:rsidRPr="00B0485F">
              <w:t>Retrospective cohort</w:t>
            </w:r>
          </w:p>
          <w:p w14:paraId="064A6C2E" w14:textId="615E0C45" w:rsidR="00045166" w:rsidRPr="00B0485F" w:rsidRDefault="001F5B14" w:rsidP="008E75D8">
            <w:pPr>
              <w:pStyle w:val="051Tabletext228pt"/>
              <w:spacing w:before="20" w:after="20"/>
            </w:pPr>
            <w:r>
              <w:t>N=614</w:t>
            </w:r>
          </w:p>
        </w:tc>
        <w:tc>
          <w:tcPr>
            <w:tcW w:w="924" w:type="pct"/>
          </w:tcPr>
          <w:p w14:paraId="7024DB61" w14:textId="77777777" w:rsidR="00045166" w:rsidRPr="00B0485F" w:rsidRDefault="00045166" w:rsidP="008E75D8">
            <w:pPr>
              <w:pStyle w:val="051Tabletext228pt"/>
              <w:spacing w:before="20" w:after="20"/>
            </w:pPr>
            <w:r w:rsidRPr="00B0485F">
              <w:t>Mesh extrusion</w:t>
            </w:r>
          </w:p>
          <w:p w14:paraId="5100FAB1" w14:textId="77777777" w:rsidR="00045166" w:rsidRPr="00B0485F" w:rsidRDefault="00045166" w:rsidP="008E75D8">
            <w:pPr>
              <w:pStyle w:val="051Tabletext228pt"/>
              <w:spacing w:before="20" w:after="20"/>
            </w:pPr>
            <w:r w:rsidRPr="00B0485F">
              <w:t>Need for catheterisation</w:t>
            </w:r>
          </w:p>
        </w:tc>
        <w:tc>
          <w:tcPr>
            <w:tcW w:w="761" w:type="pct"/>
          </w:tcPr>
          <w:p w14:paraId="2D9E4C37" w14:textId="77777777" w:rsidR="00045166" w:rsidRPr="00B0485F" w:rsidRDefault="00045166" w:rsidP="008E75D8">
            <w:pPr>
              <w:pStyle w:val="051Tabletext228pt"/>
              <w:spacing w:before="20" w:after="20"/>
            </w:pPr>
            <w:r w:rsidRPr="00B0485F">
              <w:rPr>
                <w:rFonts w:cs="Calibri"/>
              </w:rPr>
              <w:t xml:space="preserve">≤ </w:t>
            </w:r>
            <w:r w:rsidRPr="00B0485F">
              <w:t xml:space="preserve">144 </w:t>
            </w:r>
          </w:p>
        </w:tc>
        <w:tc>
          <w:tcPr>
            <w:tcW w:w="652" w:type="pct"/>
          </w:tcPr>
          <w:p w14:paraId="2CDEB3BF" w14:textId="77777777" w:rsidR="00045166" w:rsidRPr="00B0485F" w:rsidRDefault="00045166" w:rsidP="008E75D8">
            <w:pPr>
              <w:pStyle w:val="051Tabletext228pt"/>
              <w:spacing w:before="20" w:after="20"/>
            </w:pPr>
            <w:r w:rsidRPr="00B0485F">
              <w:t>Serious risk of bias</w:t>
            </w:r>
          </w:p>
        </w:tc>
      </w:tr>
      <w:tr w:rsidR="00045166" w:rsidRPr="00B0485F" w14:paraId="6AB90D38" w14:textId="77777777" w:rsidTr="009833CF">
        <w:tc>
          <w:tcPr>
            <w:tcW w:w="1087" w:type="pct"/>
          </w:tcPr>
          <w:p w14:paraId="3DCC7E80" w14:textId="55B29FF2" w:rsidR="00045166" w:rsidRPr="00B0485F" w:rsidRDefault="00045166" w:rsidP="008E75D8">
            <w:pPr>
              <w:pStyle w:val="051Tabletext228pt"/>
              <w:spacing w:before="20" w:after="20"/>
            </w:pPr>
            <w:r w:rsidRPr="00B0485F">
              <w:t>Retropubic synthetic mesh</w:t>
            </w:r>
            <w:r w:rsidR="000609BF">
              <w:t xml:space="preserve"> </w:t>
            </w:r>
            <w:r w:rsidRPr="00B0485F">
              <w:t>sling, autologous rectus fascial sling</w:t>
            </w:r>
          </w:p>
        </w:tc>
        <w:tc>
          <w:tcPr>
            <w:tcW w:w="707" w:type="pct"/>
          </w:tcPr>
          <w:p w14:paraId="691DC3C6" w14:textId="77777777" w:rsidR="00045166" w:rsidRPr="00B0485F" w:rsidRDefault="00045166" w:rsidP="008E75D8">
            <w:pPr>
              <w:pStyle w:val="051Tabletext228pt"/>
              <w:spacing w:before="20" w:after="20"/>
            </w:pPr>
            <w:r w:rsidRPr="00B0485F">
              <w:t>Guerrero 2010</w:t>
            </w:r>
          </w:p>
          <w:p w14:paraId="35EC6383" w14:textId="26EED4D7" w:rsidR="00045166" w:rsidRPr="00B0485F" w:rsidRDefault="00045166" w:rsidP="008E75D8">
            <w:pPr>
              <w:pStyle w:val="051Tabletext228pt"/>
              <w:spacing w:before="20" w:after="20"/>
            </w:pPr>
          </w:p>
        </w:tc>
        <w:tc>
          <w:tcPr>
            <w:tcW w:w="869" w:type="pct"/>
          </w:tcPr>
          <w:p w14:paraId="128FC18B" w14:textId="77777777" w:rsidR="00045166" w:rsidRDefault="00045166" w:rsidP="008E75D8">
            <w:pPr>
              <w:pStyle w:val="051Tabletext228pt"/>
              <w:spacing w:before="20" w:after="20"/>
            </w:pPr>
            <w:r w:rsidRPr="00B0485F">
              <w:t>RCT</w:t>
            </w:r>
          </w:p>
          <w:p w14:paraId="48B27799" w14:textId="3FB51988" w:rsidR="00045166" w:rsidRPr="00B0485F" w:rsidRDefault="001F5B14" w:rsidP="008E75D8">
            <w:pPr>
              <w:pStyle w:val="051Tabletext228pt"/>
              <w:spacing w:before="20" w:after="20"/>
            </w:pPr>
            <w:r>
              <w:t>N=211</w:t>
            </w:r>
          </w:p>
        </w:tc>
        <w:tc>
          <w:tcPr>
            <w:tcW w:w="924" w:type="pct"/>
          </w:tcPr>
          <w:p w14:paraId="01A30EB7" w14:textId="77777777" w:rsidR="00045166" w:rsidRPr="00B0485F" w:rsidRDefault="00045166" w:rsidP="008E75D8">
            <w:pPr>
              <w:pStyle w:val="051Tabletext228pt"/>
              <w:spacing w:before="20" w:after="20"/>
            </w:pPr>
            <w:r w:rsidRPr="00B0485F">
              <w:t>Pain</w:t>
            </w:r>
          </w:p>
          <w:p w14:paraId="677825B2" w14:textId="77777777" w:rsidR="00045166" w:rsidRPr="00B0485F" w:rsidRDefault="00045166" w:rsidP="008E75D8">
            <w:pPr>
              <w:pStyle w:val="051Tabletext228pt"/>
              <w:spacing w:before="20" w:after="20"/>
            </w:pPr>
            <w:r w:rsidRPr="00B0485F">
              <w:t>Mesh extrusion</w:t>
            </w:r>
          </w:p>
          <w:p w14:paraId="074B05BF" w14:textId="77777777" w:rsidR="00045166" w:rsidRPr="00B0485F" w:rsidRDefault="00045166" w:rsidP="008E75D8">
            <w:pPr>
              <w:pStyle w:val="051Tabletext228pt"/>
              <w:spacing w:before="20" w:after="20"/>
            </w:pPr>
            <w:r w:rsidRPr="00B0485F">
              <w:t>Need for catheterisation</w:t>
            </w:r>
          </w:p>
          <w:p w14:paraId="6428146D" w14:textId="77777777" w:rsidR="00045166" w:rsidRPr="00B0485F" w:rsidRDefault="00045166" w:rsidP="008E75D8">
            <w:pPr>
              <w:pStyle w:val="051Tabletext228pt"/>
              <w:spacing w:before="20" w:after="20"/>
            </w:pPr>
            <w:r w:rsidRPr="00B0485F">
              <w:t>De novo urgency</w:t>
            </w:r>
          </w:p>
        </w:tc>
        <w:tc>
          <w:tcPr>
            <w:tcW w:w="761" w:type="pct"/>
          </w:tcPr>
          <w:p w14:paraId="70A48198" w14:textId="77777777" w:rsidR="00045166" w:rsidRPr="00B0485F" w:rsidRDefault="00045166" w:rsidP="008E75D8">
            <w:pPr>
              <w:pStyle w:val="051Tabletext228pt"/>
              <w:spacing w:before="20" w:after="20"/>
            </w:pPr>
            <w:r w:rsidRPr="00B0485F">
              <w:t>120 (median)</w:t>
            </w:r>
          </w:p>
        </w:tc>
        <w:tc>
          <w:tcPr>
            <w:tcW w:w="652" w:type="pct"/>
          </w:tcPr>
          <w:p w14:paraId="720CA8EA" w14:textId="77777777" w:rsidR="00045166" w:rsidRPr="00B0485F" w:rsidRDefault="00045166" w:rsidP="008E75D8">
            <w:pPr>
              <w:pStyle w:val="051Tabletext228pt"/>
              <w:spacing w:before="20" w:after="20"/>
            </w:pPr>
            <w:r w:rsidRPr="00B0485F">
              <w:t>Low risk of bias</w:t>
            </w:r>
          </w:p>
        </w:tc>
      </w:tr>
      <w:tr w:rsidR="00045166" w:rsidRPr="00B0485F" w14:paraId="10DDC17D" w14:textId="77777777" w:rsidTr="009833CF">
        <w:tc>
          <w:tcPr>
            <w:tcW w:w="1087" w:type="pct"/>
          </w:tcPr>
          <w:p w14:paraId="7BB791EB" w14:textId="77777777" w:rsidR="00045166" w:rsidRPr="00B0485F" w:rsidRDefault="00045166" w:rsidP="008E75D8">
            <w:pPr>
              <w:pStyle w:val="051Tabletext228pt"/>
              <w:spacing w:before="20" w:after="20"/>
            </w:pPr>
            <w:r w:rsidRPr="00B0485F">
              <w:t>Retropubic synthetic mesh sling, autologous rectus fascial sling</w:t>
            </w:r>
          </w:p>
        </w:tc>
        <w:tc>
          <w:tcPr>
            <w:tcW w:w="707" w:type="pct"/>
          </w:tcPr>
          <w:p w14:paraId="4C65EBD7" w14:textId="77777777" w:rsidR="00045166" w:rsidRPr="00B0485F" w:rsidRDefault="00045166" w:rsidP="008E75D8">
            <w:pPr>
              <w:pStyle w:val="051Tabletext228pt"/>
              <w:spacing w:before="20" w:after="20"/>
            </w:pPr>
            <w:proofErr w:type="spellStart"/>
            <w:r w:rsidRPr="00B0485F">
              <w:t>Sharifiaghdas</w:t>
            </w:r>
            <w:proofErr w:type="spellEnd"/>
            <w:r w:rsidRPr="00B0485F">
              <w:t xml:space="preserve"> 2008</w:t>
            </w:r>
          </w:p>
          <w:p w14:paraId="7D158087" w14:textId="20FC1B1E" w:rsidR="00045166" w:rsidRPr="00B0485F" w:rsidRDefault="00045166" w:rsidP="008E75D8">
            <w:pPr>
              <w:pStyle w:val="051Tabletext228pt"/>
              <w:spacing w:before="20" w:after="20"/>
            </w:pPr>
          </w:p>
        </w:tc>
        <w:tc>
          <w:tcPr>
            <w:tcW w:w="869" w:type="pct"/>
          </w:tcPr>
          <w:p w14:paraId="37953F53" w14:textId="77777777" w:rsidR="00045166" w:rsidRDefault="00045166" w:rsidP="008E75D8">
            <w:pPr>
              <w:pStyle w:val="051Tabletext228pt"/>
              <w:spacing w:before="20" w:after="20"/>
            </w:pPr>
            <w:r w:rsidRPr="00B0485F">
              <w:t>RCT</w:t>
            </w:r>
          </w:p>
          <w:p w14:paraId="3CF0AAB0" w14:textId="604C1018" w:rsidR="00045166" w:rsidRPr="00B0485F" w:rsidRDefault="001F5B14" w:rsidP="008E75D8">
            <w:pPr>
              <w:pStyle w:val="051Tabletext228pt"/>
              <w:spacing w:before="20" w:after="20"/>
            </w:pPr>
            <w:r>
              <w:t>N=100</w:t>
            </w:r>
          </w:p>
        </w:tc>
        <w:tc>
          <w:tcPr>
            <w:tcW w:w="924" w:type="pct"/>
          </w:tcPr>
          <w:p w14:paraId="77D0EE49" w14:textId="77777777" w:rsidR="00045166" w:rsidRPr="00B0485F" w:rsidRDefault="00045166" w:rsidP="008E75D8">
            <w:pPr>
              <w:pStyle w:val="051Tabletext228pt"/>
              <w:spacing w:before="20" w:after="20"/>
            </w:pPr>
            <w:r w:rsidRPr="00B0485F">
              <w:t>Pain</w:t>
            </w:r>
          </w:p>
          <w:p w14:paraId="25526A3F" w14:textId="77777777" w:rsidR="00045166" w:rsidRPr="00B0485F" w:rsidRDefault="00045166" w:rsidP="008E75D8">
            <w:pPr>
              <w:pStyle w:val="051Tabletext228pt"/>
              <w:spacing w:before="20" w:after="20"/>
            </w:pPr>
            <w:r w:rsidRPr="00B0485F">
              <w:t>De novo urgency</w:t>
            </w:r>
          </w:p>
          <w:p w14:paraId="65C2B2F3" w14:textId="77777777" w:rsidR="00045166" w:rsidRPr="00B0485F" w:rsidRDefault="00045166" w:rsidP="008E75D8">
            <w:pPr>
              <w:pStyle w:val="051Tabletext228pt"/>
              <w:spacing w:before="20" w:after="20"/>
            </w:pPr>
            <w:r w:rsidRPr="00B0485F">
              <w:t>De novo urge incontinence</w:t>
            </w:r>
          </w:p>
          <w:p w14:paraId="7957F9BA" w14:textId="77777777" w:rsidR="00045166" w:rsidRPr="00B0485F" w:rsidRDefault="00045166" w:rsidP="008E75D8">
            <w:pPr>
              <w:pStyle w:val="051Tabletext228pt"/>
              <w:spacing w:before="20" w:after="20"/>
            </w:pPr>
            <w:r w:rsidRPr="00B0485F">
              <w:t>Wound complications</w:t>
            </w:r>
          </w:p>
        </w:tc>
        <w:tc>
          <w:tcPr>
            <w:tcW w:w="761" w:type="pct"/>
          </w:tcPr>
          <w:p w14:paraId="3F145286" w14:textId="77777777" w:rsidR="00045166" w:rsidRPr="00B0485F" w:rsidRDefault="00045166" w:rsidP="008E75D8">
            <w:pPr>
              <w:pStyle w:val="051Tabletext228pt"/>
              <w:spacing w:before="20" w:after="20"/>
            </w:pPr>
            <w:r w:rsidRPr="00B0485F">
              <w:t>126 (mean)</w:t>
            </w:r>
          </w:p>
        </w:tc>
        <w:tc>
          <w:tcPr>
            <w:tcW w:w="652" w:type="pct"/>
          </w:tcPr>
          <w:p w14:paraId="09AEC58F" w14:textId="77777777" w:rsidR="00045166" w:rsidRPr="00B0485F" w:rsidRDefault="00045166" w:rsidP="008E75D8">
            <w:pPr>
              <w:pStyle w:val="051Tabletext228pt"/>
              <w:spacing w:before="20" w:after="20"/>
            </w:pPr>
            <w:r w:rsidRPr="00B0485F">
              <w:t>High risk of bias</w:t>
            </w:r>
          </w:p>
        </w:tc>
      </w:tr>
    </w:tbl>
    <w:p w14:paraId="7785CD37" w14:textId="7C840A17" w:rsidR="00045166" w:rsidRPr="00C151AE" w:rsidRDefault="00045166" w:rsidP="00C151AE">
      <w:pPr>
        <w:pStyle w:val="111Tablefootnoteslast-nostick8pt"/>
        <w:rPr>
          <w:lang w:val="en-AU"/>
        </w:rPr>
      </w:pPr>
      <w:r w:rsidRPr="00F06BA6">
        <w:rPr>
          <w:lang w:val="en-AU"/>
        </w:rPr>
        <w:t xml:space="preserve">Source: </w:t>
      </w:r>
      <w:r w:rsidR="00245CE2">
        <w:rPr>
          <w:noProof/>
          <w:lang w:val="en-AU"/>
        </w:rPr>
        <w:t>(NICE 2019b)</w:t>
      </w:r>
      <w:r w:rsidRPr="00F06BA6">
        <w:rPr>
          <w:lang w:val="en-AU"/>
        </w:rPr>
        <w:t xml:space="preserve"> Table 11</w:t>
      </w:r>
      <w:r w:rsidR="00F06BA6" w:rsidRPr="00F06BA6">
        <w:rPr>
          <w:lang w:val="en-AU"/>
        </w:rPr>
        <w:t>,</w:t>
      </w:r>
      <w:r w:rsidRPr="00F06BA6">
        <w:rPr>
          <w:lang w:val="en-AU"/>
        </w:rPr>
        <w:t xml:space="preserve"> p48</w:t>
      </w:r>
      <w:bookmarkStart w:id="230" w:name="_Ref132727793"/>
    </w:p>
    <w:p w14:paraId="6C9389EE" w14:textId="77777777" w:rsidR="006464F8" w:rsidRPr="00B0485F" w:rsidRDefault="006464F8" w:rsidP="006464F8">
      <w:pPr>
        <w:pStyle w:val="Heading7"/>
      </w:pPr>
      <w:bookmarkStart w:id="231" w:name="_Ref129788540"/>
      <w:bookmarkStart w:id="232" w:name="_Toc165627867"/>
      <w:bookmarkEnd w:id="196"/>
      <w:bookmarkEnd w:id="230"/>
      <w:r w:rsidRPr="00B0485F">
        <w:lastRenderedPageBreak/>
        <w:t>Clinical practice guidelines and position statements</w:t>
      </w:r>
      <w:bookmarkEnd w:id="231"/>
      <w:bookmarkEnd w:id="232"/>
    </w:p>
    <w:p w14:paraId="731F62C6" w14:textId="49D946B5" w:rsidR="006464F8" w:rsidRPr="00B0485F" w:rsidRDefault="006464F8" w:rsidP="006464F8">
      <w:pPr>
        <w:pStyle w:val="Caption"/>
      </w:pPr>
      <w:bookmarkStart w:id="233" w:name="_Ref129788520"/>
      <w:bookmarkStart w:id="234" w:name="_Toc165627914"/>
      <w:r w:rsidRPr="00B0485F">
        <w:t xml:space="preserve">Table App. </w:t>
      </w:r>
      <w:fldSimple w:instr=" SEQ Table_App. \* ARABIC ">
        <w:r w:rsidR="007105D3">
          <w:rPr>
            <w:noProof/>
          </w:rPr>
          <w:t>11</w:t>
        </w:r>
      </w:fldSimple>
      <w:bookmarkEnd w:id="233"/>
      <w:r w:rsidRPr="00B0485F">
        <w:tab/>
        <w:t xml:space="preserve">Summary of clinical practice guidelines </w:t>
      </w:r>
      <w:r w:rsidR="00941066">
        <w:t xml:space="preserve">and position statements </w:t>
      </w:r>
      <w:r w:rsidRPr="00B0485F">
        <w:t xml:space="preserve">addressing </w:t>
      </w:r>
      <w:r w:rsidR="00941066">
        <w:t>MUS</w:t>
      </w:r>
      <w:r w:rsidRPr="00B0485F">
        <w:t xml:space="preserve"> for the treatment of </w:t>
      </w:r>
      <w:r w:rsidR="00941066">
        <w:t>SUI</w:t>
      </w:r>
      <w:bookmarkEnd w:id="234"/>
    </w:p>
    <w:tbl>
      <w:tblPr>
        <w:tblStyle w:val="TableGrid"/>
        <w:tblW w:w="5000" w:type="pct"/>
        <w:tblLayout w:type="fixed"/>
        <w:tblLook w:val="04A0" w:firstRow="1" w:lastRow="0" w:firstColumn="1" w:lastColumn="0" w:noHBand="0" w:noVBand="1"/>
        <w:tblCaption w:val="Summary of clinical practice guidelines and position statements addressing MUS for the treatment of SUI"/>
        <w:tblDescription w:val="This table summarises clinical practice guidelines and position statements addressing MUS for the treatment of SUI. The document title, developer, date, recommendation development methodology and key points are summarised for each guideline/position statement. "/>
      </w:tblPr>
      <w:tblGrid>
        <w:gridCol w:w="1885"/>
        <w:gridCol w:w="2368"/>
        <w:gridCol w:w="10317"/>
      </w:tblGrid>
      <w:tr w:rsidR="006464F8" w:rsidRPr="00B0485F" w14:paraId="6993E37C" w14:textId="77777777" w:rsidTr="00C94538">
        <w:trPr>
          <w:cnfStyle w:val="100000000000" w:firstRow="1" w:lastRow="0" w:firstColumn="0" w:lastColumn="0" w:oddVBand="0" w:evenVBand="0" w:oddHBand="0" w:evenHBand="0" w:firstRowFirstColumn="0" w:firstRowLastColumn="0" w:lastRowFirstColumn="0" w:lastRowLastColumn="0"/>
          <w:cantSplit w:val="0"/>
        </w:trPr>
        <w:tc>
          <w:tcPr>
            <w:tcW w:w="1885" w:type="dxa"/>
          </w:tcPr>
          <w:p w14:paraId="161D34C0" w14:textId="77777777" w:rsidR="006464F8" w:rsidRPr="00B0485F" w:rsidRDefault="006464F8" w:rsidP="00C94538">
            <w:pPr>
              <w:pStyle w:val="031Tablesubheading8pt"/>
            </w:pPr>
            <w:r w:rsidRPr="00B0485F">
              <w:t>Title</w:t>
            </w:r>
          </w:p>
          <w:p w14:paraId="797D7619" w14:textId="77777777" w:rsidR="006464F8" w:rsidRPr="00B0485F" w:rsidRDefault="006464F8" w:rsidP="00C94538">
            <w:pPr>
              <w:pStyle w:val="031Tablesubheading8pt"/>
              <w:rPr>
                <w:i/>
                <w:iCs/>
              </w:rPr>
            </w:pPr>
            <w:r w:rsidRPr="00B0485F">
              <w:rPr>
                <w:i/>
                <w:iCs/>
              </w:rPr>
              <w:t>Developer</w:t>
            </w:r>
          </w:p>
          <w:p w14:paraId="5D28A0CE" w14:textId="77777777" w:rsidR="006464F8" w:rsidRPr="00B0485F" w:rsidRDefault="006464F8" w:rsidP="00C94538">
            <w:pPr>
              <w:pStyle w:val="031Tablesubheading8pt"/>
            </w:pPr>
            <w:r w:rsidRPr="00B0485F">
              <w:t>Date</w:t>
            </w:r>
          </w:p>
        </w:tc>
        <w:tc>
          <w:tcPr>
            <w:tcW w:w="2368" w:type="dxa"/>
          </w:tcPr>
          <w:p w14:paraId="7AADE542" w14:textId="77777777" w:rsidR="006464F8" w:rsidRPr="00B0485F" w:rsidRDefault="006464F8" w:rsidP="00C94538">
            <w:pPr>
              <w:pStyle w:val="031Tablesubheading8pt"/>
            </w:pPr>
            <w:r w:rsidRPr="00B0485F">
              <w:t>Recommendation development methodology</w:t>
            </w:r>
          </w:p>
        </w:tc>
        <w:tc>
          <w:tcPr>
            <w:tcW w:w="10317" w:type="dxa"/>
          </w:tcPr>
          <w:p w14:paraId="7C4120CA" w14:textId="77777777" w:rsidR="006464F8" w:rsidRPr="00B0485F" w:rsidRDefault="006464F8" w:rsidP="00C94538">
            <w:pPr>
              <w:pStyle w:val="031Tablesubheading8pt"/>
            </w:pPr>
            <w:r w:rsidRPr="00B0485F">
              <w:t>Key points</w:t>
            </w:r>
          </w:p>
        </w:tc>
      </w:tr>
      <w:tr w:rsidR="006464F8" w:rsidRPr="00B0485F" w14:paraId="6ADEB430" w14:textId="77777777" w:rsidTr="00C94538">
        <w:trPr>
          <w:cantSplit w:val="0"/>
        </w:trPr>
        <w:tc>
          <w:tcPr>
            <w:tcW w:w="1885" w:type="dxa"/>
          </w:tcPr>
          <w:p w14:paraId="698B00DC" w14:textId="77777777" w:rsidR="006464F8" w:rsidRPr="00B0485F" w:rsidRDefault="006464F8" w:rsidP="00C94538">
            <w:pPr>
              <w:pStyle w:val="051Tabletext228pt"/>
              <w:spacing w:after="120"/>
              <w:rPr>
                <w:b/>
                <w:bCs/>
              </w:rPr>
            </w:pPr>
            <w:r w:rsidRPr="00B0485F">
              <w:rPr>
                <w:b/>
                <w:bCs/>
              </w:rPr>
              <w:t xml:space="preserve">Management of non-neurogenic female lower urinary tract symptoms </w:t>
            </w:r>
          </w:p>
          <w:p w14:paraId="14ACD895" w14:textId="77777777" w:rsidR="006464F8" w:rsidRPr="00B0485F" w:rsidRDefault="006464F8" w:rsidP="00C94538">
            <w:pPr>
              <w:pStyle w:val="051Tabletext228pt"/>
              <w:spacing w:after="120"/>
              <w:rPr>
                <w:i/>
                <w:iCs/>
              </w:rPr>
            </w:pPr>
            <w:r w:rsidRPr="00B0485F">
              <w:rPr>
                <w:i/>
                <w:iCs/>
              </w:rPr>
              <w:t>European Association of Urology</w:t>
            </w:r>
          </w:p>
          <w:p w14:paraId="40EFACBF" w14:textId="77777777" w:rsidR="006464F8" w:rsidRDefault="006464F8" w:rsidP="00C94538">
            <w:pPr>
              <w:pStyle w:val="051Tabletext228pt"/>
              <w:spacing w:after="120"/>
            </w:pPr>
            <w:r w:rsidRPr="00B0485F">
              <w:t>March 2023</w:t>
            </w:r>
          </w:p>
          <w:p w14:paraId="45FD8BBE" w14:textId="59D92FC0" w:rsidR="004A4D67" w:rsidRPr="00B0485F" w:rsidRDefault="00245CE2" w:rsidP="00C94538">
            <w:pPr>
              <w:pStyle w:val="051Tabletext228pt"/>
              <w:spacing w:after="120"/>
            </w:pPr>
            <w:r>
              <w:rPr>
                <w:noProof/>
              </w:rPr>
              <w:t xml:space="preserve"> (Harding 2023)</w:t>
            </w:r>
          </w:p>
        </w:tc>
        <w:tc>
          <w:tcPr>
            <w:tcW w:w="2368" w:type="dxa"/>
          </w:tcPr>
          <w:p w14:paraId="2AE6DA08" w14:textId="77777777" w:rsidR="006464F8" w:rsidRPr="00B0485F" w:rsidRDefault="006464F8" w:rsidP="00C94538">
            <w:pPr>
              <w:pStyle w:val="051Tabletext228pt"/>
            </w:pPr>
            <w:r w:rsidRPr="00B0485F">
              <w:t>Systematic evidence search focussed on high-level evidence (SRs and meta-analysis). De novo SR conducted on overactive bladder syndrome.</w:t>
            </w:r>
          </w:p>
          <w:p w14:paraId="75472EDC" w14:textId="77777777" w:rsidR="006464F8" w:rsidRPr="00B0485F" w:rsidRDefault="006464F8" w:rsidP="00C94538">
            <w:pPr>
              <w:pStyle w:val="051Tabletext228pt"/>
            </w:pPr>
            <w:r w:rsidRPr="00B0485F">
              <w:t>Strength of recommendations reported as strong or weak drawing from guiding principles of GRADE methodology.</w:t>
            </w:r>
          </w:p>
        </w:tc>
        <w:tc>
          <w:tcPr>
            <w:tcW w:w="10317" w:type="dxa"/>
          </w:tcPr>
          <w:p w14:paraId="46DD927A" w14:textId="77777777" w:rsidR="006464F8" w:rsidRPr="00B0485F" w:rsidRDefault="006464F8" w:rsidP="00C94538">
            <w:pPr>
              <w:pStyle w:val="051Tabletext228pt"/>
              <w:rPr>
                <w:b/>
                <w:bCs/>
              </w:rPr>
            </w:pPr>
            <w:r w:rsidRPr="00B0485F">
              <w:rPr>
                <w:b/>
                <w:bCs/>
              </w:rPr>
              <w:t>Recommendations</w:t>
            </w:r>
          </w:p>
          <w:p w14:paraId="3D49232B" w14:textId="77777777" w:rsidR="006464F8" w:rsidRPr="00B0485F" w:rsidRDefault="006464F8" w:rsidP="00713A63">
            <w:pPr>
              <w:pStyle w:val="051Tabletext228pt"/>
              <w:numPr>
                <w:ilvl w:val="0"/>
                <w:numId w:val="21"/>
              </w:numPr>
            </w:pPr>
            <w:r w:rsidRPr="00B0485F">
              <w:t>Offer patients who have explored/failed conservative treatment options a choice of different surgical procedures, where appropriate, and discuss the advantages and disadvantages of each approach. (Strong recommendation)</w:t>
            </w:r>
          </w:p>
          <w:p w14:paraId="39D70216" w14:textId="77777777" w:rsidR="006464F8" w:rsidRPr="00B0485F" w:rsidRDefault="006464F8" w:rsidP="00713A63">
            <w:pPr>
              <w:pStyle w:val="051Tabletext228pt"/>
              <w:numPr>
                <w:ilvl w:val="0"/>
                <w:numId w:val="21"/>
              </w:numPr>
            </w:pPr>
            <w:r w:rsidRPr="00B0485F">
              <w:t>Employ a shared decision-making approach when deciding on appropriate treatment for SUI. (Strong recommendation)</w:t>
            </w:r>
          </w:p>
          <w:p w14:paraId="0877DB30" w14:textId="77777777" w:rsidR="006464F8" w:rsidRPr="00B0485F" w:rsidRDefault="006464F8" w:rsidP="00713A63">
            <w:pPr>
              <w:pStyle w:val="051Tabletext228pt"/>
              <w:numPr>
                <w:ilvl w:val="0"/>
                <w:numId w:val="21"/>
              </w:numPr>
            </w:pPr>
            <w:r w:rsidRPr="00B0485F">
              <w:t xml:space="preserve">Offer </w:t>
            </w:r>
            <w:proofErr w:type="spellStart"/>
            <w:r w:rsidRPr="00B0485F">
              <w:t>colposuspension</w:t>
            </w:r>
            <w:proofErr w:type="spellEnd"/>
            <w:r w:rsidRPr="00B0485F">
              <w:t xml:space="preserve"> (open or laparoscopic) to women seeking surgical treatment for SUI following a thorough discussion of the risks and benefits relative to other surgical modalities. (Strong recommendation)</w:t>
            </w:r>
          </w:p>
          <w:p w14:paraId="79208811" w14:textId="77777777" w:rsidR="006464F8" w:rsidRPr="00B0485F" w:rsidRDefault="006464F8" w:rsidP="00713A63">
            <w:pPr>
              <w:pStyle w:val="051Tabletext228pt"/>
              <w:numPr>
                <w:ilvl w:val="0"/>
                <w:numId w:val="21"/>
              </w:numPr>
            </w:pPr>
            <w:r w:rsidRPr="00B0485F">
              <w:t>Offer autologous sling placement to women seeking surgical treatment for stress urinary incontinence following a thorough discussion of the risks and benefits relative to other surgical modalities. (Strong recommendation)</w:t>
            </w:r>
          </w:p>
          <w:p w14:paraId="7010E6E3" w14:textId="77777777" w:rsidR="006464F8" w:rsidRPr="00B0485F" w:rsidRDefault="006464F8" w:rsidP="00713A63">
            <w:pPr>
              <w:pStyle w:val="051Tabletext228pt"/>
              <w:numPr>
                <w:ilvl w:val="0"/>
                <w:numId w:val="21"/>
              </w:numPr>
            </w:pPr>
            <w:r w:rsidRPr="00B0485F">
              <w:t>Offer urethral bulking agents to women seeking surgical treatment for stress urinary incontinence (SUI) following a thorough discussion of the risks and benefits relative to other surgical modalities. (Strong recommendation)</w:t>
            </w:r>
          </w:p>
          <w:p w14:paraId="53769643" w14:textId="77777777" w:rsidR="006464F8" w:rsidRPr="00B0485F" w:rsidRDefault="006464F8" w:rsidP="00713A63">
            <w:pPr>
              <w:pStyle w:val="051Tabletext228pt"/>
              <w:numPr>
                <w:ilvl w:val="0"/>
                <w:numId w:val="21"/>
              </w:numPr>
            </w:pPr>
            <w:r w:rsidRPr="00B0485F">
              <w:t>Offer urethral bulking agents to women with SUI who request a low-risk procedure with the understanding that efficacy is lower than other surgical procedures, repeat injections are likely, and long-term durability and safety are not established. (Strong recommendation)</w:t>
            </w:r>
          </w:p>
          <w:p w14:paraId="076F75AA" w14:textId="77777777" w:rsidR="006464F8" w:rsidRPr="00B0485F" w:rsidRDefault="006464F8" w:rsidP="00713A63">
            <w:pPr>
              <w:pStyle w:val="051Tabletext228pt"/>
              <w:numPr>
                <w:ilvl w:val="0"/>
                <w:numId w:val="21"/>
              </w:numPr>
            </w:pPr>
            <w:r w:rsidRPr="00B0485F">
              <w:t>Do not offer autologous fat and hyaluronic acid as urethral bulking agents due to the higher risk of adverse events. (Strong recommendation)</w:t>
            </w:r>
          </w:p>
          <w:p w14:paraId="5A01AEC2" w14:textId="77777777" w:rsidR="006464F8" w:rsidRPr="00B0485F" w:rsidRDefault="006464F8" w:rsidP="00713A63">
            <w:pPr>
              <w:pStyle w:val="051Tabletext228pt"/>
              <w:numPr>
                <w:ilvl w:val="0"/>
                <w:numId w:val="21"/>
              </w:numPr>
            </w:pPr>
            <w:r w:rsidRPr="00B0485F">
              <w:t>Offer a mid-urethral sling (MUS) to women seeking surgical treatment for stress urinary incontinence following a thorough discussion of the risks and benefits relative to other surgical modalities. (Strong recommendation)</w:t>
            </w:r>
          </w:p>
          <w:p w14:paraId="0D9A2491" w14:textId="77777777" w:rsidR="006464F8" w:rsidRPr="00B0485F" w:rsidRDefault="006464F8" w:rsidP="00713A63">
            <w:pPr>
              <w:pStyle w:val="051Tabletext228pt"/>
              <w:numPr>
                <w:ilvl w:val="0"/>
                <w:numId w:val="21"/>
              </w:numPr>
            </w:pPr>
            <w:r w:rsidRPr="00B0485F">
              <w:t xml:space="preserve">Inform women that long-term outcomes from MUS inserted by the retropubic route are superior to those inserted via the </w:t>
            </w:r>
            <w:proofErr w:type="spellStart"/>
            <w:r w:rsidRPr="00B0485F">
              <w:t>transobturator</w:t>
            </w:r>
            <w:proofErr w:type="spellEnd"/>
            <w:r w:rsidRPr="00B0485F">
              <w:t xml:space="preserve"> route. (Strong recommendation)</w:t>
            </w:r>
          </w:p>
          <w:p w14:paraId="6D798B37" w14:textId="77777777" w:rsidR="006464F8" w:rsidRPr="00B0485F" w:rsidRDefault="006464F8" w:rsidP="00713A63">
            <w:pPr>
              <w:pStyle w:val="051Tabletext228pt"/>
              <w:numPr>
                <w:ilvl w:val="0"/>
                <w:numId w:val="21"/>
              </w:numPr>
            </w:pPr>
            <w:r w:rsidRPr="00B0485F">
              <w:t>Inform women of the complications associated with MUS procedures and discuss all alternative treatments in the light of recent publicity surrounding surgical mesh. (Strong recommendation)</w:t>
            </w:r>
          </w:p>
        </w:tc>
      </w:tr>
      <w:tr w:rsidR="006464F8" w:rsidRPr="00B0485F" w14:paraId="5566CE80" w14:textId="77777777" w:rsidTr="00C94538">
        <w:trPr>
          <w:cantSplit w:val="0"/>
        </w:trPr>
        <w:tc>
          <w:tcPr>
            <w:tcW w:w="1885" w:type="dxa"/>
          </w:tcPr>
          <w:p w14:paraId="7CB39556" w14:textId="77777777" w:rsidR="006464F8" w:rsidRPr="00B0485F" w:rsidRDefault="006464F8" w:rsidP="00C94538">
            <w:pPr>
              <w:pStyle w:val="051Tabletext228pt"/>
              <w:spacing w:after="120"/>
              <w:rPr>
                <w:b/>
                <w:bCs/>
              </w:rPr>
            </w:pPr>
            <w:r w:rsidRPr="00B0485F">
              <w:rPr>
                <w:b/>
                <w:bCs/>
              </w:rPr>
              <w:t xml:space="preserve">FIGO recommendations: Use of </w:t>
            </w:r>
            <w:proofErr w:type="spellStart"/>
            <w:r w:rsidRPr="00B0485F">
              <w:rPr>
                <w:b/>
                <w:bCs/>
              </w:rPr>
              <w:t>midurethral</w:t>
            </w:r>
            <w:proofErr w:type="spellEnd"/>
            <w:r w:rsidRPr="00B0485F">
              <w:rPr>
                <w:b/>
                <w:bCs/>
              </w:rPr>
              <w:t xml:space="preserve"> slings for the treatment of stress urinary incontinence</w:t>
            </w:r>
          </w:p>
          <w:p w14:paraId="107506D8" w14:textId="77777777" w:rsidR="006464F8" w:rsidRPr="00B0485F" w:rsidRDefault="006464F8" w:rsidP="00C94538">
            <w:pPr>
              <w:pStyle w:val="051Tabletext228pt"/>
              <w:spacing w:after="120"/>
              <w:rPr>
                <w:i/>
                <w:iCs/>
              </w:rPr>
            </w:pPr>
            <w:r w:rsidRPr="00B0485F">
              <w:rPr>
                <w:i/>
                <w:iCs/>
              </w:rPr>
              <w:t xml:space="preserve">International Federation of </w:t>
            </w:r>
            <w:proofErr w:type="spellStart"/>
            <w:r w:rsidRPr="00B0485F">
              <w:rPr>
                <w:i/>
                <w:iCs/>
              </w:rPr>
              <w:t>Gynecology</w:t>
            </w:r>
            <w:proofErr w:type="spellEnd"/>
            <w:r w:rsidRPr="00B0485F">
              <w:rPr>
                <w:i/>
                <w:iCs/>
              </w:rPr>
              <w:t xml:space="preserve"> and Obstetrics (FIGO)</w:t>
            </w:r>
          </w:p>
          <w:p w14:paraId="52C7B0BB" w14:textId="77777777" w:rsidR="006464F8" w:rsidRDefault="006464F8" w:rsidP="00C94538">
            <w:pPr>
              <w:pStyle w:val="051Tabletext228pt"/>
              <w:spacing w:after="120"/>
            </w:pPr>
            <w:r w:rsidRPr="00B0485F">
              <w:t>2023</w:t>
            </w:r>
          </w:p>
          <w:p w14:paraId="74945705" w14:textId="30CAEEDC" w:rsidR="006464F8" w:rsidRPr="00B0485F" w:rsidRDefault="00245CE2" w:rsidP="00C94538">
            <w:pPr>
              <w:pStyle w:val="051Tabletext228pt"/>
              <w:spacing w:after="120"/>
            </w:pPr>
            <w:r>
              <w:rPr>
                <w:noProof/>
              </w:rPr>
              <w:t xml:space="preserve"> (Lau 2023)</w:t>
            </w:r>
          </w:p>
        </w:tc>
        <w:tc>
          <w:tcPr>
            <w:tcW w:w="2368" w:type="dxa"/>
          </w:tcPr>
          <w:p w14:paraId="79DB50C0" w14:textId="67DA9355" w:rsidR="006464F8" w:rsidRPr="00B0485F" w:rsidRDefault="006464F8" w:rsidP="00C94538">
            <w:pPr>
              <w:pStyle w:val="051Tabletext228pt"/>
            </w:pPr>
            <w:r w:rsidRPr="00B0485F">
              <w:t xml:space="preserve">Recommendations developed based on the </w:t>
            </w:r>
            <w:r w:rsidR="00515BF9">
              <w:t xml:space="preserve">NICE </w:t>
            </w:r>
            <w:r w:rsidRPr="00B0485F">
              <w:t xml:space="preserve">manual, the </w:t>
            </w:r>
            <w:r w:rsidR="00515BF9">
              <w:t xml:space="preserve">SIGN 50 </w:t>
            </w:r>
            <w:r w:rsidRPr="00B0485F">
              <w:t>handbook, the Taiwan Clinical Practice Guidelines Development and Update Manual, and other guideline development manuals.</w:t>
            </w:r>
          </w:p>
          <w:p w14:paraId="6DB5D25A" w14:textId="3BE65B07" w:rsidR="006464F8" w:rsidRPr="00B0485F" w:rsidRDefault="006464F8" w:rsidP="00C94538">
            <w:pPr>
              <w:pStyle w:val="051Tabletext228pt"/>
            </w:pPr>
            <w:r w:rsidRPr="00B0485F">
              <w:t xml:space="preserve">Systematic evidence search conducted. Questions assigned to Task Force subgroups. LOE assigned according to University of Oxford Centre for Evidence-based Medicine framework. </w:t>
            </w:r>
            <w:r w:rsidR="00825980">
              <w:t>EBR</w:t>
            </w:r>
            <w:r w:rsidRPr="00B0485F">
              <w:t>s classified as strong (Grade 1) or weak (Grade 2) by GRADE working group.</w:t>
            </w:r>
          </w:p>
          <w:p w14:paraId="7353C998" w14:textId="77777777" w:rsidR="006464F8" w:rsidRPr="00B0485F" w:rsidRDefault="006464F8" w:rsidP="00C94538">
            <w:pPr>
              <w:pStyle w:val="051Tabletext228pt"/>
            </w:pPr>
            <w:r w:rsidRPr="00B0485F">
              <w:lastRenderedPageBreak/>
              <w:t xml:space="preserve">Example: grade 1A = strong recommendation with high-quality evidence, grade 2D = weak recommendation with very low-quality evidence. </w:t>
            </w:r>
          </w:p>
        </w:tc>
        <w:tc>
          <w:tcPr>
            <w:tcW w:w="10317" w:type="dxa"/>
          </w:tcPr>
          <w:p w14:paraId="7069B2A5" w14:textId="77777777" w:rsidR="006464F8" w:rsidRPr="00B0485F" w:rsidRDefault="006464F8" w:rsidP="00C94538">
            <w:pPr>
              <w:pStyle w:val="051Tabletext228pt"/>
              <w:rPr>
                <w:b/>
                <w:bCs/>
              </w:rPr>
            </w:pPr>
            <w:r w:rsidRPr="00B0485F">
              <w:rPr>
                <w:b/>
                <w:bCs/>
              </w:rPr>
              <w:lastRenderedPageBreak/>
              <w:t>MUS Recommendations</w:t>
            </w:r>
          </w:p>
          <w:p w14:paraId="21F74979" w14:textId="77777777" w:rsidR="006464F8" w:rsidRPr="00B0485F" w:rsidRDefault="006464F8" w:rsidP="00713A63">
            <w:pPr>
              <w:pStyle w:val="051Tabletext228pt"/>
              <w:numPr>
                <w:ilvl w:val="0"/>
                <w:numId w:val="16"/>
              </w:numPr>
            </w:pPr>
            <w:r w:rsidRPr="00B0485F">
              <w:t>The surgical gold standard for SUI is represented by MUS (LOE 3, grade 1C)</w:t>
            </w:r>
          </w:p>
          <w:p w14:paraId="26CA5F3B" w14:textId="77777777" w:rsidR="006464F8" w:rsidRPr="00B0485F" w:rsidRDefault="006464F8" w:rsidP="00713A63">
            <w:pPr>
              <w:pStyle w:val="051Tabletext228pt"/>
              <w:numPr>
                <w:ilvl w:val="0"/>
                <w:numId w:val="16"/>
              </w:numPr>
            </w:pPr>
            <w:r w:rsidRPr="00B0485F">
              <w:t xml:space="preserve">MUS has a high efficacy in subjective and objective cure rates among patients with SUI, especially retropubic and </w:t>
            </w:r>
            <w:proofErr w:type="spellStart"/>
            <w:r w:rsidRPr="00B0485F">
              <w:t>transobturator</w:t>
            </w:r>
            <w:proofErr w:type="spellEnd"/>
            <w:r w:rsidRPr="00B0485F">
              <w:t xml:space="preserve"> MUS (LOE 1, grade 1A)</w:t>
            </w:r>
          </w:p>
          <w:p w14:paraId="3CB41DB8" w14:textId="77777777" w:rsidR="006464F8" w:rsidRPr="00B0485F" w:rsidRDefault="006464F8" w:rsidP="00713A63">
            <w:pPr>
              <w:pStyle w:val="051Tabletext228pt"/>
              <w:numPr>
                <w:ilvl w:val="0"/>
                <w:numId w:val="16"/>
              </w:numPr>
            </w:pPr>
            <w:r w:rsidRPr="00B0485F">
              <w:t>The effectiveness and safety of MUS has been reported in systematic reviews, with a follow-up time of up to 12 months (LOE 1, grade 1A)</w:t>
            </w:r>
          </w:p>
          <w:p w14:paraId="64E4FA07" w14:textId="77777777" w:rsidR="006464F8" w:rsidRPr="00B0485F" w:rsidRDefault="006464F8" w:rsidP="00713A63">
            <w:pPr>
              <w:pStyle w:val="051Tabletext228pt"/>
              <w:numPr>
                <w:ilvl w:val="0"/>
                <w:numId w:val="16"/>
              </w:numPr>
            </w:pPr>
            <w:r w:rsidRPr="00B0485F">
              <w:t>Long follow-up data of retropubic MUS of up to 17 years have been reported with good efficacy (LOE 4, grade 1D)</w:t>
            </w:r>
          </w:p>
          <w:p w14:paraId="3F58C4BF" w14:textId="77777777" w:rsidR="006464F8" w:rsidRPr="00B0485F" w:rsidRDefault="006464F8" w:rsidP="00C94538">
            <w:pPr>
              <w:pStyle w:val="051Tabletext228pt"/>
              <w:rPr>
                <w:b/>
                <w:bCs/>
              </w:rPr>
            </w:pPr>
            <w:r w:rsidRPr="00B0485F">
              <w:rPr>
                <w:b/>
                <w:bCs/>
              </w:rPr>
              <w:t xml:space="preserve">MUS vs Burch </w:t>
            </w:r>
            <w:proofErr w:type="spellStart"/>
            <w:r w:rsidRPr="00B0485F">
              <w:rPr>
                <w:b/>
                <w:bCs/>
              </w:rPr>
              <w:t>colposuspension</w:t>
            </w:r>
            <w:proofErr w:type="spellEnd"/>
            <w:r w:rsidRPr="00B0485F">
              <w:rPr>
                <w:b/>
                <w:bCs/>
              </w:rPr>
              <w:t xml:space="preserve"> and PVS</w:t>
            </w:r>
          </w:p>
          <w:p w14:paraId="4B80A3EF" w14:textId="3FF01A0E" w:rsidR="006464F8" w:rsidRPr="00B0485F" w:rsidRDefault="006464F8" w:rsidP="00713A63">
            <w:pPr>
              <w:pStyle w:val="051Tabletext228pt"/>
              <w:numPr>
                <w:ilvl w:val="0"/>
                <w:numId w:val="17"/>
              </w:numPr>
            </w:pPr>
            <w:r w:rsidRPr="00B0485F">
              <w:rPr>
                <w:bCs/>
              </w:rPr>
              <w:t xml:space="preserve">The treatment of SUI with MUS is preferable to a Burch </w:t>
            </w:r>
            <w:proofErr w:type="spellStart"/>
            <w:r w:rsidRPr="00B0485F">
              <w:rPr>
                <w:bCs/>
              </w:rPr>
              <w:t>co</w:t>
            </w:r>
            <w:r w:rsidR="001E739B">
              <w:rPr>
                <w:bCs/>
              </w:rPr>
              <w:t>l</w:t>
            </w:r>
            <w:r w:rsidRPr="00B0485F">
              <w:rPr>
                <w:bCs/>
              </w:rPr>
              <w:t>posuspension</w:t>
            </w:r>
            <w:proofErr w:type="spellEnd"/>
            <w:r w:rsidRPr="00B0485F">
              <w:rPr>
                <w:bCs/>
              </w:rPr>
              <w:t xml:space="preserve"> and PVS, due to similar or superior cure rates but reduced morbidity, and shorter operative time and length of hospital stay (LOE 1, grade 1A)</w:t>
            </w:r>
          </w:p>
          <w:p w14:paraId="211DEBC8" w14:textId="77777777" w:rsidR="006464F8" w:rsidRPr="00B0485F" w:rsidRDefault="006464F8" w:rsidP="00713A63">
            <w:pPr>
              <w:pStyle w:val="051Tabletext228pt"/>
              <w:numPr>
                <w:ilvl w:val="0"/>
                <w:numId w:val="17"/>
              </w:numPr>
            </w:pPr>
            <w:r w:rsidRPr="00B0485F">
              <w:t xml:space="preserve">There are no differences in de novo urgency or urgency incontinence, voiding difficulties, and complications between the Burch </w:t>
            </w:r>
            <w:proofErr w:type="spellStart"/>
            <w:r w:rsidRPr="00B0485F">
              <w:t>colposuspension</w:t>
            </w:r>
            <w:proofErr w:type="spellEnd"/>
            <w:r w:rsidRPr="00B0485F">
              <w:t>, PVS and retropubic MUS (LOE 1, grade 1A)</w:t>
            </w:r>
          </w:p>
          <w:p w14:paraId="13EB16F9" w14:textId="77777777" w:rsidR="006464F8" w:rsidRPr="00B0485F" w:rsidRDefault="006464F8" w:rsidP="00713A63">
            <w:pPr>
              <w:pStyle w:val="051Tabletext228pt"/>
              <w:numPr>
                <w:ilvl w:val="0"/>
                <w:numId w:val="17"/>
              </w:numPr>
            </w:pPr>
            <w:r w:rsidRPr="00B0485F">
              <w:t xml:space="preserve">Retropubic MUS had higher rates of bladder perforation compared with Burch </w:t>
            </w:r>
            <w:proofErr w:type="spellStart"/>
            <w:r w:rsidRPr="00B0485F">
              <w:t>colposuspension</w:t>
            </w:r>
            <w:proofErr w:type="spellEnd"/>
            <w:r w:rsidRPr="00B0485F">
              <w:t xml:space="preserve"> and PVS (LOE 1, grade 1A)</w:t>
            </w:r>
          </w:p>
          <w:p w14:paraId="3CDD1497" w14:textId="77777777" w:rsidR="006464F8" w:rsidRPr="00B0485F" w:rsidRDefault="006464F8" w:rsidP="00C94538">
            <w:pPr>
              <w:pStyle w:val="051Tabletext228pt"/>
              <w:rPr>
                <w:b/>
                <w:bCs/>
              </w:rPr>
            </w:pPr>
            <w:r w:rsidRPr="00B0485F">
              <w:rPr>
                <w:b/>
                <w:bCs/>
              </w:rPr>
              <w:t xml:space="preserve">Retropubic MUS vs </w:t>
            </w:r>
            <w:proofErr w:type="spellStart"/>
            <w:r w:rsidRPr="00B0485F">
              <w:rPr>
                <w:b/>
                <w:bCs/>
              </w:rPr>
              <w:t>Transobturator</w:t>
            </w:r>
            <w:proofErr w:type="spellEnd"/>
            <w:r w:rsidRPr="00B0485F">
              <w:rPr>
                <w:b/>
                <w:bCs/>
              </w:rPr>
              <w:t xml:space="preserve"> MUS</w:t>
            </w:r>
          </w:p>
          <w:p w14:paraId="086BBF4C" w14:textId="77777777" w:rsidR="006464F8" w:rsidRPr="00B0485F" w:rsidRDefault="006464F8" w:rsidP="00713A63">
            <w:pPr>
              <w:pStyle w:val="051Tabletext228pt"/>
              <w:numPr>
                <w:ilvl w:val="0"/>
                <w:numId w:val="18"/>
              </w:numPr>
              <w:rPr>
                <w:bCs/>
              </w:rPr>
            </w:pPr>
            <w:r w:rsidRPr="00B0485F">
              <w:rPr>
                <w:bCs/>
              </w:rPr>
              <w:lastRenderedPageBreak/>
              <w:t xml:space="preserve">Patients treated with retropubic MUS have higher subjective and objective cure rates than those treated with </w:t>
            </w:r>
            <w:proofErr w:type="spellStart"/>
            <w:r w:rsidRPr="00B0485F">
              <w:rPr>
                <w:bCs/>
              </w:rPr>
              <w:t>transobturator</w:t>
            </w:r>
            <w:proofErr w:type="spellEnd"/>
            <w:r w:rsidRPr="00B0485F">
              <w:rPr>
                <w:bCs/>
              </w:rPr>
              <w:t xml:space="preserve"> MUS, especially in those with more severe SUI and ISD (LOE 1, grade 1A)</w:t>
            </w:r>
          </w:p>
          <w:p w14:paraId="2896834E" w14:textId="77777777" w:rsidR="006464F8" w:rsidRPr="00B0485F" w:rsidRDefault="006464F8" w:rsidP="00713A63">
            <w:pPr>
              <w:pStyle w:val="051Tabletext228pt"/>
              <w:numPr>
                <w:ilvl w:val="0"/>
                <w:numId w:val="18"/>
              </w:numPr>
              <w:rPr>
                <w:bCs/>
              </w:rPr>
            </w:pPr>
            <w:r w:rsidRPr="00B0485F">
              <w:rPr>
                <w:bCs/>
              </w:rPr>
              <w:t xml:space="preserve">Compared with retropubic MUS, </w:t>
            </w:r>
            <w:proofErr w:type="spellStart"/>
            <w:r w:rsidRPr="00B0485F">
              <w:rPr>
                <w:bCs/>
              </w:rPr>
              <w:t>transobturator</w:t>
            </w:r>
            <w:proofErr w:type="spellEnd"/>
            <w:r w:rsidRPr="00B0485F">
              <w:rPr>
                <w:bCs/>
              </w:rPr>
              <w:t xml:space="preserve"> MUS has a lower risk of intraoperative bladder or vaginal perforation, major vascular complications and pelvic hematoma, a lower rate of suprapubic pain, UTI, voiding dysfunction, and LUT symptoms (LUTS) (LOE 1, grade 1A)</w:t>
            </w:r>
          </w:p>
          <w:p w14:paraId="3137FFC2" w14:textId="77777777" w:rsidR="006464F8" w:rsidRPr="00B0485F" w:rsidRDefault="006464F8" w:rsidP="00713A63">
            <w:pPr>
              <w:pStyle w:val="051Tabletext228pt"/>
              <w:numPr>
                <w:ilvl w:val="0"/>
                <w:numId w:val="18"/>
              </w:numPr>
              <w:rPr>
                <w:bCs/>
              </w:rPr>
            </w:pPr>
            <w:r w:rsidRPr="00B0485F">
              <w:rPr>
                <w:bCs/>
              </w:rPr>
              <w:t xml:space="preserve">The safety profile of these procedures has shown that </w:t>
            </w:r>
            <w:proofErr w:type="spellStart"/>
            <w:r w:rsidRPr="00B0485F">
              <w:rPr>
                <w:bCs/>
              </w:rPr>
              <w:t>transobturator</w:t>
            </w:r>
            <w:proofErr w:type="spellEnd"/>
            <w:r w:rsidRPr="00B0485F">
              <w:rPr>
                <w:bCs/>
              </w:rPr>
              <w:t xml:space="preserve"> MUS has a higher rate of repeat procedures and a higher occurrence of groin pain than retropubic MUS (LOE 1, grade 1A)</w:t>
            </w:r>
          </w:p>
          <w:p w14:paraId="4C5B86B3" w14:textId="77777777" w:rsidR="006464F8" w:rsidRPr="00B0485F" w:rsidRDefault="006464F8" w:rsidP="00713A63">
            <w:pPr>
              <w:pStyle w:val="051Tabletext228pt"/>
              <w:numPr>
                <w:ilvl w:val="0"/>
                <w:numId w:val="18"/>
              </w:numPr>
              <w:rPr>
                <w:bCs/>
              </w:rPr>
            </w:pPr>
            <w:r w:rsidRPr="00B0485F">
              <w:rPr>
                <w:bCs/>
              </w:rPr>
              <w:t xml:space="preserve">The rate of tape or mesh exposure/extrusion along the mid-vagina is similar between retropubic MUS and </w:t>
            </w:r>
            <w:proofErr w:type="spellStart"/>
            <w:r w:rsidRPr="00B0485F">
              <w:rPr>
                <w:bCs/>
              </w:rPr>
              <w:t>transobturator</w:t>
            </w:r>
            <w:proofErr w:type="spellEnd"/>
            <w:r w:rsidRPr="00B0485F">
              <w:rPr>
                <w:bCs/>
              </w:rPr>
              <w:t xml:space="preserve"> MUS (LOE 1, grade 1A)</w:t>
            </w:r>
          </w:p>
          <w:p w14:paraId="6E4B56F8" w14:textId="77777777" w:rsidR="006464F8" w:rsidRPr="00B0485F" w:rsidRDefault="006464F8" w:rsidP="00C94538">
            <w:pPr>
              <w:pStyle w:val="051Tabletext228pt"/>
              <w:rPr>
                <w:b/>
              </w:rPr>
            </w:pPr>
            <w:r w:rsidRPr="00B0485F">
              <w:rPr>
                <w:b/>
              </w:rPr>
              <w:t>Recurrent SUI</w:t>
            </w:r>
          </w:p>
          <w:p w14:paraId="5B544F0B" w14:textId="77777777" w:rsidR="006464F8" w:rsidRPr="00B0485F" w:rsidRDefault="006464F8" w:rsidP="00713A63">
            <w:pPr>
              <w:pStyle w:val="051Tabletext228pt"/>
              <w:numPr>
                <w:ilvl w:val="0"/>
                <w:numId w:val="19"/>
              </w:numPr>
              <w:rPr>
                <w:bCs/>
              </w:rPr>
            </w:pPr>
            <w:r w:rsidRPr="00B0485F">
              <w:rPr>
                <w:bCs/>
              </w:rPr>
              <w:t>Repeat anti-incontinence surgery (including MUS) for recurrent or persistent SUI has a lower cure rate than primary procedures (LOE 3, grade 1C)</w:t>
            </w:r>
          </w:p>
          <w:p w14:paraId="4C694903" w14:textId="77777777" w:rsidR="006464F8" w:rsidRPr="00B0485F" w:rsidRDefault="006464F8" w:rsidP="00713A63">
            <w:pPr>
              <w:pStyle w:val="051Tabletext228pt"/>
              <w:numPr>
                <w:ilvl w:val="0"/>
                <w:numId w:val="19"/>
              </w:numPr>
              <w:rPr>
                <w:bCs/>
              </w:rPr>
            </w:pPr>
            <w:r w:rsidRPr="00B0485F">
              <w:rPr>
                <w:bCs/>
              </w:rPr>
              <w:t xml:space="preserve">Both the retropubic and </w:t>
            </w:r>
            <w:proofErr w:type="spellStart"/>
            <w:r w:rsidRPr="00B0485F">
              <w:rPr>
                <w:bCs/>
              </w:rPr>
              <w:t>transobturator</w:t>
            </w:r>
            <w:proofErr w:type="spellEnd"/>
            <w:r w:rsidRPr="00B0485F">
              <w:rPr>
                <w:bCs/>
              </w:rPr>
              <w:t xml:space="preserve"> MUS can be effective in treating recurrent SUI. However, there is a higher cure rate with the retropubic MUS than the </w:t>
            </w:r>
            <w:proofErr w:type="spellStart"/>
            <w:r w:rsidRPr="00B0485F">
              <w:rPr>
                <w:bCs/>
              </w:rPr>
              <w:t>transobturator</w:t>
            </w:r>
            <w:proofErr w:type="spellEnd"/>
            <w:r w:rsidRPr="00B0485F">
              <w:rPr>
                <w:bCs/>
              </w:rPr>
              <w:t xml:space="preserve"> MUS (LOE 2, grade 1B)</w:t>
            </w:r>
          </w:p>
          <w:p w14:paraId="7E22E721" w14:textId="77777777" w:rsidR="006464F8" w:rsidRPr="00B0485F" w:rsidRDefault="006464F8" w:rsidP="00C94538">
            <w:pPr>
              <w:pStyle w:val="051Tabletext228pt"/>
              <w:rPr>
                <w:b/>
              </w:rPr>
            </w:pPr>
            <w:r w:rsidRPr="00B0485F">
              <w:rPr>
                <w:b/>
              </w:rPr>
              <w:t>Complications</w:t>
            </w:r>
          </w:p>
          <w:p w14:paraId="1C09E489" w14:textId="77777777" w:rsidR="006464F8" w:rsidRPr="00B0485F" w:rsidRDefault="006464F8" w:rsidP="00713A63">
            <w:pPr>
              <w:pStyle w:val="051Tabletext228pt"/>
              <w:numPr>
                <w:ilvl w:val="0"/>
                <w:numId w:val="20"/>
              </w:numPr>
              <w:rPr>
                <w:b/>
              </w:rPr>
            </w:pPr>
            <w:r w:rsidRPr="00B0485F">
              <w:rPr>
                <w:bCs/>
              </w:rPr>
              <w:t>The incidence of major vascular injury and operative blood loss are higher in retropubic MUS sling procedures (LOE 1, grade 1B)</w:t>
            </w:r>
          </w:p>
          <w:p w14:paraId="429125E0" w14:textId="77777777" w:rsidR="006464F8" w:rsidRPr="00B0485F" w:rsidRDefault="006464F8" w:rsidP="00713A63">
            <w:pPr>
              <w:pStyle w:val="051Tabletext228pt"/>
              <w:numPr>
                <w:ilvl w:val="0"/>
                <w:numId w:val="20"/>
              </w:numPr>
            </w:pPr>
            <w:r w:rsidRPr="00B0485F">
              <w:t xml:space="preserve">After a MUS, the reported incidence of de novo OAB is approximately 9%. However, there is no reported difference between the retropubic MUS, </w:t>
            </w:r>
            <w:proofErr w:type="spellStart"/>
            <w:r w:rsidRPr="00B0485F">
              <w:t>transobturator</w:t>
            </w:r>
            <w:proofErr w:type="spellEnd"/>
            <w:r w:rsidRPr="00B0485F">
              <w:t xml:space="preserve"> MUS, and SIS (LOE 2, grade 1B)</w:t>
            </w:r>
          </w:p>
        </w:tc>
      </w:tr>
      <w:tr w:rsidR="006464F8" w:rsidRPr="00B0485F" w14:paraId="1A4F6133" w14:textId="77777777" w:rsidTr="00C94538">
        <w:trPr>
          <w:cantSplit w:val="0"/>
        </w:trPr>
        <w:tc>
          <w:tcPr>
            <w:tcW w:w="1885" w:type="dxa"/>
          </w:tcPr>
          <w:p w14:paraId="640CF351" w14:textId="77777777" w:rsidR="006464F8" w:rsidRPr="00B0485F" w:rsidRDefault="006464F8" w:rsidP="00C94538">
            <w:pPr>
              <w:pStyle w:val="051Tabletext228pt"/>
              <w:spacing w:after="120"/>
              <w:rPr>
                <w:b/>
                <w:bCs/>
              </w:rPr>
            </w:pPr>
            <w:r w:rsidRPr="00B0485F">
              <w:rPr>
                <w:b/>
                <w:bCs/>
              </w:rPr>
              <w:lastRenderedPageBreak/>
              <w:t xml:space="preserve">Position statement on </w:t>
            </w:r>
            <w:proofErr w:type="spellStart"/>
            <w:r w:rsidRPr="00B0485F">
              <w:rPr>
                <w:b/>
                <w:bCs/>
              </w:rPr>
              <w:t>midurethral</w:t>
            </w:r>
            <w:proofErr w:type="spellEnd"/>
            <w:r w:rsidRPr="00B0485F">
              <w:rPr>
                <w:b/>
                <w:bCs/>
              </w:rPr>
              <w:t xml:space="preserve"> slings </w:t>
            </w:r>
          </w:p>
          <w:p w14:paraId="5FDF5D10" w14:textId="77777777" w:rsidR="006464F8" w:rsidRPr="00B0485F" w:rsidRDefault="006464F8" w:rsidP="00C94538">
            <w:pPr>
              <w:pStyle w:val="051Tabletext228pt"/>
              <w:spacing w:after="120"/>
              <w:rPr>
                <w:i/>
                <w:iCs/>
              </w:rPr>
            </w:pPr>
            <w:r w:rsidRPr="00B0485F">
              <w:rPr>
                <w:i/>
                <w:iCs/>
              </w:rPr>
              <w:t>The Royal Australian and New Zealand College of Obstetricians and Gynaecologists (RANZOG)</w:t>
            </w:r>
          </w:p>
          <w:p w14:paraId="368422D9" w14:textId="77777777" w:rsidR="006464F8" w:rsidRDefault="006464F8" w:rsidP="00C94538">
            <w:pPr>
              <w:pStyle w:val="051Tabletext228pt"/>
              <w:spacing w:after="120"/>
            </w:pPr>
            <w:r w:rsidRPr="00B0485F">
              <w:t>March 2022</w:t>
            </w:r>
          </w:p>
          <w:p w14:paraId="17022B92" w14:textId="30C6B3DD" w:rsidR="00FB09CB" w:rsidRPr="00B0485F" w:rsidRDefault="00245CE2" w:rsidP="00C94538">
            <w:pPr>
              <w:pStyle w:val="051Tabletext228pt"/>
              <w:spacing w:after="120"/>
            </w:pPr>
            <w:r>
              <w:rPr>
                <w:noProof/>
              </w:rPr>
              <w:t xml:space="preserve"> (RANZCOG 2020, amended 2022)</w:t>
            </w:r>
          </w:p>
        </w:tc>
        <w:tc>
          <w:tcPr>
            <w:tcW w:w="2368" w:type="dxa"/>
          </w:tcPr>
          <w:p w14:paraId="494E4413" w14:textId="3B2DBF7D" w:rsidR="006464F8" w:rsidRPr="00B0485F" w:rsidRDefault="006464F8" w:rsidP="00C94538">
            <w:pPr>
              <w:pStyle w:val="051Tabletext228pt"/>
              <w:spacing w:after="120"/>
            </w:pPr>
            <w:r w:rsidRPr="00B0485F">
              <w:t xml:space="preserve">Developed by the RANZCOG Women’s Health Committee. Methodology </w:t>
            </w:r>
            <w:r w:rsidR="00825980">
              <w:t>not reported</w:t>
            </w:r>
            <w:r w:rsidRPr="00B0485F">
              <w:t>.</w:t>
            </w:r>
          </w:p>
        </w:tc>
        <w:tc>
          <w:tcPr>
            <w:tcW w:w="10317" w:type="dxa"/>
          </w:tcPr>
          <w:p w14:paraId="5A96640B" w14:textId="77777777" w:rsidR="006464F8" w:rsidRPr="00B0485F" w:rsidRDefault="006464F8" w:rsidP="00C94538">
            <w:pPr>
              <w:pStyle w:val="051Tabletext228pt"/>
              <w:spacing w:after="120"/>
            </w:pPr>
            <w:r w:rsidRPr="00B0485F">
              <w:rPr>
                <w:b/>
                <w:bCs/>
              </w:rPr>
              <w:t>Recommendation 1</w:t>
            </w:r>
            <w:r w:rsidRPr="00B0485F">
              <w:t xml:space="preserve"> (Evidence based recommendation Grade A): MUS surgery is a recommended surgical procedure for SUI in routine cases</w:t>
            </w:r>
          </w:p>
          <w:p w14:paraId="5688DD5A" w14:textId="77777777" w:rsidR="006464F8" w:rsidRPr="00B0485F" w:rsidRDefault="006464F8" w:rsidP="00C94538">
            <w:pPr>
              <w:pStyle w:val="051Tabletext228pt"/>
              <w:spacing w:before="120" w:after="120"/>
            </w:pPr>
            <w:r w:rsidRPr="00B0485F">
              <w:rPr>
                <w:b/>
                <w:bCs/>
              </w:rPr>
              <w:t>Recommendation 2</w:t>
            </w:r>
            <w:r w:rsidRPr="00B0485F">
              <w:t xml:space="preserve"> (Consensus based recommendation): It is recommended that the </w:t>
            </w:r>
            <w:proofErr w:type="spellStart"/>
            <w:r w:rsidRPr="00B0485F">
              <w:t>transobturator</w:t>
            </w:r>
            <w:proofErr w:type="spellEnd"/>
            <w:r w:rsidRPr="00B0485F">
              <w:t xml:space="preserve"> approach should only be offered in exceptional circumstances and following discussion in a multi-disciplinary or peer review forum.</w:t>
            </w:r>
          </w:p>
          <w:p w14:paraId="5BA099FD" w14:textId="77777777" w:rsidR="006464F8" w:rsidRPr="00B0485F" w:rsidRDefault="006464F8" w:rsidP="00C94538">
            <w:pPr>
              <w:pStyle w:val="051Tabletext228pt"/>
              <w:spacing w:before="120" w:after="120"/>
            </w:pPr>
            <w:r w:rsidRPr="00B0485F">
              <w:rPr>
                <w:b/>
                <w:bCs/>
              </w:rPr>
              <w:t>Good practice point</w:t>
            </w:r>
            <w:r w:rsidRPr="00B0485F">
              <w:t>: Local credentialling, provision of written information (particularly from the Australian Commission of Safety and Quality in Health Care); Clinical Audit (logging of cases and follow-up) and Patient Reported outcomes are essential for gynaecologists undertaking MUS procedures</w:t>
            </w:r>
          </w:p>
          <w:p w14:paraId="3B406603" w14:textId="77777777" w:rsidR="006464F8" w:rsidRPr="00B0485F" w:rsidRDefault="006464F8" w:rsidP="00713A63">
            <w:pPr>
              <w:pStyle w:val="051Tabletext228pt"/>
              <w:numPr>
                <w:ilvl w:val="0"/>
                <w:numId w:val="12"/>
              </w:numPr>
              <w:spacing w:before="120" w:after="120"/>
            </w:pPr>
            <w:r w:rsidRPr="00B0485F">
              <w:t xml:space="preserve">The surgeon should discuss the type of MUS (including the sling material and proposed route), risks, success rates and alternative surgical procedures with the patient considering surgery. Discussion of alternative surgical approaches should include success rates, recovery time, </w:t>
            </w:r>
            <w:proofErr w:type="gramStart"/>
            <w:r w:rsidRPr="00B0485F">
              <w:t>longevity</w:t>
            </w:r>
            <w:proofErr w:type="gramEnd"/>
            <w:r w:rsidRPr="00B0485F">
              <w:t xml:space="preserve"> and complications. Reference to the class action relating to gynaecological mesh is needed as part of this discussion.</w:t>
            </w:r>
          </w:p>
          <w:p w14:paraId="30965888" w14:textId="77777777" w:rsidR="006464F8" w:rsidRPr="00B0485F" w:rsidRDefault="006464F8" w:rsidP="00713A63">
            <w:pPr>
              <w:pStyle w:val="051Tabletext228pt"/>
              <w:numPr>
                <w:ilvl w:val="0"/>
                <w:numId w:val="12"/>
              </w:numPr>
              <w:spacing w:before="120" w:after="120"/>
            </w:pPr>
            <w:r w:rsidRPr="00B0485F">
              <w:t xml:space="preserve">Patients should only be offered MUS surgery following failure of conservative treatment (i.e. pelvic floor exercises and bladder retraining). </w:t>
            </w:r>
          </w:p>
          <w:p w14:paraId="12CF3246" w14:textId="77777777" w:rsidR="006464F8" w:rsidRPr="00B0485F" w:rsidRDefault="006464F8" w:rsidP="00713A63">
            <w:pPr>
              <w:pStyle w:val="051Tabletext228pt"/>
              <w:numPr>
                <w:ilvl w:val="0"/>
                <w:numId w:val="12"/>
              </w:numPr>
              <w:spacing w:before="120" w:after="120"/>
            </w:pPr>
            <w:r w:rsidRPr="00B0485F">
              <w:t xml:space="preserve">Monitoring efficacy and safety should </w:t>
            </w:r>
            <w:proofErr w:type="gramStart"/>
            <w:r w:rsidRPr="00B0485F">
              <w:t>include:</w:t>
            </w:r>
            <w:proofErr w:type="gramEnd"/>
            <w:r w:rsidRPr="00B0485F">
              <w:t xml:space="preserve"> logging outcomes in a registry, regulatory reporting of adverse events, providing details of the product (including batch number and information for use) to the patient, a minimum patient follow-up of 6 months with appropriate documentation of outcomes. </w:t>
            </w:r>
          </w:p>
          <w:p w14:paraId="31C86B3E" w14:textId="77777777" w:rsidR="006464F8" w:rsidRPr="00B0485F" w:rsidRDefault="006464F8" w:rsidP="00713A63">
            <w:pPr>
              <w:pStyle w:val="051Tabletext228pt"/>
              <w:numPr>
                <w:ilvl w:val="0"/>
                <w:numId w:val="12"/>
              </w:numPr>
              <w:spacing w:before="120" w:after="120"/>
            </w:pPr>
            <w:r w:rsidRPr="00B0485F">
              <w:t>Surgeons performing MUS procedures need to be appropriately trained to perform the surgery and manage any possible complications.</w:t>
            </w:r>
          </w:p>
          <w:p w14:paraId="70C6EBC2" w14:textId="77777777" w:rsidR="006464F8" w:rsidRPr="00B0485F" w:rsidRDefault="006464F8" w:rsidP="00713A63">
            <w:pPr>
              <w:pStyle w:val="051Tabletext228pt"/>
              <w:numPr>
                <w:ilvl w:val="0"/>
                <w:numId w:val="12"/>
              </w:numPr>
              <w:spacing w:before="120" w:after="120"/>
            </w:pPr>
            <w:r w:rsidRPr="00B0485F">
              <w:rPr>
                <w:i/>
                <w:iCs/>
              </w:rPr>
              <w:t xml:space="preserve">“RANZCOG supports the use of synthetic MUS for surgical treatment when conservative treatment has been unsuccessful” </w:t>
            </w:r>
            <w:r w:rsidRPr="00B0485F">
              <w:t>(p8)</w:t>
            </w:r>
          </w:p>
        </w:tc>
      </w:tr>
      <w:tr w:rsidR="006464F8" w:rsidRPr="00B0485F" w14:paraId="0A824393" w14:textId="77777777" w:rsidTr="00C94538">
        <w:trPr>
          <w:cantSplit w:val="0"/>
        </w:trPr>
        <w:tc>
          <w:tcPr>
            <w:tcW w:w="1885" w:type="dxa"/>
          </w:tcPr>
          <w:p w14:paraId="72508E68" w14:textId="77777777" w:rsidR="006464F8" w:rsidRPr="00B0485F" w:rsidRDefault="006464F8" w:rsidP="00C94538">
            <w:pPr>
              <w:pStyle w:val="051Tabletext228pt"/>
              <w:spacing w:after="120"/>
              <w:rPr>
                <w:b/>
                <w:bCs/>
              </w:rPr>
            </w:pPr>
            <w:r w:rsidRPr="00823D81">
              <w:rPr>
                <w:b/>
                <w:bCs/>
              </w:rPr>
              <w:t xml:space="preserve">Position Statement on the use of the </w:t>
            </w:r>
            <w:proofErr w:type="spellStart"/>
            <w:r w:rsidRPr="00823D81">
              <w:rPr>
                <w:b/>
                <w:bCs/>
              </w:rPr>
              <w:t>transobturator</w:t>
            </w:r>
            <w:proofErr w:type="spellEnd"/>
            <w:r w:rsidRPr="00823D81">
              <w:rPr>
                <w:b/>
                <w:bCs/>
              </w:rPr>
              <w:t xml:space="preserve"> approach in incontinence surgery</w:t>
            </w:r>
          </w:p>
          <w:p w14:paraId="1774246B" w14:textId="77777777" w:rsidR="006464F8" w:rsidRPr="00B0485F" w:rsidRDefault="006464F8" w:rsidP="00C94538">
            <w:pPr>
              <w:pStyle w:val="051Tabletext228pt"/>
              <w:spacing w:after="120"/>
              <w:rPr>
                <w:i/>
                <w:iCs/>
                <w:vertAlign w:val="superscript"/>
              </w:rPr>
            </w:pPr>
            <w:r w:rsidRPr="00B0485F">
              <w:rPr>
                <w:i/>
                <w:iCs/>
              </w:rPr>
              <w:lastRenderedPageBreak/>
              <w:t>Surgical Mesh Roundtable</w:t>
            </w:r>
            <w:r w:rsidRPr="00B0485F">
              <w:rPr>
                <w:i/>
                <w:iCs/>
                <w:vertAlign w:val="superscript"/>
              </w:rPr>
              <w:t>1</w:t>
            </w:r>
          </w:p>
          <w:p w14:paraId="34431E91" w14:textId="77777777" w:rsidR="006464F8" w:rsidRDefault="006464F8" w:rsidP="00C94538">
            <w:pPr>
              <w:pStyle w:val="051Tabletext228pt"/>
              <w:spacing w:after="120"/>
            </w:pPr>
            <w:r w:rsidRPr="00B0485F">
              <w:t>December 2020</w:t>
            </w:r>
          </w:p>
          <w:p w14:paraId="5DA5E16E" w14:textId="4FCB31CA" w:rsidR="0005799A" w:rsidRPr="00B0485F" w:rsidRDefault="00245CE2" w:rsidP="00C94538">
            <w:pPr>
              <w:pStyle w:val="051Tabletext228pt"/>
              <w:spacing w:after="120"/>
            </w:pPr>
            <w:r>
              <w:rPr>
                <w:noProof/>
              </w:rPr>
              <w:t xml:space="preserve"> (</w:t>
            </w:r>
            <w:r w:rsidRPr="0091023E">
              <w:rPr>
                <w:i/>
                <w:noProof/>
              </w:rPr>
              <w:t>Position Statement on the use of the transobturator approach in incontinence surgery</w:t>
            </w:r>
            <w:r>
              <w:rPr>
                <w:noProof/>
              </w:rPr>
              <w:t xml:space="preserve">  2020)</w:t>
            </w:r>
          </w:p>
        </w:tc>
        <w:tc>
          <w:tcPr>
            <w:tcW w:w="2368" w:type="dxa"/>
          </w:tcPr>
          <w:p w14:paraId="3FC61A85" w14:textId="3D8854AB" w:rsidR="006464F8" w:rsidRPr="00B0485F" w:rsidRDefault="006464F8" w:rsidP="00C94538">
            <w:pPr>
              <w:pStyle w:val="051Tabletext228pt"/>
              <w:spacing w:after="120"/>
            </w:pPr>
            <w:r w:rsidRPr="00B0485F">
              <w:lastRenderedPageBreak/>
              <w:t>N</w:t>
            </w:r>
            <w:r w:rsidR="00825980">
              <w:t>ot reported</w:t>
            </w:r>
          </w:p>
        </w:tc>
        <w:tc>
          <w:tcPr>
            <w:tcW w:w="10317" w:type="dxa"/>
          </w:tcPr>
          <w:p w14:paraId="2DF426D3" w14:textId="763130E0" w:rsidR="006464F8" w:rsidRPr="00B0485F" w:rsidRDefault="006464F8" w:rsidP="00713A63">
            <w:pPr>
              <w:pStyle w:val="051Tabletext228pt"/>
              <w:numPr>
                <w:ilvl w:val="0"/>
                <w:numId w:val="13"/>
              </w:numPr>
              <w:spacing w:after="120"/>
            </w:pPr>
            <w:r w:rsidRPr="00B0485F">
              <w:t xml:space="preserve">The Roundtable </w:t>
            </w:r>
            <w:r w:rsidRPr="00B0485F">
              <w:rPr>
                <w:i/>
                <w:iCs/>
              </w:rPr>
              <w:t xml:space="preserve">“recommends that the </w:t>
            </w:r>
            <w:proofErr w:type="spellStart"/>
            <w:r w:rsidRPr="00B0485F">
              <w:rPr>
                <w:i/>
                <w:iCs/>
              </w:rPr>
              <w:t>transobturator</w:t>
            </w:r>
            <w:proofErr w:type="spellEnd"/>
            <w:r w:rsidRPr="00B0485F">
              <w:rPr>
                <w:i/>
                <w:iCs/>
              </w:rPr>
              <w:t xml:space="preserve"> approach only be offered in exceptional circumstances and following discussion in a multi-disciplinary or peer review forum”</w:t>
            </w:r>
            <w:r w:rsidRPr="00B0485F">
              <w:t xml:space="preserve">. This advice is consistent with NICE guideline NG123 </w:t>
            </w:r>
            <w:r w:rsidR="00245CE2">
              <w:rPr>
                <w:noProof/>
              </w:rPr>
              <w:t>(NICE 2019c)</w:t>
            </w:r>
            <w:r w:rsidRPr="00B0485F">
              <w:t xml:space="preserve"> recommendation 1.5.10 “</w:t>
            </w:r>
            <w:r w:rsidRPr="00B0485F">
              <w:rPr>
                <w:i/>
                <w:iCs/>
              </w:rPr>
              <w:t xml:space="preserve">Do not offer a </w:t>
            </w:r>
            <w:proofErr w:type="spellStart"/>
            <w:r w:rsidRPr="00B0485F">
              <w:rPr>
                <w:i/>
                <w:iCs/>
              </w:rPr>
              <w:t>transobturator</w:t>
            </w:r>
            <w:proofErr w:type="spellEnd"/>
            <w:r w:rsidRPr="00B0485F">
              <w:rPr>
                <w:i/>
                <w:iCs/>
              </w:rPr>
              <w:t xml:space="preserve"> approach unless there are specific clinical circumstances (for example, previous pelvic procedures) in which the retropubic approach should be avoided.”</w:t>
            </w:r>
            <w:r w:rsidRPr="00B0485F">
              <w:t xml:space="preserve"> (p28) </w:t>
            </w:r>
          </w:p>
        </w:tc>
      </w:tr>
      <w:tr w:rsidR="006464F8" w:rsidRPr="00B0485F" w14:paraId="2A4FB9DD" w14:textId="77777777" w:rsidTr="00C94538">
        <w:trPr>
          <w:cantSplit w:val="0"/>
        </w:trPr>
        <w:tc>
          <w:tcPr>
            <w:tcW w:w="1885" w:type="dxa"/>
          </w:tcPr>
          <w:p w14:paraId="4267067D" w14:textId="77777777" w:rsidR="006464F8" w:rsidRPr="00B0485F" w:rsidRDefault="006464F8" w:rsidP="00C94538">
            <w:pPr>
              <w:pStyle w:val="051Tabletext228pt"/>
              <w:keepNext/>
              <w:spacing w:after="120"/>
              <w:rPr>
                <w:b/>
                <w:bCs/>
              </w:rPr>
            </w:pPr>
            <w:r w:rsidRPr="000149E2">
              <w:rPr>
                <w:b/>
                <w:bCs/>
              </w:rPr>
              <w:t>Position statement on the use of vaginal mesh for the surgical treatment of stress urinary incontinence (SUI)</w:t>
            </w:r>
          </w:p>
          <w:p w14:paraId="0570CA12" w14:textId="77777777" w:rsidR="006464F8" w:rsidRPr="00B0485F" w:rsidRDefault="006464F8" w:rsidP="00C94538">
            <w:pPr>
              <w:pStyle w:val="051Tabletext228pt"/>
              <w:keepNext/>
              <w:spacing w:after="120"/>
              <w:rPr>
                <w:i/>
                <w:iCs/>
              </w:rPr>
            </w:pPr>
            <w:r w:rsidRPr="00B0485F">
              <w:rPr>
                <w:i/>
                <w:iCs/>
              </w:rPr>
              <w:t>American Urological Association</w:t>
            </w:r>
          </w:p>
          <w:p w14:paraId="547FF6D0" w14:textId="77777777" w:rsidR="006464F8" w:rsidRDefault="006464F8" w:rsidP="00C94538">
            <w:pPr>
              <w:pStyle w:val="051Tabletext228pt"/>
              <w:keepNext/>
              <w:spacing w:after="120"/>
            </w:pPr>
            <w:r w:rsidRPr="00B0485F">
              <w:t>May 2019</w:t>
            </w:r>
          </w:p>
          <w:p w14:paraId="5304D427" w14:textId="3795A596" w:rsidR="000149E2" w:rsidRPr="00B0485F" w:rsidRDefault="00245CE2" w:rsidP="00C94538">
            <w:pPr>
              <w:pStyle w:val="051Tabletext228pt"/>
              <w:keepNext/>
              <w:spacing w:after="120"/>
            </w:pPr>
            <w:r>
              <w:rPr>
                <w:noProof/>
              </w:rPr>
              <w:t xml:space="preserve"> (AUA 2019)</w:t>
            </w:r>
          </w:p>
        </w:tc>
        <w:tc>
          <w:tcPr>
            <w:tcW w:w="2368" w:type="dxa"/>
          </w:tcPr>
          <w:p w14:paraId="7B4BBE2C" w14:textId="13736D65" w:rsidR="006464F8" w:rsidRPr="00B0485F" w:rsidRDefault="00825980" w:rsidP="00C94538">
            <w:pPr>
              <w:pStyle w:val="051Tabletext228pt"/>
              <w:keepNext/>
            </w:pPr>
            <w:r>
              <w:t>Not reported</w:t>
            </w:r>
          </w:p>
        </w:tc>
        <w:tc>
          <w:tcPr>
            <w:tcW w:w="10317" w:type="dxa"/>
          </w:tcPr>
          <w:p w14:paraId="23CB8E4E" w14:textId="77777777" w:rsidR="006464F8" w:rsidRPr="00B0485F" w:rsidRDefault="006464F8" w:rsidP="00713A63">
            <w:pPr>
              <w:pStyle w:val="051Tabletext228pt"/>
              <w:keepNext/>
              <w:numPr>
                <w:ilvl w:val="0"/>
                <w:numId w:val="13"/>
              </w:numPr>
            </w:pPr>
            <w:proofErr w:type="spellStart"/>
            <w:r w:rsidRPr="00B0485F">
              <w:t>Midurethral</w:t>
            </w:r>
            <w:proofErr w:type="spellEnd"/>
            <w:r w:rsidRPr="00B0485F">
              <w:t xml:space="preserve"> slings are a suitable treatment option for SUI in appropriately selected patients under the following circumstances:</w:t>
            </w:r>
          </w:p>
          <w:p w14:paraId="531F049A" w14:textId="77777777" w:rsidR="006464F8" w:rsidRPr="00B0485F" w:rsidRDefault="006464F8" w:rsidP="00713A63">
            <w:pPr>
              <w:pStyle w:val="051Tabletext228pt"/>
              <w:keepNext/>
              <w:numPr>
                <w:ilvl w:val="0"/>
                <w:numId w:val="14"/>
              </w:numPr>
            </w:pPr>
            <w:r w:rsidRPr="00B0485F">
              <w:t>The surgeon is rigorously trained in the principles of pelvic anatomy and pelvic surgery, the placement of the sling device, and the recognition and management of potential complications</w:t>
            </w:r>
          </w:p>
          <w:p w14:paraId="68005F9C" w14:textId="77777777" w:rsidR="006464F8" w:rsidRPr="00B0485F" w:rsidRDefault="006464F8" w:rsidP="00713A63">
            <w:pPr>
              <w:pStyle w:val="051Tabletext228pt"/>
              <w:keepNext/>
              <w:numPr>
                <w:ilvl w:val="0"/>
                <w:numId w:val="14"/>
              </w:numPr>
            </w:pPr>
            <w:r w:rsidRPr="00B0485F">
              <w:t>The patient is appropriately counselled by the surgeon about the procedure</w:t>
            </w:r>
          </w:p>
          <w:p w14:paraId="7160D170" w14:textId="77777777" w:rsidR="006464F8" w:rsidRPr="00B0485F" w:rsidRDefault="006464F8" w:rsidP="00713A63">
            <w:pPr>
              <w:pStyle w:val="051Tabletext228pt"/>
              <w:keepNext/>
              <w:numPr>
                <w:ilvl w:val="0"/>
                <w:numId w:val="14"/>
              </w:numPr>
            </w:pPr>
            <w:r w:rsidRPr="00B0485F">
              <w:t>The physician must discuss the risks and benefits of mesh, as well as alternative options to mesh</w:t>
            </w:r>
          </w:p>
        </w:tc>
      </w:tr>
      <w:tr w:rsidR="006464F8" w:rsidRPr="00B0485F" w14:paraId="0E570192" w14:textId="77777777" w:rsidTr="00C94538">
        <w:trPr>
          <w:cantSplit w:val="0"/>
        </w:trPr>
        <w:tc>
          <w:tcPr>
            <w:tcW w:w="1885" w:type="dxa"/>
          </w:tcPr>
          <w:p w14:paraId="4F9A16A5" w14:textId="77777777" w:rsidR="006464F8" w:rsidRPr="00B0485F" w:rsidRDefault="006464F8" w:rsidP="00C94538">
            <w:pPr>
              <w:pStyle w:val="051Tabletext228pt"/>
              <w:spacing w:after="120"/>
              <w:rPr>
                <w:b/>
                <w:bCs/>
              </w:rPr>
            </w:pPr>
            <w:r w:rsidRPr="00B0485F">
              <w:rPr>
                <w:b/>
                <w:bCs/>
              </w:rPr>
              <w:t>Urinary incontinence and pelvic organ prolapse in women: management</w:t>
            </w:r>
          </w:p>
          <w:p w14:paraId="65639D18" w14:textId="77777777" w:rsidR="006464F8" w:rsidRPr="00B0485F" w:rsidRDefault="006464F8" w:rsidP="00C94538">
            <w:pPr>
              <w:pStyle w:val="051Tabletext228pt"/>
              <w:keepNext/>
              <w:spacing w:after="120"/>
              <w:rPr>
                <w:i/>
                <w:iCs/>
              </w:rPr>
            </w:pPr>
            <w:r w:rsidRPr="00B0485F">
              <w:rPr>
                <w:i/>
                <w:iCs/>
              </w:rPr>
              <w:t>National Institute of Health and Care Excellence (NICE)</w:t>
            </w:r>
          </w:p>
          <w:p w14:paraId="59AC1388" w14:textId="77777777" w:rsidR="006464F8" w:rsidRDefault="006464F8" w:rsidP="00C94538">
            <w:pPr>
              <w:pStyle w:val="051Tabletext228pt"/>
              <w:keepNext/>
              <w:spacing w:after="120"/>
            </w:pPr>
            <w:r w:rsidRPr="00B0485F">
              <w:t>April 2019</w:t>
            </w:r>
          </w:p>
          <w:p w14:paraId="398E83CD" w14:textId="21CE8386" w:rsidR="006464F8" w:rsidRPr="00B0485F" w:rsidRDefault="00245CE2" w:rsidP="00C94538">
            <w:pPr>
              <w:pStyle w:val="051Tabletext228pt"/>
              <w:keepNext/>
              <w:spacing w:after="120"/>
            </w:pPr>
            <w:r>
              <w:rPr>
                <w:noProof/>
              </w:rPr>
              <w:t xml:space="preserve"> (NICE 2019c)</w:t>
            </w:r>
          </w:p>
        </w:tc>
        <w:tc>
          <w:tcPr>
            <w:tcW w:w="2368" w:type="dxa"/>
          </w:tcPr>
          <w:p w14:paraId="2B632066" w14:textId="77777777" w:rsidR="006464F8" w:rsidRPr="00B0485F" w:rsidRDefault="006464F8" w:rsidP="00C94538">
            <w:pPr>
              <w:pStyle w:val="051Tabletext228pt"/>
            </w:pPr>
            <w:r w:rsidRPr="00B0485F">
              <w:t>NICE methods (Developing NICE Guidelines: the manual 2014)</w:t>
            </w:r>
          </w:p>
          <w:p w14:paraId="14DEA321" w14:textId="77777777" w:rsidR="006464F8" w:rsidRPr="00B0485F" w:rsidRDefault="006464F8" w:rsidP="00C94538">
            <w:pPr>
              <w:pStyle w:val="051Tabletext228pt"/>
            </w:pPr>
            <w:r w:rsidRPr="00B0485F">
              <w:t>Systematic evidence review.</w:t>
            </w:r>
          </w:p>
          <w:p w14:paraId="3C24D3B3" w14:textId="37F9EB8D" w:rsidR="006464F8" w:rsidRPr="00B0485F" w:rsidRDefault="006464F8" w:rsidP="00C94538">
            <w:pPr>
              <w:pStyle w:val="051Tabletext228pt"/>
            </w:pPr>
            <w:r w:rsidRPr="00B0485F">
              <w:t>Evidence from RCTs summarised using GRADE profiles</w:t>
            </w:r>
            <w:r w:rsidR="00D700BB">
              <w:t>.</w:t>
            </w:r>
          </w:p>
          <w:p w14:paraId="6BDA4208" w14:textId="77777777" w:rsidR="006464F8" w:rsidRPr="00B0485F" w:rsidRDefault="006464F8" w:rsidP="00C94538">
            <w:pPr>
              <w:pStyle w:val="051Tabletext228pt"/>
            </w:pPr>
            <w:r w:rsidRPr="00B0485F">
              <w:t>Data from non-comparative observational studies (on long-term complications) summarised and presented as weighted averages.</w:t>
            </w:r>
          </w:p>
          <w:p w14:paraId="2F241C1A" w14:textId="6EAEA4E5" w:rsidR="006464F8" w:rsidRPr="00B0485F" w:rsidRDefault="00D700BB" w:rsidP="00C94538">
            <w:pPr>
              <w:pStyle w:val="051Tabletext228pt"/>
            </w:pPr>
            <w:r>
              <w:t>NMA</w:t>
            </w:r>
            <w:r w:rsidR="006464F8" w:rsidRPr="00B0485F">
              <w:t xml:space="preserve"> by </w:t>
            </w:r>
            <w:proofErr w:type="spellStart"/>
            <w:r w:rsidR="006464F8" w:rsidRPr="00B0485F">
              <w:t>Brazzelli</w:t>
            </w:r>
            <w:proofErr w:type="spellEnd"/>
            <w:r w:rsidR="006464F8" w:rsidRPr="00B0485F">
              <w:t xml:space="preserve"> et al. considered by guideline committee.  </w:t>
            </w:r>
          </w:p>
        </w:tc>
        <w:tc>
          <w:tcPr>
            <w:tcW w:w="10317" w:type="dxa"/>
          </w:tcPr>
          <w:p w14:paraId="1756DA34" w14:textId="77777777" w:rsidR="006464F8" w:rsidRPr="00B0485F" w:rsidRDefault="006464F8" w:rsidP="00C94538">
            <w:pPr>
              <w:pStyle w:val="051Tabletext228pt"/>
              <w:spacing w:before="120" w:after="120"/>
            </w:pPr>
            <w:r w:rsidRPr="00B0485F">
              <w:rPr>
                <w:b/>
                <w:bCs/>
              </w:rPr>
              <w:t xml:space="preserve">Recommendation 1.5.1 </w:t>
            </w:r>
            <w:r w:rsidRPr="00B0485F">
              <w:t>If a woman is thinking about a surgical procedure for stress urinary incontinence, use the NICE patient decision aid on surgery for stress urinary incontinence to promote informed preference and shared decision making. Discussion with the woman should include:</w:t>
            </w:r>
          </w:p>
          <w:p w14:paraId="79FDBEAD" w14:textId="77777777" w:rsidR="006464F8" w:rsidRPr="00B0485F" w:rsidRDefault="006464F8" w:rsidP="00713A63">
            <w:pPr>
              <w:pStyle w:val="051Tabletext228pt"/>
              <w:numPr>
                <w:ilvl w:val="0"/>
                <w:numId w:val="13"/>
              </w:numPr>
              <w:spacing w:before="120" w:after="120"/>
              <w:ind w:left="720"/>
            </w:pPr>
            <w:r w:rsidRPr="00B0485F">
              <w:t xml:space="preserve">the benefits and risks of all surgical treatment options for stress urinary incontinence that NICE recommends, </w:t>
            </w:r>
            <w:proofErr w:type="gramStart"/>
            <w:r w:rsidRPr="00B0485F">
              <w:t>whether or not</w:t>
            </w:r>
            <w:proofErr w:type="gramEnd"/>
            <w:r w:rsidRPr="00B0485F">
              <w:t xml:space="preserve"> they are available locally</w:t>
            </w:r>
          </w:p>
          <w:p w14:paraId="1688DF1F" w14:textId="77777777" w:rsidR="006464F8" w:rsidRPr="00B0485F" w:rsidRDefault="006464F8" w:rsidP="00713A63">
            <w:pPr>
              <w:pStyle w:val="051Tabletext228pt"/>
              <w:numPr>
                <w:ilvl w:val="0"/>
                <w:numId w:val="13"/>
              </w:numPr>
              <w:spacing w:before="120" w:after="120"/>
              <w:ind w:left="720"/>
            </w:pPr>
            <w:r w:rsidRPr="00B0485F">
              <w:t>the uncertainties about the long-term adverse effects for all procedures, particularly those involving the implantation of mesh materials</w:t>
            </w:r>
          </w:p>
          <w:p w14:paraId="1BE46DDF" w14:textId="77777777" w:rsidR="006464F8" w:rsidRPr="00B0485F" w:rsidRDefault="006464F8" w:rsidP="00713A63">
            <w:pPr>
              <w:pStyle w:val="051Tabletext228pt"/>
              <w:numPr>
                <w:ilvl w:val="0"/>
                <w:numId w:val="13"/>
              </w:numPr>
              <w:spacing w:before="120" w:after="120"/>
              <w:ind w:left="720"/>
            </w:pPr>
            <w:r w:rsidRPr="00B0485F">
              <w:t>differences between procedures in the type of anaesthesia, expected length of hospital stay, surgical incisions and expected recovery period</w:t>
            </w:r>
          </w:p>
          <w:p w14:paraId="2557D409" w14:textId="77777777" w:rsidR="006464F8" w:rsidRPr="00B0485F" w:rsidRDefault="006464F8" w:rsidP="00713A63">
            <w:pPr>
              <w:pStyle w:val="051Tabletext228pt"/>
              <w:numPr>
                <w:ilvl w:val="0"/>
                <w:numId w:val="23"/>
              </w:numPr>
              <w:spacing w:before="120" w:after="120"/>
              <w:ind w:left="720"/>
            </w:pPr>
            <w:r w:rsidRPr="00B0485F">
              <w:t>any social or psychological factors that may affect the woman's decision.</w:t>
            </w:r>
          </w:p>
          <w:p w14:paraId="356E36CF" w14:textId="77777777" w:rsidR="006464F8" w:rsidRPr="00B0485F" w:rsidRDefault="006464F8" w:rsidP="00C94538">
            <w:pPr>
              <w:pStyle w:val="051Tabletext228pt"/>
              <w:spacing w:before="120" w:after="120"/>
              <w:ind w:firstLine="323"/>
              <w:rPr>
                <w:b/>
              </w:rPr>
            </w:pPr>
            <w:r w:rsidRPr="00B0485F">
              <w:t xml:space="preserve">[2013, amended 2019] </w:t>
            </w:r>
            <w:r w:rsidRPr="00B0485F">
              <w:cr/>
            </w:r>
            <w:r w:rsidRPr="00B0485F">
              <w:rPr>
                <w:b/>
                <w:bCs/>
              </w:rPr>
              <w:t xml:space="preserve">Recommendation 1.5.2 </w:t>
            </w:r>
            <w:r w:rsidRPr="00B0485F">
              <w:t>If non-surgical management for stress urinary incontinence has failed, and the woman wishes to think about a surgical procedure, offer her the choice of:</w:t>
            </w:r>
          </w:p>
          <w:p w14:paraId="60397F5C" w14:textId="77777777" w:rsidR="006464F8" w:rsidRPr="00B0485F" w:rsidRDefault="006464F8" w:rsidP="00713A63">
            <w:pPr>
              <w:pStyle w:val="051Tabletext228pt"/>
              <w:numPr>
                <w:ilvl w:val="0"/>
                <w:numId w:val="13"/>
              </w:numPr>
              <w:spacing w:before="120" w:after="120"/>
              <w:ind w:left="720"/>
            </w:pPr>
            <w:proofErr w:type="spellStart"/>
            <w:r w:rsidRPr="00B0485F">
              <w:t>colposuspension</w:t>
            </w:r>
            <w:proofErr w:type="spellEnd"/>
            <w:r w:rsidRPr="00B0485F">
              <w:t xml:space="preserve"> (open or laparoscopic) or</w:t>
            </w:r>
          </w:p>
          <w:p w14:paraId="18D7D64C" w14:textId="77777777" w:rsidR="006464F8" w:rsidRPr="00B0485F" w:rsidRDefault="006464F8" w:rsidP="00713A63">
            <w:pPr>
              <w:pStyle w:val="051Tabletext228pt"/>
              <w:numPr>
                <w:ilvl w:val="0"/>
                <w:numId w:val="13"/>
              </w:numPr>
              <w:spacing w:before="120" w:after="120"/>
              <w:ind w:left="720"/>
            </w:pPr>
            <w:r w:rsidRPr="00B0485F">
              <w:t>an autologous rectus fascial sling.</w:t>
            </w:r>
          </w:p>
          <w:p w14:paraId="2B44EE56" w14:textId="77777777" w:rsidR="006464F8" w:rsidRPr="00B0485F" w:rsidRDefault="006464F8" w:rsidP="00C94538">
            <w:pPr>
              <w:pStyle w:val="051Tabletext228pt"/>
              <w:spacing w:before="120" w:after="120"/>
              <w:ind w:left="360"/>
              <w:rPr>
                <w:bCs/>
              </w:rPr>
            </w:pPr>
            <w:r w:rsidRPr="00B0485F">
              <w:rPr>
                <w:bCs/>
              </w:rPr>
              <w:t>Also include the option of a retropubic mid-urethral mesh sling in this choice but see the recommendations in the section on mid-urethral mesh sling procedures for additional guidance on the use of mid-urethral mesh sling procedures for stress urinary incontinence. [2019]</w:t>
            </w:r>
          </w:p>
          <w:p w14:paraId="0E783316" w14:textId="77777777" w:rsidR="006464F8" w:rsidRPr="00B0485F" w:rsidRDefault="006464F8" w:rsidP="00C94538">
            <w:pPr>
              <w:pStyle w:val="051Tabletext228pt"/>
              <w:spacing w:before="120" w:after="120"/>
              <w:rPr>
                <w:bCs/>
              </w:rPr>
            </w:pPr>
            <w:r w:rsidRPr="00B0485F">
              <w:rPr>
                <w:b/>
              </w:rPr>
              <w:lastRenderedPageBreak/>
              <w:t xml:space="preserve">Recommendation 1.5.3 </w:t>
            </w:r>
            <w:r w:rsidRPr="00B0485F">
              <w:rPr>
                <w:bCs/>
              </w:rPr>
              <w:t>Consider intramural bulking agents to manage stress urinary incontinence if alternative surgical procedures are not suitable for or acceptable to the woman. Explain to the woman that:</w:t>
            </w:r>
          </w:p>
          <w:p w14:paraId="344C7E4D" w14:textId="77777777" w:rsidR="006464F8" w:rsidRPr="00B0485F" w:rsidRDefault="006464F8" w:rsidP="00713A63">
            <w:pPr>
              <w:pStyle w:val="051Tabletext228pt"/>
              <w:numPr>
                <w:ilvl w:val="0"/>
                <w:numId w:val="13"/>
              </w:numPr>
              <w:spacing w:before="120" w:after="120"/>
              <w:ind w:left="720"/>
            </w:pPr>
            <w:r w:rsidRPr="00B0485F">
              <w:t>these are permanent injectable materials</w:t>
            </w:r>
          </w:p>
          <w:p w14:paraId="7596295C" w14:textId="77777777" w:rsidR="006464F8" w:rsidRPr="00B0485F" w:rsidRDefault="006464F8" w:rsidP="00713A63">
            <w:pPr>
              <w:pStyle w:val="051Tabletext228pt"/>
              <w:numPr>
                <w:ilvl w:val="0"/>
                <w:numId w:val="13"/>
              </w:numPr>
              <w:spacing w:before="120" w:after="120"/>
              <w:ind w:left="720"/>
            </w:pPr>
            <w:r w:rsidRPr="00B0485F">
              <w:t>repeat injections may be needed to achieve effectiveness</w:t>
            </w:r>
          </w:p>
          <w:p w14:paraId="1CBDA303" w14:textId="77777777" w:rsidR="006464F8" w:rsidRPr="00B0485F" w:rsidRDefault="006464F8" w:rsidP="00713A63">
            <w:pPr>
              <w:pStyle w:val="051Tabletext228pt"/>
              <w:numPr>
                <w:ilvl w:val="0"/>
                <w:numId w:val="13"/>
              </w:numPr>
              <w:spacing w:before="120" w:after="120"/>
              <w:ind w:left="720"/>
            </w:pPr>
            <w:r w:rsidRPr="00B0485F">
              <w:t>limited evidence suggests that they are less effective than the surgical procedures listed in recommendation 1.5.2 and the effects wear off over time</w:t>
            </w:r>
          </w:p>
          <w:p w14:paraId="322375D8" w14:textId="77777777" w:rsidR="006464F8" w:rsidRPr="00B0485F" w:rsidRDefault="006464F8" w:rsidP="00713A63">
            <w:pPr>
              <w:pStyle w:val="051Tabletext228pt"/>
              <w:numPr>
                <w:ilvl w:val="0"/>
                <w:numId w:val="13"/>
              </w:numPr>
              <w:spacing w:before="120" w:after="120"/>
              <w:ind w:left="720"/>
            </w:pPr>
            <w:r w:rsidRPr="00B0485F">
              <w:t>there is limited evidence on long-term effectiveness and adverse events.</w:t>
            </w:r>
          </w:p>
          <w:p w14:paraId="156CAB73" w14:textId="77777777" w:rsidR="006464F8" w:rsidRPr="00B0485F" w:rsidRDefault="006464F8" w:rsidP="00C94538">
            <w:pPr>
              <w:pStyle w:val="051Tabletext228pt"/>
              <w:spacing w:before="120" w:after="120"/>
              <w:ind w:left="360"/>
              <w:rPr>
                <w:bCs/>
              </w:rPr>
            </w:pPr>
            <w:r w:rsidRPr="00B0485F">
              <w:rPr>
                <w:bCs/>
              </w:rPr>
              <w:t>[2019]</w:t>
            </w:r>
          </w:p>
          <w:p w14:paraId="04FA154D" w14:textId="77777777" w:rsidR="006464F8" w:rsidRPr="00B0485F" w:rsidRDefault="006464F8" w:rsidP="00C94538">
            <w:pPr>
              <w:pStyle w:val="051Tabletext228pt"/>
              <w:spacing w:before="120" w:after="120"/>
            </w:pPr>
            <w:r w:rsidRPr="00B0485F">
              <w:rPr>
                <w:b/>
              </w:rPr>
              <w:t xml:space="preserve">Recommendation 1.5.4 </w:t>
            </w:r>
            <w:r w:rsidRPr="00B0485F">
              <w:t>If an intramural bulking agent is injected, give the woman written information about the bulking agent, including its name, manufacturer, date of injection, and the injecting surgeon's name and contact details. [2019]</w:t>
            </w:r>
          </w:p>
          <w:p w14:paraId="090FD922" w14:textId="77777777" w:rsidR="006464F8" w:rsidRPr="00B0485F" w:rsidRDefault="006464F8" w:rsidP="00C94538">
            <w:pPr>
              <w:pStyle w:val="051Tabletext228pt"/>
              <w:spacing w:before="120" w:after="120"/>
              <w:rPr>
                <w:b/>
              </w:rPr>
            </w:pPr>
            <w:r w:rsidRPr="00B0485F">
              <w:rPr>
                <w:b/>
              </w:rPr>
              <w:t xml:space="preserve">Recommendation 1.5.5 </w:t>
            </w:r>
            <w:r w:rsidRPr="00B0485F">
              <w:rPr>
                <w:bCs/>
              </w:rPr>
              <w:t>If the woman's chosen procedure for stress urinary incontinence is not available from the consulting surgeon, refer her to an alternative surgeon. [2019]</w:t>
            </w:r>
          </w:p>
          <w:p w14:paraId="40099CA2" w14:textId="77777777" w:rsidR="006464F8" w:rsidRPr="00B0485F" w:rsidRDefault="006464F8" w:rsidP="00C94538">
            <w:pPr>
              <w:pStyle w:val="051Tabletext228pt"/>
              <w:spacing w:before="120" w:after="120"/>
              <w:rPr>
                <w:bCs/>
              </w:rPr>
            </w:pPr>
            <w:r w:rsidRPr="00B0485F">
              <w:rPr>
                <w:b/>
              </w:rPr>
              <w:t xml:space="preserve">Recommendation 1.5.6 </w:t>
            </w:r>
            <w:r w:rsidRPr="00B0485F">
              <w:rPr>
                <w:bCs/>
              </w:rPr>
              <w:t>Providers must ensure that data on surgical procedures for stress urinary incontinence are recorded in a national registry, as outlined in the section on collecting data on surgery and surgical complications in this guideline. [2019]</w:t>
            </w:r>
          </w:p>
          <w:p w14:paraId="4BCABDEE" w14:textId="77777777" w:rsidR="006464F8" w:rsidRPr="00B0485F" w:rsidRDefault="006464F8" w:rsidP="00C94538">
            <w:pPr>
              <w:pStyle w:val="051Tabletext228pt"/>
              <w:spacing w:before="120" w:after="120"/>
              <w:rPr>
                <w:b/>
              </w:rPr>
            </w:pPr>
            <w:r w:rsidRPr="00B0485F">
              <w:rPr>
                <w:b/>
              </w:rPr>
              <w:t>Mid-urethral mesh sling procedures</w:t>
            </w:r>
          </w:p>
          <w:p w14:paraId="3BE52D73" w14:textId="77777777" w:rsidR="006464F8" w:rsidRPr="00B0485F" w:rsidRDefault="006464F8" w:rsidP="00C94538">
            <w:pPr>
              <w:pStyle w:val="051Tabletext228pt"/>
              <w:spacing w:before="120" w:after="120"/>
              <w:rPr>
                <w:b/>
              </w:rPr>
            </w:pPr>
            <w:r w:rsidRPr="00B0485F">
              <w:rPr>
                <w:b/>
              </w:rPr>
              <w:t xml:space="preserve">Recommendation 1.5.7 </w:t>
            </w:r>
            <w:r w:rsidRPr="00B0485F">
              <w:rPr>
                <w:bCs/>
              </w:rPr>
              <w:t>When offering a retropubic mid-urethral mesh sling, advise the woman that it is a permanent implant and complete removal might not be possible. [2019]</w:t>
            </w:r>
          </w:p>
          <w:p w14:paraId="620D7462" w14:textId="77777777" w:rsidR="006464F8" w:rsidRPr="00B0485F" w:rsidRDefault="006464F8" w:rsidP="00C94538">
            <w:pPr>
              <w:pStyle w:val="051Tabletext228pt"/>
              <w:spacing w:before="120" w:after="120"/>
              <w:rPr>
                <w:b/>
              </w:rPr>
            </w:pPr>
            <w:r w:rsidRPr="00B0485F">
              <w:rPr>
                <w:b/>
              </w:rPr>
              <w:t xml:space="preserve">Recommendation 1.5.8 </w:t>
            </w:r>
            <w:r w:rsidRPr="00B0485F">
              <w:rPr>
                <w:bCs/>
              </w:rPr>
              <w:t>If a retropubic mid-urethral mesh sling is inserted, give the woman written information about the implant, including its name, manufacturer, date of insertion, and the implanting surgeon's name and contact details. [2019]</w:t>
            </w:r>
          </w:p>
          <w:p w14:paraId="3936CB1D" w14:textId="77777777" w:rsidR="006464F8" w:rsidRPr="00B0485F" w:rsidRDefault="006464F8" w:rsidP="00C94538">
            <w:pPr>
              <w:pStyle w:val="051Tabletext228pt"/>
              <w:spacing w:before="120" w:after="120"/>
              <w:rPr>
                <w:bCs/>
              </w:rPr>
            </w:pPr>
            <w:r w:rsidRPr="00B0485F">
              <w:rPr>
                <w:b/>
              </w:rPr>
              <w:t xml:space="preserve">Recommendation 1.5.9 </w:t>
            </w:r>
            <w:r w:rsidRPr="00B0485F">
              <w:rPr>
                <w:bCs/>
              </w:rPr>
              <w:t>When planning a retropubic mid-urethral mesh sling procedure, surgeons should:</w:t>
            </w:r>
          </w:p>
          <w:p w14:paraId="061AE683" w14:textId="77777777" w:rsidR="006464F8" w:rsidRPr="00B0485F" w:rsidRDefault="006464F8" w:rsidP="00713A63">
            <w:pPr>
              <w:pStyle w:val="051Tabletext228pt"/>
              <w:numPr>
                <w:ilvl w:val="0"/>
                <w:numId w:val="13"/>
              </w:numPr>
              <w:spacing w:before="120" w:after="120"/>
              <w:ind w:left="720"/>
            </w:pPr>
            <w:r w:rsidRPr="00B0485F">
              <w:t xml:space="preserve">use a device manufactured from type 1 </w:t>
            </w:r>
            <w:proofErr w:type="spellStart"/>
            <w:r w:rsidRPr="00B0485F">
              <w:t>macroporous</w:t>
            </w:r>
            <w:proofErr w:type="spellEnd"/>
            <w:r w:rsidRPr="00B0485F">
              <w:t xml:space="preserve"> polypropylene mesh</w:t>
            </w:r>
          </w:p>
          <w:p w14:paraId="5109F44C" w14:textId="77777777" w:rsidR="006464F8" w:rsidRPr="00B0485F" w:rsidRDefault="006464F8" w:rsidP="00713A63">
            <w:pPr>
              <w:pStyle w:val="051Tabletext228pt"/>
              <w:numPr>
                <w:ilvl w:val="0"/>
                <w:numId w:val="13"/>
              </w:numPr>
              <w:spacing w:before="120" w:after="120"/>
              <w:ind w:left="720"/>
            </w:pPr>
            <w:r w:rsidRPr="00B0485F">
              <w:t>consider using a retropubic mid-urethral mesh sling coloured for high visibility, for ease of insertion and revision. [2013, amended 2019]</w:t>
            </w:r>
          </w:p>
          <w:p w14:paraId="05EDF71B" w14:textId="77777777" w:rsidR="006464F8" w:rsidRPr="00B0485F" w:rsidRDefault="006464F8" w:rsidP="00C94538">
            <w:pPr>
              <w:pStyle w:val="051Tabletext228pt"/>
              <w:spacing w:before="120" w:after="120"/>
              <w:rPr>
                <w:b/>
              </w:rPr>
            </w:pPr>
            <w:r w:rsidRPr="00B0485F">
              <w:rPr>
                <w:b/>
              </w:rPr>
              <w:t xml:space="preserve">Recommendation 1.5.10 </w:t>
            </w:r>
            <w:r w:rsidRPr="00B0485F">
              <w:rPr>
                <w:bCs/>
              </w:rPr>
              <w:t xml:space="preserve">Do not offer a </w:t>
            </w:r>
            <w:proofErr w:type="spellStart"/>
            <w:r w:rsidRPr="00B0485F">
              <w:rPr>
                <w:bCs/>
              </w:rPr>
              <w:t>transobturator</w:t>
            </w:r>
            <w:proofErr w:type="spellEnd"/>
            <w:r w:rsidRPr="00B0485F">
              <w:rPr>
                <w:bCs/>
              </w:rPr>
              <w:t xml:space="preserve"> approach unless there are specific clinical circumstances (for example, previous pelvic procedures) in which the retropubic approach should be avoided. [2019]</w:t>
            </w:r>
          </w:p>
          <w:p w14:paraId="152D8514" w14:textId="77777777" w:rsidR="006464F8" w:rsidRPr="00B0485F" w:rsidRDefault="006464F8" w:rsidP="00C94538">
            <w:pPr>
              <w:pStyle w:val="051Tabletext228pt"/>
              <w:spacing w:before="120" w:after="120"/>
              <w:rPr>
                <w:b/>
              </w:rPr>
            </w:pPr>
            <w:r w:rsidRPr="00B0485F">
              <w:rPr>
                <w:b/>
              </w:rPr>
              <w:t xml:space="preserve">Recommendation 1.5.11 </w:t>
            </w:r>
            <w:r w:rsidRPr="00B0485F">
              <w:rPr>
                <w:bCs/>
              </w:rPr>
              <w:t>Do not use the 'top-down' retropubic mid-urethral mesh sling approach or single-incision sub-urethral short mesh sling insertion except as part of a clinical trial. [2019]</w:t>
            </w:r>
          </w:p>
        </w:tc>
      </w:tr>
      <w:tr w:rsidR="006464F8" w:rsidRPr="00B0485F" w14:paraId="6A7466C7" w14:textId="77777777" w:rsidTr="00C94538">
        <w:trPr>
          <w:cantSplit w:val="0"/>
        </w:trPr>
        <w:tc>
          <w:tcPr>
            <w:tcW w:w="1885" w:type="dxa"/>
          </w:tcPr>
          <w:p w14:paraId="3AE40572" w14:textId="77777777" w:rsidR="006464F8" w:rsidRPr="00B0485F" w:rsidRDefault="006464F8" w:rsidP="00C94538">
            <w:pPr>
              <w:pStyle w:val="051Tabletext228pt"/>
              <w:spacing w:after="120"/>
              <w:rPr>
                <w:b/>
                <w:bCs/>
              </w:rPr>
            </w:pPr>
            <w:r w:rsidRPr="00284D05">
              <w:rPr>
                <w:b/>
                <w:bCs/>
              </w:rPr>
              <w:lastRenderedPageBreak/>
              <w:t xml:space="preserve">Position statement. Mesh </w:t>
            </w:r>
            <w:proofErr w:type="spellStart"/>
            <w:r w:rsidRPr="00284D05">
              <w:rPr>
                <w:b/>
                <w:bCs/>
              </w:rPr>
              <w:t>midurethral</w:t>
            </w:r>
            <w:proofErr w:type="spellEnd"/>
            <w:r w:rsidRPr="00284D05">
              <w:rPr>
                <w:b/>
                <w:bCs/>
              </w:rPr>
              <w:t xml:space="preserve"> slings for stress urinary incontinence</w:t>
            </w:r>
          </w:p>
          <w:p w14:paraId="58B1C439" w14:textId="77777777" w:rsidR="006464F8" w:rsidRPr="00B0485F" w:rsidRDefault="006464F8" w:rsidP="00C94538">
            <w:pPr>
              <w:pStyle w:val="051Tabletext228pt"/>
              <w:spacing w:after="120"/>
              <w:rPr>
                <w:i/>
                <w:iCs/>
              </w:rPr>
            </w:pPr>
            <w:r w:rsidRPr="00B0485F">
              <w:rPr>
                <w:i/>
                <w:iCs/>
              </w:rPr>
              <w:t xml:space="preserve">American </w:t>
            </w:r>
            <w:proofErr w:type="spellStart"/>
            <w:r w:rsidRPr="00B0485F">
              <w:rPr>
                <w:i/>
                <w:iCs/>
              </w:rPr>
              <w:t>Urogynecologic</w:t>
            </w:r>
            <w:proofErr w:type="spellEnd"/>
            <w:r w:rsidRPr="00B0485F">
              <w:rPr>
                <w:i/>
                <w:iCs/>
              </w:rPr>
              <w:t xml:space="preserve"> Society (AUGS); Society of </w:t>
            </w:r>
            <w:r w:rsidRPr="00B0485F">
              <w:rPr>
                <w:i/>
                <w:iCs/>
              </w:rPr>
              <w:lastRenderedPageBreak/>
              <w:t>Urodynamics, Female Pelvic Medicine and Urogenital Reconstruction (SUFU)</w:t>
            </w:r>
          </w:p>
          <w:p w14:paraId="46CEC9FD" w14:textId="77777777" w:rsidR="006464F8" w:rsidRDefault="006464F8" w:rsidP="00C94538">
            <w:pPr>
              <w:pStyle w:val="051Tabletext228pt"/>
              <w:spacing w:after="120"/>
            </w:pPr>
            <w:r w:rsidRPr="00B0485F">
              <w:t>February 2018</w:t>
            </w:r>
          </w:p>
          <w:p w14:paraId="36C1A86F" w14:textId="4003C5D5" w:rsidR="00576B8D" w:rsidRPr="00576B8D" w:rsidRDefault="00245CE2" w:rsidP="00C94538">
            <w:pPr>
              <w:pStyle w:val="051Tabletext228pt"/>
              <w:spacing w:after="120"/>
            </w:pPr>
            <w:r>
              <w:rPr>
                <w:noProof/>
              </w:rPr>
              <w:t xml:space="preserve"> (</w:t>
            </w:r>
            <w:r w:rsidRPr="0091023E">
              <w:rPr>
                <w:i/>
                <w:noProof/>
              </w:rPr>
              <w:t>Position Statement Mesh Midurethral Slings for Stress Urinary Incontinence</w:t>
            </w:r>
            <w:r>
              <w:rPr>
                <w:noProof/>
              </w:rPr>
              <w:t xml:space="preserve">  2018)</w:t>
            </w:r>
          </w:p>
        </w:tc>
        <w:tc>
          <w:tcPr>
            <w:tcW w:w="2368" w:type="dxa"/>
          </w:tcPr>
          <w:p w14:paraId="3E67691D" w14:textId="01DD32CF" w:rsidR="006464F8" w:rsidRPr="00B0485F" w:rsidRDefault="006464F8" w:rsidP="00C94538">
            <w:pPr>
              <w:pStyle w:val="051Tabletext228pt"/>
              <w:spacing w:after="120"/>
            </w:pPr>
            <w:r w:rsidRPr="00B0485F">
              <w:lastRenderedPageBreak/>
              <w:t>Developed by a joint task force between AUGS and SUFU.</w:t>
            </w:r>
          </w:p>
          <w:p w14:paraId="20385F9E" w14:textId="1DF2DDA8" w:rsidR="006464F8" w:rsidRPr="00B0485F" w:rsidRDefault="006464F8" w:rsidP="00C94538">
            <w:pPr>
              <w:pStyle w:val="051Tabletext228pt"/>
              <w:spacing w:after="120"/>
            </w:pPr>
            <w:r w:rsidRPr="00B0485F">
              <w:t xml:space="preserve">Methodology </w:t>
            </w:r>
            <w:r w:rsidR="002329AE">
              <w:t>not reported</w:t>
            </w:r>
            <w:r w:rsidRPr="00B0485F">
              <w:t>.</w:t>
            </w:r>
          </w:p>
        </w:tc>
        <w:tc>
          <w:tcPr>
            <w:tcW w:w="10317" w:type="dxa"/>
          </w:tcPr>
          <w:p w14:paraId="2DB90153" w14:textId="77777777" w:rsidR="006464F8" w:rsidRPr="00B0485F" w:rsidRDefault="006464F8" w:rsidP="00713A63">
            <w:pPr>
              <w:pStyle w:val="051Tabletext228pt"/>
              <w:numPr>
                <w:ilvl w:val="0"/>
                <w:numId w:val="15"/>
              </w:numPr>
              <w:spacing w:after="120"/>
            </w:pPr>
            <w:r w:rsidRPr="00B0485F">
              <w:rPr>
                <w:i/>
                <w:iCs/>
              </w:rPr>
              <w:t xml:space="preserve">“The purpose of this position statement by the American </w:t>
            </w:r>
            <w:proofErr w:type="spellStart"/>
            <w:r w:rsidRPr="00B0485F">
              <w:rPr>
                <w:i/>
                <w:iCs/>
              </w:rPr>
              <w:t>Urogynecologic</w:t>
            </w:r>
            <w:proofErr w:type="spellEnd"/>
            <w:r w:rsidRPr="00B0485F">
              <w:rPr>
                <w:i/>
                <w:iCs/>
              </w:rPr>
              <w:t xml:space="preserve"> Society (AUGS) and the Society of Urodynamics, Female Pelvic Medicine and Urogenital Reconstruction (SUFU) is to support the use of the </w:t>
            </w:r>
            <w:proofErr w:type="spellStart"/>
            <w:r w:rsidRPr="00B0485F">
              <w:rPr>
                <w:i/>
                <w:iCs/>
              </w:rPr>
              <w:t>midurethral</w:t>
            </w:r>
            <w:proofErr w:type="spellEnd"/>
            <w:r w:rsidRPr="00B0485F">
              <w:rPr>
                <w:i/>
                <w:iCs/>
              </w:rPr>
              <w:t xml:space="preserve"> sling in the surgical management of stress urinary incontinence”</w:t>
            </w:r>
            <w:r w:rsidRPr="00B0485F">
              <w:t xml:space="preserve"> (p1)</w:t>
            </w:r>
          </w:p>
          <w:p w14:paraId="2D748739" w14:textId="77777777" w:rsidR="006464F8" w:rsidRPr="00B0485F" w:rsidRDefault="006464F8" w:rsidP="00713A63">
            <w:pPr>
              <w:pStyle w:val="051Tabletext228pt"/>
              <w:numPr>
                <w:ilvl w:val="0"/>
                <w:numId w:val="15"/>
              </w:numPr>
              <w:spacing w:before="120" w:after="120"/>
            </w:pPr>
            <w:r w:rsidRPr="00B0485F">
              <w:rPr>
                <w:i/>
                <w:iCs/>
              </w:rPr>
              <w:t xml:space="preserve">“This procedure is probably the most important advancement in the treatment of stress urinary incontinence in the last 50 years and has the full support of our organizations which are dedicated to improving the lives of women with urinary incontinence.” </w:t>
            </w:r>
            <w:r w:rsidRPr="00B0485F">
              <w:t>(p2)</w:t>
            </w:r>
          </w:p>
        </w:tc>
      </w:tr>
      <w:tr w:rsidR="006464F8" w:rsidRPr="00B0485F" w14:paraId="7B6B0953" w14:textId="77777777" w:rsidTr="00C94538">
        <w:trPr>
          <w:cantSplit w:val="0"/>
        </w:trPr>
        <w:tc>
          <w:tcPr>
            <w:tcW w:w="1885" w:type="dxa"/>
          </w:tcPr>
          <w:p w14:paraId="0E97CEAA" w14:textId="77777777" w:rsidR="006464F8" w:rsidRPr="00B0485F" w:rsidRDefault="006464F8" w:rsidP="00C94538">
            <w:pPr>
              <w:pStyle w:val="051Tabletext228pt"/>
              <w:spacing w:after="120"/>
              <w:rPr>
                <w:b/>
                <w:bCs/>
              </w:rPr>
            </w:pPr>
            <w:bookmarkStart w:id="235" w:name="_Hlk132798376"/>
            <w:r w:rsidRPr="00B0485F">
              <w:rPr>
                <w:b/>
                <w:bCs/>
              </w:rPr>
              <w:t>Care pathway for the Management of Stress Urinary Incontinence (SUI)</w:t>
            </w:r>
          </w:p>
          <w:bookmarkEnd w:id="235"/>
          <w:p w14:paraId="70E01896" w14:textId="77777777" w:rsidR="006464F8" w:rsidRPr="00B0485F" w:rsidRDefault="006464F8" w:rsidP="00C94538">
            <w:pPr>
              <w:pStyle w:val="051Tabletext228pt"/>
              <w:spacing w:after="120"/>
              <w:rPr>
                <w:i/>
                <w:iCs/>
              </w:rPr>
            </w:pPr>
            <w:r w:rsidRPr="00B0485F">
              <w:rPr>
                <w:i/>
                <w:iCs/>
              </w:rPr>
              <w:t>Australian Commission on Safety and Quality in Health Care (ACSQHC)</w:t>
            </w:r>
          </w:p>
          <w:p w14:paraId="124FD73A" w14:textId="77777777" w:rsidR="006464F8" w:rsidRDefault="006464F8" w:rsidP="00C94538">
            <w:pPr>
              <w:pStyle w:val="051Tabletext228pt"/>
              <w:spacing w:after="120"/>
            </w:pPr>
            <w:r w:rsidRPr="00B0485F">
              <w:t>2018</w:t>
            </w:r>
          </w:p>
          <w:p w14:paraId="601C219C" w14:textId="70BA1A02" w:rsidR="007B01E8" w:rsidRPr="00B0485F" w:rsidRDefault="00245CE2" w:rsidP="00C94538">
            <w:pPr>
              <w:pStyle w:val="051Tabletext228pt"/>
              <w:spacing w:after="120"/>
            </w:pPr>
            <w:r>
              <w:rPr>
                <w:noProof/>
              </w:rPr>
              <w:t xml:space="preserve"> (ACSQHC 2018a)</w:t>
            </w:r>
          </w:p>
        </w:tc>
        <w:tc>
          <w:tcPr>
            <w:tcW w:w="2368" w:type="dxa"/>
          </w:tcPr>
          <w:p w14:paraId="324245E6" w14:textId="2DC77610" w:rsidR="006464F8" w:rsidRPr="00B0485F" w:rsidRDefault="006464F8" w:rsidP="00C94538">
            <w:pPr>
              <w:pStyle w:val="051Tabletext228pt"/>
              <w:rPr>
                <w:bCs/>
              </w:rPr>
            </w:pPr>
            <w:r w:rsidRPr="00B0485F">
              <w:rPr>
                <w:bCs/>
              </w:rPr>
              <w:t>Adapted from UGSA Surgical treatment of SUI pathway (2016).</w:t>
            </w:r>
          </w:p>
          <w:p w14:paraId="3380556F" w14:textId="77777777" w:rsidR="006464F8" w:rsidRPr="00B0485F" w:rsidRDefault="006464F8" w:rsidP="00C94538">
            <w:pPr>
              <w:pStyle w:val="051Tabletext228pt"/>
              <w:rPr>
                <w:bCs/>
              </w:rPr>
            </w:pPr>
            <w:r w:rsidRPr="00B0485F">
              <w:rPr>
                <w:bCs/>
              </w:rPr>
              <w:t xml:space="preserve">Grade of Recommendation derived from the 5th International Consultation on Incontinence (see Int </w:t>
            </w:r>
            <w:proofErr w:type="spellStart"/>
            <w:r w:rsidRPr="00B0485F">
              <w:rPr>
                <w:bCs/>
              </w:rPr>
              <w:t>Urogynecol</w:t>
            </w:r>
            <w:proofErr w:type="spellEnd"/>
            <w:r w:rsidRPr="00B0485F">
              <w:rPr>
                <w:bCs/>
              </w:rPr>
              <w:t xml:space="preserve"> J. 2013 Nov;24(11):1781) and expert opinion.</w:t>
            </w:r>
          </w:p>
        </w:tc>
        <w:tc>
          <w:tcPr>
            <w:tcW w:w="10317" w:type="dxa"/>
          </w:tcPr>
          <w:p w14:paraId="5D5A44BC" w14:textId="77777777" w:rsidR="006464F8" w:rsidRPr="00B0485F" w:rsidRDefault="006464F8" w:rsidP="00C94538">
            <w:pPr>
              <w:pStyle w:val="051Tabletext228pt"/>
              <w:rPr>
                <w:b/>
              </w:rPr>
            </w:pPr>
            <w:r w:rsidRPr="00B0485F">
              <w:rPr>
                <w:b/>
              </w:rPr>
              <w:t>Mid-urethral sling (synthetic mesh)</w:t>
            </w:r>
          </w:p>
          <w:p w14:paraId="6B0BD016"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The most extensively researched option for SUI establishing efficacy and safety profile (Grade A)</w:t>
            </w:r>
          </w:p>
          <w:p w14:paraId="3F3ADC7F"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 xml:space="preserve">As effective or more effective than </w:t>
            </w:r>
            <w:proofErr w:type="spellStart"/>
            <w:r w:rsidRPr="00B0485F">
              <w:rPr>
                <w:rFonts w:ascii="Calibri" w:hAnsi="Calibri"/>
                <w:sz w:val="16"/>
                <w:szCs w:val="22"/>
                <w:lang w:eastAsia="ja-JP"/>
              </w:rPr>
              <w:t>colposuspension</w:t>
            </w:r>
            <w:proofErr w:type="spellEnd"/>
            <w:r w:rsidRPr="00B0485F">
              <w:rPr>
                <w:rFonts w:ascii="Calibri" w:hAnsi="Calibri"/>
                <w:sz w:val="16"/>
                <w:szCs w:val="22"/>
                <w:lang w:eastAsia="ja-JP"/>
              </w:rPr>
              <w:t xml:space="preserve"> or pubovaginal sling with less perioperative and post-operative morbidity (Grade B)</w:t>
            </w:r>
          </w:p>
          <w:p w14:paraId="5029BB65"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Recommended surgical treatment female SUI (Grade C)</w:t>
            </w:r>
          </w:p>
          <w:p w14:paraId="6C06E190" w14:textId="77777777" w:rsidR="006464F8" w:rsidRPr="00B0485F" w:rsidRDefault="006464F8" w:rsidP="00C94538">
            <w:pPr>
              <w:pStyle w:val="051Tabletext228pt"/>
              <w:rPr>
                <w:b/>
              </w:rPr>
            </w:pPr>
            <w:r w:rsidRPr="00B0485F">
              <w:rPr>
                <w:b/>
              </w:rPr>
              <w:t xml:space="preserve">Retropubic versus </w:t>
            </w:r>
            <w:proofErr w:type="spellStart"/>
            <w:r w:rsidRPr="00B0485F">
              <w:rPr>
                <w:b/>
              </w:rPr>
              <w:t>transobturator</w:t>
            </w:r>
            <w:proofErr w:type="spellEnd"/>
            <w:r w:rsidRPr="00B0485F">
              <w:rPr>
                <w:b/>
              </w:rPr>
              <w:t xml:space="preserve"> mid-urethral sling</w:t>
            </w:r>
          </w:p>
          <w:p w14:paraId="5F084347"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 xml:space="preserve">In the short‐term there are similar success rates for retropubic and </w:t>
            </w:r>
            <w:proofErr w:type="spellStart"/>
            <w:r w:rsidRPr="00B0485F">
              <w:rPr>
                <w:rFonts w:ascii="Calibri" w:hAnsi="Calibri"/>
                <w:sz w:val="16"/>
                <w:szCs w:val="22"/>
                <w:lang w:eastAsia="ja-JP"/>
              </w:rPr>
              <w:t>transobturator</w:t>
            </w:r>
            <w:proofErr w:type="spellEnd"/>
            <w:r w:rsidRPr="00B0485F">
              <w:rPr>
                <w:rFonts w:ascii="Calibri" w:hAnsi="Calibri"/>
                <w:sz w:val="16"/>
                <w:szCs w:val="22"/>
                <w:lang w:eastAsia="ja-JP"/>
              </w:rPr>
              <w:t xml:space="preserve"> mid urethral slings (Grade A)</w:t>
            </w:r>
          </w:p>
          <w:p w14:paraId="5B09DF45"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Obturator tapes are slightly quicker, with less blood loss, bladder perforation and voiding dysfunction difficulties. Most of these differences were small and the complications are readily able to be managed. (Grade A)</w:t>
            </w:r>
          </w:p>
          <w:p w14:paraId="24C74A29" w14:textId="113EAD5D" w:rsidR="006464F8" w:rsidRPr="00B0485F" w:rsidRDefault="006464F8" w:rsidP="00713A63">
            <w:pPr>
              <w:pStyle w:val="ListParagraph"/>
              <w:numPr>
                <w:ilvl w:val="0"/>
                <w:numId w:val="22"/>
              </w:numPr>
              <w:rPr>
                <w:rFonts w:ascii="Calibri" w:hAnsi="Calibri"/>
                <w:sz w:val="16"/>
                <w:szCs w:val="22"/>
                <w:lang w:eastAsia="ja-JP"/>
              </w:rPr>
            </w:pPr>
            <w:proofErr w:type="gramStart"/>
            <w:r w:rsidRPr="00B0485F">
              <w:rPr>
                <w:rFonts w:ascii="Calibri" w:hAnsi="Calibri"/>
                <w:sz w:val="16"/>
                <w:szCs w:val="22"/>
                <w:lang w:eastAsia="ja-JP"/>
              </w:rPr>
              <w:t>However</w:t>
            </w:r>
            <w:proofErr w:type="gramEnd"/>
            <w:r w:rsidRPr="00B0485F">
              <w:rPr>
                <w:rFonts w:ascii="Calibri" w:hAnsi="Calibri"/>
                <w:sz w:val="16"/>
                <w:szCs w:val="22"/>
                <w:lang w:eastAsia="ja-JP"/>
              </w:rPr>
              <w:t xml:space="preserve"> in the medium</w:t>
            </w:r>
            <w:r w:rsidR="007F181F">
              <w:rPr>
                <w:rFonts w:ascii="Calibri" w:hAnsi="Calibri"/>
                <w:sz w:val="16"/>
                <w:szCs w:val="22"/>
                <w:lang w:eastAsia="ja-JP"/>
              </w:rPr>
              <w:t>-</w:t>
            </w:r>
            <w:r w:rsidRPr="00B0485F">
              <w:rPr>
                <w:rFonts w:ascii="Calibri" w:hAnsi="Calibri"/>
                <w:sz w:val="16"/>
                <w:szCs w:val="22"/>
                <w:lang w:eastAsia="ja-JP"/>
              </w:rPr>
              <w:t>term (&gt;5 years) the reoperation for recurrent SUI greater in obturator group and a small number developed groin pain (3-4%) that is difficult to treat. (Grade B)</w:t>
            </w:r>
          </w:p>
          <w:p w14:paraId="0C74D68C"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 xml:space="preserve">Retropubic considered as the preferred procedure with </w:t>
            </w:r>
            <w:proofErr w:type="spellStart"/>
            <w:r w:rsidRPr="00B0485F">
              <w:rPr>
                <w:rFonts w:ascii="Calibri" w:hAnsi="Calibri"/>
                <w:sz w:val="16"/>
                <w:szCs w:val="22"/>
                <w:lang w:eastAsia="ja-JP"/>
              </w:rPr>
              <w:t>transobturator</w:t>
            </w:r>
            <w:proofErr w:type="spellEnd"/>
            <w:r w:rsidRPr="00B0485F">
              <w:rPr>
                <w:rFonts w:ascii="Calibri" w:hAnsi="Calibri"/>
                <w:sz w:val="16"/>
                <w:szCs w:val="22"/>
                <w:lang w:eastAsia="ja-JP"/>
              </w:rPr>
              <w:t xml:space="preserve"> reserved for those patients with a hostile abdomen (Grade C)</w:t>
            </w:r>
          </w:p>
          <w:p w14:paraId="79576F8E" w14:textId="77777777" w:rsidR="006464F8" w:rsidRPr="00B0485F" w:rsidRDefault="006464F8" w:rsidP="00C94538">
            <w:pPr>
              <w:pStyle w:val="051Tabletext228pt"/>
              <w:rPr>
                <w:b/>
              </w:rPr>
            </w:pPr>
            <w:r w:rsidRPr="00B0485F">
              <w:rPr>
                <w:b/>
              </w:rPr>
              <w:t>Bulking agent</w:t>
            </w:r>
          </w:p>
          <w:p w14:paraId="2A5F8B5B"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 xml:space="preserve">May be a useful option for recurrent SUI with a </w:t>
            </w:r>
            <w:proofErr w:type="spellStart"/>
            <w:r w:rsidRPr="00B0485F">
              <w:rPr>
                <w:rFonts w:ascii="Calibri" w:hAnsi="Calibri"/>
                <w:sz w:val="16"/>
                <w:szCs w:val="22"/>
                <w:lang w:eastAsia="ja-JP"/>
              </w:rPr>
              <w:t>well supported</w:t>
            </w:r>
            <w:proofErr w:type="spellEnd"/>
            <w:r w:rsidRPr="00B0485F">
              <w:rPr>
                <w:rFonts w:ascii="Calibri" w:hAnsi="Calibri"/>
                <w:sz w:val="16"/>
                <w:szCs w:val="22"/>
                <w:lang w:eastAsia="ja-JP"/>
              </w:rPr>
              <w:t xml:space="preserve"> urethra (Grade B)</w:t>
            </w:r>
          </w:p>
          <w:p w14:paraId="2E71E3C6"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Greater symptomatic improvement was observed with surgical treatments, although the advantage needs to be balanced against risk of intervention (Grade C)</w:t>
            </w:r>
          </w:p>
          <w:p w14:paraId="623BE1DE"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Consider in women wishing to avoid mesh‐related complications (ungraded)</w:t>
            </w:r>
          </w:p>
          <w:p w14:paraId="2E54F1AB" w14:textId="77777777" w:rsidR="006464F8" w:rsidRPr="00B0485F" w:rsidRDefault="006464F8" w:rsidP="00C94538">
            <w:pPr>
              <w:pStyle w:val="051Tabletext228pt"/>
              <w:rPr>
                <w:b/>
              </w:rPr>
            </w:pPr>
            <w:proofErr w:type="spellStart"/>
            <w:r w:rsidRPr="00B0485F">
              <w:rPr>
                <w:b/>
              </w:rPr>
              <w:t>Colposuspension</w:t>
            </w:r>
            <w:proofErr w:type="spellEnd"/>
            <w:r w:rsidRPr="00B0485F">
              <w:rPr>
                <w:b/>
              </w:rPr>
              <w:t xml:space="preserve"> (native tissue)</w:t>
            </w:r>
          </w:p>
          <w:p w14:paraId="0BC7F5CE"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Inferior outcomes to pubovaginal slings for primary repair, possibly with less voiding dysfunction (Grade B)</w:t>
            </w:r>
          </w:p>
          <w:p w14:paraId="112D9AA8" w14:textId="4B608273"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Outcomes similar or slightly less than synthetic MUS however longer operating time and recovery, slower return to activities of daily living and more prolapse in medium</w:t>
            </w:r>
            <w:r w:rsidR="007F181F">
              <w:rPr>
                <w:rFonts w:ascii="Calibri" w:hAnsi="Calibri"/>
                <w:sz w:val="16"/>
                <w:szCs w:val="22"/>
                <w:lang w:eastAsia="ja-JP"/>
              </w:rPr>
              <w:t>-</w:t>
            </w:r>
            <w:r w:rsidRPr="00B0485F">
              <w:rPr>
                <w:rFonts w:ascii="Calibri" w:hAnsi="Calibri"/>
                <w:sz w:val="16"/>
                <w:szCs w:val="22"/>
                <w:lang w:eastAsia="ja-JP"/>
              </w:rPr>
              <w:t>term (Grade B)</w:t>
            </w:r>
          </w:p>
          <w:p w14:paraId="1D92E910"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Laparoscopic approach when performed same technique as open has similar success rate with less morbidity than open approach (Grade B)</w:t>
            </w:r>
          </w:p>
          <w:p w14:paraId="2803CFF9"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Lower rates of success, with higher retreatment rates, when compared to pubovaginal slings for primary repair (Grade B)</w:t>
            </w:r>
          </w:p>
          <w:p w14:paraId="354E5009" w14:textId="77777777" w:rsidR="006464F8" w:rsidRPr="00B0485F" w:rsidRDefault="006464F8" w:rsidP="00C94538">
            <w:pPr>
              <w:pStyle w:val="051Tabletext228pt"/>
              <w:rPr>
                <w:b/>
              </w:rPr>
            </w:pPr>
            <w:r w:rsidRPr="00B0485F">
              <w:rPr>
                <w:b/>
              </w:rPr>
              <w:t>Pubovaginal sling (native tissue)</w:t>
            </w:r>
          </w:p>
          <w:p w14:paraId="1861352D"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Similar success rates compared to MUS with longer operating time and possibly higher voiding dysfunction; fascial sling has lower rates of chronic pelvic pain, no risk of erosion or extrusion, and higher rates of post‐operative morbidity (Grade B)</w:t>
            </w:r>
          </w:p>
          <w:p w14:paraId="6441B2E5"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Lower rate of bladder perforation during surgery compared to MUS. (Grade B)</w:t>
            </w:r>
          </w:p>
          <w:p w14:paraId="4778FA32"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t xml:space="preserve">Fascial sling has higher patient satisfaction and treatment success compared to </w:t>
            </w:r>
            <w:proofErr w:type="spellStart"/>
            <w:r w:rsidRPr="00B0485F">
              <w:rPr>
                <w:rFonts w:ascii="Calibri" w:hAnsi="Calibri"/>
                <w:sz w:val="16"/>
                <w:szCs w:val="22"/>
                <w:lang w:eastAsia="ja-JP"/>
              </w:rPr>
              <w:t>colposuspension</w:t>
            </w:r>
            <w:proofErr w:type="spellEnd"/>
            <w:r w:rsidRPr="00B0485F">
              <w:rPr>
                <w:rFonts w:ascii="Calibri" w:hAnsi="Calibri"/>
                <w:sz w:val="16"/>
                <w:szCs w:val="22"/>
                <w:lang w:eastAsia="ja-JP"/>
              </w:rPr>
              <w:t xml:space="preserve"> (Grade B)</w:t>
            </w:r>
          </w:p>
          <w:p w14:paraId="07232570" w14:textId="77777777" w:rsidR="006464F8" w:rsidRPr="00B0485F" w:rsidRDefault="006464F8" w:rsidP="00713A63">
            <w:pPr>
              <w:pStyle w:val="ListParagraph"/>
              <w:numPr>
                <w:ilvl w:val="0"/>
                <w:numId w:val="22"/>
              </w:numPr>
              <w:rPr>
                <w:rFonts w:ascii="Calibri" w:hAnsi="Calibri"/>
                <w:sz w:val="16"/>
                <w:szCs w:val="22"/>
                <w:lang w:eastAsia="ja-JP"/>
              </w:rPr>
            </w:pPr>
            <w:r w:rsidRPr="00B0485F">
              <w:rPr>
                <w:rFonts w:ascii="Calibri" w:hAnsi="Calibri"/>
                <w:sz w:val="16"/>
                <w:szCs w:val="22"/>
                <w:lang w:eastAsia="ja-JP"/>
              </w:rPr>
              <w:lastRenderedPageBreak/>
              <w:t xml:space="preserve">Involves a longer operation, post‐operative hospital </w:t>
            </w:r>
            <w:proofErr w:type="gramStart"/>
            <w:r w:rsidRPr="00B0485F">
              <w:rPr>
                <w:rFonts w:ascii="Calibri" w:hAnsi="Calibri"/>
                <w:sz w:val="16"/>
                <w:szCs w:val="22"/>
                <w:lang w:eastAsia="ja-JP"/>
              </w:rPr>
              <w:t>stay</w:t>
            </w:r>
            <w:proofErr w:type="gramEnd"/>
            <w:r w:rsidRPr="00B0485F">
              <w:rPr>
                <w:rFonts w:ascii="Calibri" w:hAnsi="Calibri"/>
                <w:sz w:val="16"/>
                <w:szCs w:val="22"/>
                <w:lang w:eastAsia="ja-JP"/>
              </w:rPr>
              <w:t xml:space="preserve"> (2–3 days) and recovery period than MUS (Grade B)</w:t>
            </w:r>
          </w:p>
          <w:p w14:paraId="6A5FE1EC" w14:textId="77777777" w:rsidR="006464F8" w:rsidRPr="00B0485F" w:rsidRDefault="006464F8" w:rsidP="00713A63">
            <w:pPr>
              <w:pStyle w:val="ListParagraph"/>
              <w:numPr>
                <w:ilvl w:val="0"/>
                <w:numId w:val="22"/>
              </w:numPr>
              <w:shd w:val="clear" w:color="auto" w:fill="FFFFFF"/>
              <w:spacing w:before="100" w:beforeAutospacing="1" w:after="100" w:afterAutospacing="1"/>
              <w:rPr>
                <w:rFonts w:ascii="Calibri" w:hAnsi="Calibri"/>
                <w:sz w:val="16"/>
                <w:szCs w:val="22"/>
                <w:lang w:eastAsia="ja-JP"/>
              </w:rPr>
            </w:pPr>
            <w:r w:rsidRPr="00B0485F">
              <w:rPr>
                <w:rFonts w:ascii="Calibri" w:hAnsi="Calibri"/>
                <w:sz w:val="16"/>
                <w:szCs w:val="22"/>
                <w:lang w:eastAsia="ja-JP"/>
              </w:rPr>
              <w:t>Consider in women wishing to avoid mesh‐related complications (ungraded)</w:t>
            </w:r>
          </w:p>
        </w:tc>
      </w:tr>
      <w:tr w:rsidR="006464F8" w:rsidRPr="00B0485F" w14:paraId="500BF912" w14:textId="77777777" w:rsidTr="00C94538">
        <w:trPr>
          <w:cantSplit w:val="0"/>
        </w:trPr>
        <w:tc>
          <w:tcPr>
            <w:tcW w:w="1885" w:type="dxa"/>
          </w:tcPr>
          <w:p w14:paraId="5451B940" w14:textId="77777777" w:rsidR="006464F8" w:rsidRPr="00B0485F" w:rsidRDefault="006464F8" w:rsidP="00C94538">
            <w:pPr>
              <w:pStyle w:val="051Tabletext228pt"/>
              <w:spacing w:after="120"/>
              <w:rPr>
                <w:b/>
                <w:bCs/>
              </w:rPr>
            </w:pPr>
            <w:r w:rsidRPr="002F10EE">
              <w:rPr>
                <w:b/>
                <w:bCs/>
              </w:rPr>
              <w:lastRenderedPageBreak/>
              <w:t xml:space="preserve">Position statement. Mesh </w:t>
            </w:r>
            <w:proofErr w:type="spellStart"/>
            <w:r w:rsidRPr="002F10EE">
              <w:rPr>
                <w:b/>
                <w:bCs/>
              </w:rPr>
              <w:t>midurethral</w:t>
            </w:r>
            <w:proofErr w:type="spellEnd"/>
            <w:r w:rsidRPr="002F10EE">
              <w:rPr>
                <w:b/>
                <w:bCs/>
              </w:rPr>
              <w:t xml:space="preserve"> slings</w:t>
            </w:r>
          </w:p>
          <w:p w14:paraId="5E3CAF14" w14:textId="77777777" w:rsidR="006464F8" w:rsidRPr="00B0485F" w:rsidRDefault="006464F8" w:rsidP="00C94538">
            <w:pPr>
              <w:pStyle w:val="051Tabletext228pt"/>
              <w:spacing w:after="120"/>
              <w:rPr>
                <w:i/>
                <w:iCs/>
              </w:rPr>
            </w:pPr>
            <w:r w:rsidRPr="00B0485F">
              <w:rPr>
                <w:i/>
                <w:iCs/>
              </w:rPr>
              <w:t>Urological Society of Australia and New Zealand (USANZ)</w:t>
            </w:r>
          </w:p>
          <w:p w14:paraId="4BCB081A" w14:textId="77777777" w:rsidR="006464F8" w:rsidRDefault="006464F8" w:rsidP="00C94538">
            <w:pPr>
              <w:pStyle w:val="051Tabletext228pt"/>
              <w:spacing w:after="120"/>
            </w:pPr>
            <w:r w:rsidRPr="00B0485F">
              <w:t>August 2015</w:t>
            </w:r>
          </w:p>
          <w:p w14:paraId="59158282" w14:textId="55597261" w:rsidR="002F10EE" w:rsidRPr="00B0485F" w:rsidRDefault="00245CE2" w:rsidP="00C94538">
            <w:pPr>
              <w:pStyle w:val="051Tabletext228pt"/>
              <w:spacing w:after="120"/>
            </w:pPr>
            <w:r>
              <w:rPr>
                <w:noProof/>
              </w:rPr>
              <w:t xml:space="preserve"> (USANZ 2015)</w:t>
            </w:r>
          </w:p>
        </w:tc>
        <w:tc>
          <w:tcPr>
            <w:tcW w:w="2368" w:type="dxa"/>
          </w:tcPr>
          <w:p w14:paraId="293C92D0" w14:textId="6C681384" w:rsidR="006464F8" w:rsidRPr="00B0485F" w:rsidRDefault="006464F8" w:rsidP="00C94538">
            <w:pPr>
              <w:pStyle w:val="051Tabletext228pt"/>
            </w:pPr>
            <w:r w:rsidRPr="00B0485F">
              <w:t xml:space="preserve">Drawn in part from </w:t>
            </w:r>
            <w:r w:rsidR="00CE42B2">
              <w:t>AUGS</w:t>
            </w:r>
            <w:r w:rsidRPr="00B0485F">
              <w:t>,</w:t>
            </w:r>
            <w:r w:rsidR="001A48D4">
              <w:t xml:space="preserve"> UGSA and the</w:t>
            </w:r>
            <w:r w:rsidRPr="00B0485F">
              <w:t xml:space="preserve"> International </w:t>
            </w:r>
            <w:proofErr w:type="spellStart"/>
            <w:r w:rsidRPr="00B0485F">
              <w:t>Urogynaecological</w:t>
            </w:r>
            <w:proofErr w:type="spellEnd"/>
            <w:r w:rsidRPr="00B0485F">
              <w:t xml:space="preserve"> Society</w:t>
            </w:r>
          </w:p>
          <w:p w14:paraId="13D90A62" w14:textId="3016ED0C" w:rsidR="006464F8" w:rsidRPr="00B0485F" w:rsidRDefault="006464F8" w:rsidP="00C94538">
            <w:pPr>
              <w:pStyle w:val="051Tabletext228pt"/>
            </w:pPr>
            <w:r w:rsidRPr="00B0485F">
              <w:t xml:space="preserve">and the </w:t>
            </w:r>
            <w:proofErr w:type="spellStart"/>
            <w:r w:rsidRPr="00B0485F">
              <w:t>Urogynaecological</w:t>
            </w:r>
            <w:proofErr w:type="spellEnd"/>
            <w:r w:rsidRPr="00B0485F">
              <w:t xml:space="preserve"> Society of Australasia statements on mid-urethral slings.</w:t>
            </w:r>
          </w:p>
        </w:tc>
        <w:tc>
          <w:tcPr>
            <w:tcW w:w="10317" w:type="dxa"/>
          </w:tcPr>
          <w:p w14:paraId="08701CC2" w14:textId="77777777" w:rsidR="006464F8" w:rsidRPr="00B0485F" w:rsidRDefault="006464F8" w:rsidP="00713A63">
            <w:pPr>
              <w:pStyle w:val="051Tabletext228pt"/>
              <w:numPr>
                <w:ilvl w:val="0"/>
                <w:numId w:val="15"/>
              </w:numPr>
            </w:pPr>
            <w:r w:rsidRPr="00B0485F">
              <w:rPr>
                <w:i/>
                <w:iCs/>
              </w:rPr>
              <w:t>“USANZ acknowledges that the use of monofilament polypropylene mid-urethral slings for the surgical treatment of female stress urinary incontinence is a reasonable treatment option.”</w:t>
            </w:r>
            <w:r w:rsidRPr="00B0485F">
              <w:t xml:space="preserve"> (p1)</w:t>
            </w:r>
          </w:p>
        </w:tc>
      </w:tr>
      <w:tr w:rsidR="006464F8" w:rsidRPr="00B0485F" w14:paraId="020B37C0" w14:textId="77777777" w:rsidTr="00C94538">
        <w:trPr>
          <w:cantSplit w:val="0"/>
        </w:trPr>
        <w:tc>
          <w:tcPr>
            <w:tcW w:w="1885" w:type="dxa"/>
          </w:tcPr>
          <w:p w14:paraId="765F0306" w14:textId="77777777" w:rsidR="006464F8" w:rsidRPr="00B0485F" w:rsidRDefault="006464F8" w:rsidP="00C94538">
            <w:pPr>
              <w:pStyle w:val="051Tabletext228pt"/>
              <w:spacing w:after="120"/>
              <w:rPr>
                <w:b/>
                <w:bCs/>
              </w:rPr>
            </w:pPr>
            <w:r w:rsidRPr="0055436F">
              <w:rPr>
                <w:b/>
                <w:bCs/>
              </w:rPr>
              <w:t>Position statement on mid-urethral slings for stress urinary incontinence</w:t>
            </w:r>
          </w:p>
          <w:p w14:paraId="3603F511" w14:textId="77777777" w:rsidR="006464F8" w:rsidRPr="00B0485F" w:rsidRDefault="006464F8" w:rsidP="00C94538">
            <w:pPr>
              <w:pStyle w:val="051Tabletext228pt"/>
              <w:spacing w:after="120"/>
              <w:rPr>
                <w:i/>
                <w:iCs/>
              </w:rPr>
            </w:pPr>
            <w:r w:rsidRPr="00B0485F">
              <w:rPr>
                <w:i/>
                <w:iCs/>
              </w:rPr>
              <w:t xml:space="preserve">International </w:t>
            </w:r>
            <w:proofErr w:type="spellStart"/>
            <w:r w:rsidRPr="00B0485F">
              <w:rPr>
                <w:i/>
                <w:iCs/>
              </w:rPr>
              <w:t>Urogynecological</w:t>
            </w:r>
            <w:proofErr w:type="spellEnd"/>
            <w:r w:rsidRPr="00B0485F">
              <w:rPr>
                <w:i/>
                <w:iCs/>
              </w:rPr>
              <w:t xml:space="preserve"> Association (IUGA)</w:t>
            </w:r>
          </w:p>
          <w:p w14:paraId="75EDB4DE" w14:textId="77777777" w:rsidR="006464F8" w:rsidRDefault="006464F8" w:rsidP="00C94538">
            <w:pPr>
              <w:pStyle w:val="051Tabletext228pt"/>
              <w:spacing w:after="120"/>
            </w:pPr>
            <w:r w:rsidRPr="00B0485F">
              <w:t>July 2014</w:t>
            </w:r>
          </w:p>
          <w:p w14:paraId="50DD58A1" w14:textId="36A47B7E" w:rsidR="0055436F" w:rsidRPr="00B0485F" w:rsidRDefault="00245CE2" w:rsidP="00C94538">
            <w:pPr>
              <w:pStyle w:val="051Tabletext228pt"/>
              <w:spacing w:after="120"/>
            </w:pPr>
            <w:r>
              <w:rPr>
                <w:noProof/>
              </w:rPr>
              <w:t xml:space="preserve"> (IUGA 2014)</w:t>
            </w:r>
          </w:p>
        </w:tc>
        <w:tc>
          <w:tcPr>
            <w:tcW w:w="2368" w:type="dxa"/>
          </w:tcPr>
          <w:p w14:paraId="569DEEF4" w14:textId="6E105175" w:rsidR="006464F8" w:rsidRPr="00B0485F" w:rsidRDefault="00CE42B2" w:rsidP="00C94538">
            <w:pPr>
              <w:pStyle w:val="051Tabletext228pt"/>
            </w:pPr>
            <w:r>
              <w:t>Not reported</w:t>
            </w:r>
          </w:p>
        </w:tc>
        <w:tc>
          <w:tcPr>
            <w:tcW w:w="10317" w:type="dxa"/>
          </w:tcPr>
          <w:p w14:paraId="03E4F803" w14:textId="77777777" w:rsidR="006464F8" w:rsidRPr="00B0485F" w:rsidRDefault="006464F8" w:rsidP="00713A63">
            <w:pPr>
              <w:pStyle w:val="051Tabletext228pt"/>
              <w:numPr>
                <w:ilvl w:val="0"/>
                <w:numId w:val="15"/>
              </w:numPr>
            </w:pPr>
            <w:r w:rsidRPr="00B0485F">
              <w:rPr>
                <w:i/>
                <w:iCs/>
              </w:rPr>
              <w:t>“IUGA supports the use of monofilament polypropylene mid-urethral slings for the surgical treatment of female stress urinary incontinence”</w:t>
            </w:r>
          </w:p>
        </w:tc>
      </w:tr>
    </w:tbl>
    <w:p w14:paraId="03667E1F" w14:textId="3C8AA138" w:rsidR="006464F8" w:rsidRPr="00B0485F" w:rsidRDefault="006464F8" w:rsidP="006464F8">
      <w:pPr>
        <w:pStyle w:val="101Tablefootnotes8pt"/>
      </w:pPr>
      <w:r w:rsidRPr="00B0485F">
        <w:t xml:space="preserve">Abbreviations: </w:t>
      </w:r>
      <w:r w:rsidR="008E4B0C">
        <w:t xml:space="preserve">AUGS, </w:t>
      </w:r>
      <w:r w:rsidR="008E4B0C" w:rsidRPr="00B0485F">
        <w:t xml:space="preserve">American </w:t>
      </w:r>
      <w:proofErr w:type="spellStart"/>
      <w:r w:rsidR="008E4B0C" w:rsidRPr="00B0485F">
        <w:t>Urogynecologic</w:t>
      </w:r>
      <w:proofErr w:type="spellEnd"/>
      <w:r w:rsidR="008E4B0C" w:rsidRPr="00B0485F">
        <w:t xml:space="preserve"> Society</w:t>
      </w:r>
      <w:r w:rsidR="008E4B0C">
        <w:t xml:space="preserve">; </w:t>
      </w:r>
      <w:r w:rsidR="008A11A2">
        <w:t>EBR, evidence-based recommendation;</w:t>
      </w:r>
      <w:r w:rsidRPr="00B0485F">
        <w:t xml:space="preserve"> ISD, intrinsic sphincter deficiency; LOE, level of evidence; LUT, lower urinary tract; MUS, </w:t>
      </w:r>
      <w:proofErr w:type="spellStart"/>
      <w:r w:rsidRPr="00B0485F">
        <w:t>midurethral</w:t>
      </w:r>
      <w:proofErr w:type="spellEnd"/>
      <w:r w:rsidRPr="00B0485F">
        <w:t xml:space="preserve"> sling; NICE, National Institute for Health and Care Excellence; </w:t>
      </w:r>
      <w:r w:rsidR="008A11A2">
        <w:t xml:space="preserve">NMA, network meta-analysis; </w:t>
      </w:r>
      <w:r w:rsidRPr="00B0485F">
        <w:t xml:space="preserve">OAB, overactive bladder; PVS, pubovaginal sling; </w:t>
      </w:r>
      <w:r w:rsidR="00705F27">
        <w:t>SIGN,</w:t>
      </w:r>
      <w:r w:rsidR="00705F27" w:rsidRPr="00B0485F">
        <w:t xml:space="preserve"> Scottish Intercollegiate Guidelines Network</w:t>
      </w:r>
      <w:r w:rsidR="00705F27">
        <w:t xml:space="preserve">; </w:t>
      </w:r>
      <w:r w:rsidR="008E4B0C">
        <w:t xml:space="preserve">SUFU, </w:t>
      </w:r>
      <w:r w:rsidR="008E4B0C" w:rsidRPr="00B0485F">
        <w:t>Society for Urodynamics, Female Pelvic Medicine and Urogenital Reconstruction</w:t>
      </w:r>
      <w:r w:rsidR="008E4B0C">
        <w:t xml:space="preserve">; </w:t>
      </w:r>
      <w:r w:rsidRPr="00B0485F">
        <w:t xml:space="preserve">SUI, stress urinary incontinence; </w:t>
      </w:r>
      <w:r w:rsidR="00D212A2">
        <w:t xml:space="preserve">SR, systematic review; </w:t>
      </w:r>
      <w:r w:rsidR="00B85A05">
        <w:t xml:space="preserve">UGSA, </w:t>
      </w:r>
      <w:proofErr w:type="spellStart"/>
      <w:r w:rsidR="00B85A05" w:rsidRPr="00B0485F">
        <w:rPr>
          <w:bCs/>
        </w:rPr>
        <w:t>UroGynaecological</w:t>
      </w:r>
      <w:proofErr w:type="spellEnd"/>
      <w:r w:rsidR="00B85A05" w:rsidRPr="00B0485F">
        <w:rPr>
          <w:bCs/>
        </w:rPr>
        <w:t xml:space="preserve"> Society of Australasia</w:t>
      </w:r>
      <w:r w:rsidR="00B85A05">
        <w:rPr>
          <w:bCs/>
        </w:rPr>
        <w:t>;</w:t>
      </w:r>
      <w:r w:rsidR="00B85A05" w:rsidRPr="00B0485F">
        <w:t xml:space="preserve"> </w:t>
      </w:r>
      <w:r w:rsidRPr="00B0485F">
        <w:t xml:space="preserve">UTI, urinary tract infection. </w:t>
      </w:r>
    </w:p>
    <w:p w14:paraId="0E0115AD" w14:textId="77777777" w:rsidR="006464F8" w:rsidRPr="00B0485F" w:rsidRDefault="006464F8" w:rsidP="006464F8">
      <w:pPr>
        <w:pStyle w:val="111Tablefootnoteslast-nostick8pt"/>
        <w:rPr>
          <w:lang w:val="en-AU"/>
        </w:rPr>
      </w:pPr>
      <w:r w:rsidRPr="00B0485F">
        <w:rPr>
          <w:vertAlign w:val="superscript"/>
          <w:lang w:val="en-AU"/>
        </w:rPr>
        <w:t>1</w:t>
      </w:r>
      <w:r w:rsidRPr="00B0485F">
        <w:rPr>
          <w:lang w:val="en-AU"/>
        </w:rPr>
        <w:t xml:space="preserve"> The roundtable includes representation from the Royal Australian and New Zealand College of Obstetricians and Gynaecologists (RANZCOG), the Royal Australasian College of Surgeons (RACS), the Urological Society of Australia and New Zealand (USANZ), the Royal New Zealand College of General Practitioners (RNZCGPs), nursing, Accident Compensation Corporation, the New Zealand Private Surgical Hospitals </w:t>
      </w:r>
      <w:proofErr w:type="gramStart"/>
      <w:r w:rsidRPr="00B0485F">
        <w:rPr>
          <w:lang w:val="en-AU"/>
        </w:rPr>
        <w:t>Association</w:t>
      </w:r>
      <w:proofErr w:type="gramEnd"/>
      <w:r w:rsidRPr="00B0485F">
        <w:rPr>
          <w:lang w:val="en-AU"/>
        </w:rPr>
        <w:t xml:space="preserve"> and consumers.</w:t>
      </w:r>
      <w:bookmarkEnd w:id="197"/>
    </w:p>
    <w:p w14:paraId="3152BE60" w14:textId="0B8B1425" w:rsidR="00E02527" w:rsidRPr="00B0485F" w:rsidRDefault="00B1470C" w:rsidP="00955387">
      <w:pPr>
        <w:pStyle w:val="Heading7"/>
      </w:pPr>
      <w:bookmarkStart w:id="236" w:name="_Ref133829493"/>
      <w:bookmarkStart w:id="237" w:name="_Toc165627868"/>
      <w:r w:rsidRPr="00B0485F">
        <w:lastRenderedPageBreak/>
        <w:t xml:space="preserve">Health Canada summary </w:t>
      </w:r>
      <w:r w:rsidR="006E64ED">
        <w:t xml:space="preserve">safety </w:t>
      </w:r>
      <w:r w:rsidRPr="00B0485F">
        <w:t>report</w:t>
      </w:r>
      <w:bookmarkEnd w:id="236"/>
      <w:bookmarkEnd w:id="237"/>
    </w:p>
    <w:p w14:paraId="4C44C100" w14:textId="1BDCE1FA" w:rsidR="00B93BE2" w:rsidRPr="00B0485F" w:rsidRDefault="007C5446" w:rsidP="007C5446">
      <w:pPr>
        <w:pStyle w:val="Caption"/>
      </w:pPr>
      <w:bookmarkStart w:id="238" w:name="_Ref129763812"/>
      <w:bookmarkStart w:id="239" w:name="_Toc165627915"/>
      <w:r w:rsidRPr="00B0485F">
        <w:t xml:space="preserve">Table App. </w:t>
      </w:r>
      <w:fldSimple w:instr=" SEQ Table_App. \* ARABIC ">
        <w:r w:rsidR="007105D3">
          <w:rPr>
            <w:noProof/>
          </w:rPr>
          <w:t>12</w:t>
        </w:r>
      </w:fldSimple>
      <w:bookmarkEnd w:id="238"/>
      <w:r w:rsidR="00B93BE2" w:rsidRPr="00B0485F">
        <w:tab/>
        <w:t>Summary of Health Canada safety review of standard synthetic mid-urethral sling (SMUS) made from non-absorbable synthetic material</w:t>
      </w:r>
      <w:bookmarkEnd w:id="239"/>
      <w:r w:rsidR="00B93BE2" w:rsidRPr="00B0485F">
        <w:t xml:space="preserve"> </w:t>
      </w:r>
    </w:p>
    <w:tbl>
      <w:tblPr>
        <w:tblStyle w:val="TableGrid"/>
        <w:tblW w:w="0" w:type="auto"/>
        <w:tblLook w:val="04A0" w:firstRow="1" w:lastRow="0" w:firstColumn="1" w:lastColumn="0" w:noHBand="0" w:noVBand="1"/>
        <w:tblCaption w:val="Summary of Health Canada safety review of standard synthetic mid-urethral sling (SMUS) made from non-absorbable synthetic material"/>
        <w:tblDescription w:val="This table summarises the purpose, information sources, findings, conclusions and actions for the Health Canada safety review of standard synthetic MUS made from non-absorbable synthetic material."/>
      </w:tblPr>
      <w:tblGrid>
        <w:gridCol w:w="1418"/>
        <w:gridCol w:w="13152"/>
      </w:tblGrid>
      <w:tr w:rsidR="00B93BE2" w:rsidRPr="00B0485F" w14:paraId="0D5B3174" w14:textId="77777777" w:rsidTr="002E12AC">
        <w:trPr>
          <w:cnfStyle w:val="100000000000" w:firstRow="1" w:lastRow="0" w:firstColumn="0" w:lastColumn="0" w:oddVBand="0" w:evenVBand="0" w:oddHBand="0" w:evenHBand="0" w:firstRowFirstColumn="0" w:firstRowLastColumn="0" w:lastRowFirstColumn="0" w:lastRowLastColumn="0"/>
          <w:cantSplit w:val="0"/>
          <w:tblHeader w:val="0"/>
        </w:trPr>
        <w:tc>
          <w:tcPr>
            <w:tcW w:w="1418" w:type="dxa"/>
            <w:shd w:val="clear" w:color="auto" w:fill="D0CECE" w:themeFill="background2" w:themeFillShade="E6"/>
          </w:tcPr>
          <w:p w14:paraId="04ACF652" w14:textId="77777777" w:rsidR="00B93BE2" w:rsidRPr="00B0485F" w:rsidRDefault="00B93BE2" w:rsidP="00FD21DF">
            <w:pPr>
              <w:pStyle w:val="031Tablesubheading8pt"/>
            </w:pPr>
            <w:r w:rsidRPr="00B0485F">
              <w:t>Purpose</w:t>
            </w:r>
          </w:p>
        </w:tc>
        <w:tc>
          <w:tcPr>
            <w:tcW w:w="13152" w:type="dxa"/>
            <w:shd w:val="clear" w:color="auto" w:fill="auto"/>
          </w:tcPr>
          <w:p w14:paraId="7A7248AE" w14:textId="77777777" w:rsidR="00B93BE2" w:rsidRPr="00B0485F" w:rsidRDefault="00B93BE2" w:rsidP="00FD21DF">
            <w:pPr>
              <w:pStyle w:val="051Tabletext228pt"/>
            </w:pPr>
            <w:r w:rsidRPr="00B0485F">
              <w:t>To assess the long-term (at or beyond 5 years) safety and effectiveness of SMUS for SUI in women, including the risk of complications.</w:t>
            </w:r>
          </w:p>
        </w:tc>
      </w:tr>
      <w:tr w:rsidR="00B93BE2" w:rsidRPr="00B0485F" w14:paraId="28F306D9" w14:textId="77777777" w:rsidTr="002E12AC">
        <w:trPr>
          <w:cantSplit w:val="0"/>
        </w:trPr>
        <w:tc>
          <w:tcPr>
            <w:tcW w:w="1418" w:type="dxa"/>
            <w:shd w:val="clear" w:color="auto" w:fill="D0CECE" w:themeFill="background2" w:themeFillShade="E6"/>
          </w:tcPr>
          <w:p w14:paraId="7E84D487" w14:textId="77777777" w:rsidR="00B93BE2" w:rsidRPr="00B0485F" w:rsidRDefault="00B93BE2" w:rsidP="00FD21DF">
            <w:pPr>
              <w:pStyle w:val="031Tablesubheading8pt"/>
            </w:pPr>
            <w:r w:rsidRPr="00B0485F">
              <w:t>Information sources</w:t>
            </w:r>
          </w:p>
        </w:tc>
        <w:tc>
          <w:tcPr>
            <w:tcW w:w="13152" w:type="dxa"/>
          </w:tcPr>
          <w:p w14:paraId="48DA3162" w14:textId="77777777" w:rsidR="00B93BE2" w:rsidRPr="00B0485F" w:rsidRDefault="00B93BE2" w:rsidP="00713A63">
            <w:pPr>
              <w:pStyle w:val="051Tabletext228pt"/>
              <w:numPr>
                <w:ilvl w:val="0"/>
                <w:numId w:val="8"/>
              </w:numPr>
            </w:pPr>
            <w:r w:rsidRPr="00B0485F">
              <w:t>Information from the following sources was reviewed:</w:t>
            </w:r>
          </w:p>
          <w:p w14:paraId="75A55DA1" w14:textId="6C5B4C94" w:rsidR="00B93BE2" w:rsidRPr="00B0485F" w:rsidRDefault="00263345" w:rsidP="00713A63">
            <w:pPr>
              <w:pStyle w:val="051Tabletext228pt"/>
              <w:numPr>
                <w:ilvl w:val="1"/>
                <w:numId w:val="8"/>
              </w:numPr>
            </w:pPr>
            <w:r w:rsidRPr="00B0485F">
              <w:t>M</w:t>
            </w:r>
            <w:r w:rsidR="00B93BE2" w:rsidRPr="00B0485F">
              <w:t>anufacturers</w:t>
            </w:r>
          </w:p>
          <w:p w14:paraId="6405F24E" w14:textId="77777777" w:rsidR="00B93BE2" w:rsidRPr="00B0485F" w:rsidRDefault="00B93BE2" w:rsidP="00713A63">
            <w:pPr>
              <w:pStyle w:val="051Tabletext228pt"/>
              <w:numPr>
                <w:ilvl w:val="1"/>
                <w:numId w:val="8"/>
              </w:numPr>
            </w:pPr>
            <w:r w:rsidRPr="00B0485F">
              <w:t>Canadian and American incident reporting databases</w:t>
            </w:r>
          </w:p>
          <w:p w14:paraId="532D8E40" w14:textId="77777777" w:rsidR="00B93BE2" w:rsidRPr="00B0485F" w:rsidRDefault="00B93BE2" w:rsidP="00713A63">
            <w:pPr>
              <w:pStyle w:val="051Tabletext228pt"/>
              <w:numPr>
                <w:ilvl w:val="1"/>
                <w:numId w:val="8"/>
              </w:numPr>
            </w:pPr>
            <w:r w:rsidRPr="00B0485F">
              <w:t>Canadian health professional associations</w:t>
            </w:r>
          </w:p>
          <w:p w14:paraId="15B70704" w14:textId="77777777" w:rsidR="00B93BE2" w:rsidRPr="00B0485F" w:rsidRDefault="00B93BE2" w:rsidP="00713A63">
            <w:pPr>
              <w:pStyle w:val="051Tabletext228pt"/>
              <w:numPr>
                <w:ilvl w:val="1"/>
                <w:numId w:val="8"/>
              </w:numPr>
            </w:pPr>
            <w:r w:rsidRPr="00B0485F">
              <w:t>International regulatory agencies</w:t>
            </w:r>
          </w:p>
          <w:p w14:paraId="2994EF29" w14:textId="77777777" w:rsidR="00B93BE2" w:rsidRPr="00B0485F" w:rsidRDefault="00B93BE2" w:rsidP="00713A63">
            <w:pPr>
              <w:pStyle w:val="051Tabletext228pt"/>
              <w:numPr>
                <w:ilvl w:val="1"/>
                <w:numId w:val="8"/>
              </w:numPr>
            </w:pPr>
            <w:r w:rsidRPr="00B0485F">
              <w:t>Medical and scientific literature</w:t>
            </w:r>
          </w:p>
          <w:p w14:paraId="51A7AF0A" w14:textId="5F470966" w:rsidR="00B93BE2" w:rsidRPr="00B0485F" w:rsidRDefault="00B93BE2" w:rsidP="00713A63">
            <w:pPr>
              <w:pStyle w:val="051Tabletext228pt"/>
              <w:numPr>
                <w:ilvl w:val="0"/>
                <w:numId w:val="8"/>
              </w:numPr>
            </w:pPr>
            <w:r w:rsidRPr="00B0485F">
              <w:t xml:space="preserve">Health Canada conducted a literature review of </w:t>
            </w:r>
            <w:r w:rsidRPr="00B0485F">
              <w:rPr>
                <w:rFonts w:asciiTheme="minorHAnsi" w:hAnsiTheme="minorHAnsi" w:cstheme="minorHAnsi"/>
                <w:color w:val="333333"/>
                <w:szCs w:val="20"/>
                <w:lang w:eastAsia="en-AU"/>
              </w:rPr>
              <w:t xml:space="preserve">systematic reviews, </w:t>
            </w:r>
            <w:r w:rsidR="008C4413" w:rsidRPr="00B0485F">
              <w:rPr>
                <w:rFonts w:asciiTheme="minorHAnsi" w:hAnsiTheme="minorHAnsi" w:cstheme="minorHAnsi"/>
                <w:color w:val="333333"/>
                <w:szCs w:val="20"/>
                <w:lang w:eastAsia="en-AU"/>
              </w:rPr>
              <w:t>RCTs</w:t>
            </w:r>
            <w:r w:rsidRPr="00B0485F">
              <w:rPr>
                <w:rFonts w:asciiTheme="minorHAnsi" w:hAnsiTheme="minorHAnsi" w:cstheme="minorHAnsi"/>
                <w:color w:val="333333"/>
                <w:szCs w:val="20"/>
                <w:lang w:eastAsia="en-AU"/>
              </w:rPr>
              <w:t xml:space="preserve"> and meta-analyses that included long-term clinical data on the safety and effectiveness of SMUS</w:t>
            </w:r>
          </w:p>
        </w:tc>
      </w:tr>
      <w:tr w:rsidR="00B93BE2" w:rsidRPr="00B0485F" w14:paraId="383742B3" w14:textId="77777777" w:rsidTr="002E12AC">
        <w:trPr>
          <w:cantSplit w:val="0"/>
        </w:trPr>
        <w:tc>
          <w:tcPr>
            <w:tcW w:w="1418" w:type="dxa"/>
            <w:shd w:val="clear" w:color="auto" w:fill="D0CECE" w:themeFill="background2" w:themeFillShade="E6"/>
          </w:tcPr>
          <w:p w14:paraId="0E5A821C" w14:textId="77777777" w:rsidR="00B93BE2" w:rsidRPr="00B0485F" w:rsidRDefault="00B93BE2" w:rsidP="00FD21DF">
            <w:pPr>
              <w:pStyle w:val="031Tablesubheading8pt"/>
            </w:pPr>
            <w:r w:rsidRPr="00B0485F">
              <w:t>Findings</w:t>
            </w:r>
          </w:p>
        </w:tc>
        <w:tc>
          <w:tcPr>
            <w:tcW w:w="13152" w:type="dxa"/>
          </w:tcPr>
          <w:p w14:paraId="413E2664" w14:textId="7E0BB1D2" w:rsidR="00B93BE2" w:rsidRPr="00B0485F" w:rsidRDefault="00B93BE2" w:rsidP="00713A63">
            <w:pPr>
              <w:pStyle w:val="051Tabletext228pt"/>
              <w:numPr>
                <w:ilvl w:val="0"/>
                <w:numId w:val="9"/>
              </w:numPr>
            </w:pPr>
            <w:r w:rsidRPr="00B0485F">
              <w:t xml:space="preserve">Since Health Canada’s previous review </w:t>
            </w:r>
            <w:r w:rsidR="008C4413" w:rsidRPr="00B0485F">
              <w:t>(</w:t>
            </w:r>
            <w:r w:rsidRPr="00B0485F">
              <w:t>2014</w:t>
            </w:r>
            <w:r w:rsidR="008C4413" w:rsidRPr="00B0485F">
              <w:t>)</w:t>
            </w:r>
            <w:r w:rsidRPr="00B0485F">
              <w:t>, no reports have been received by Health Canada describing new risks of complications associated with the use of SMUS for SUI.</w:t>
            </w:r>
          </w:p>
          <w:p w14:paraId="0853A957" w14:textId="26C0BD52" w:rsidR="00B93BE2" w:rsidRPr="00B0485F" w:rsidRDefault="00B93BE2" w:rsidP="00713A63">
            <w:pPr>
              <w:pStyle w:val="051Tabletext228pt"/>
              <w:numPr>
                <w:ilvl w:val="0"/>
                <w:numId w:val="9"/>
              </w:numPr>
            </w:pPr>
            <w:r w:rsidRPr="00B0485F">
              <w:t>Some reports received since 2014 continue to describe serious and permanent issues known to be associated with synthetic vaginal surgical mesh devices</w:t>
            </w:r>
            <w:r w:rsidR="006E2103" w:rsidRPr="00B0485F">
              <w:t xml:space="preserve"> (</w:t>
            </w:r>
            <w:r w:rsidRPr="00B0485F">
              <w:t>includ</w:t>
            </w:r>
            <w:r w:rsidR="006E2103" w:rsidRPr="00B0485F">
              <w:t>ing</w:t>
            </w:r>
            <w:r w:rsidRPr="00B0485F">
              <w:t xml:space="preserve"> infection, pain, bleeding, urinary dysfunction, mesh erosion/migration, sexual dysfunction, nerve and/or muscle damage </w:t>
            </w:r>
            <w:r w:rsidR="005C2A68" w:rsidRPr="00B0485F">
              <w:t>causing</w:t>
            </w:r>
            <w:r w:rsidRPr="00B0485F">
              <w:t xml:space="preserve"> mobility issues, damage to pelvic structures</w:t>
            </w:r>
            <w:r w:rsidR="00034669" w:rsidRPr="00B0485F">
              <w:t>/</w:t>
            </w:r>
            <w:r w:rsidRPr="00B0485F">
              <w:t>surrounding tissues, need for surgical correction</w:t>
            </w:r>
            <w:r w:rsidR="0028766B" w:rsidRPr="00B0485F">
              <w:t>)</w:t>
            </w:r>
            <w:r w:rsidRPr="00B0485F">
              <w:t>.</w:t>
            </w:r>
          </w:p>
          <w:p w14:paraId="0C942E5F" w14:textId="7C74069B" w:rsidR="00B93BE2" w:rsidRPr="00B0485F" w:rsidRDefault="00B93BE2" w:rsidP="00713A63">
            <w:pPr>
              <w:pStyle w:val="051Tabletext228pt"/>
              <w:numPr>
                <w:ilvl w:val="0"/>
                <w:numId w:val="9"/>
              </w:numPr>
            </w:pPr>
            <w:r w:rsidRPr="00B0485F">
              <w:t xml:space="preserve">Rates of </w:t>
            </w:r>
            <w:r w:rsidR="007F2FDE" w:rsidRPr="00B0485F">
              <w:t>AEs</w:t>
            </w:r>
            <w:r w:rsidRPr="00B0485F">
              <w:t xml:space="preserve"> and causal links between SMUS and various atypical complications reported to Health Canada could not be confirmed due to a lack of necessary details documented in incident reports (e.g. potential medical co-morbidities) and/or a lack of medical assessments.</w:t>
            </w:r>
          </w:p>
          <w:p w14:paraId="2BC3BC18" w14:textId="77777777" w:rsidR="00B93BE2" w:rsidRPr="00B0485F" w:rsidRDefault="00B93BE2" w:rsidP="00713A63">
            <w:pPr>
              <w:pStyle w:val="051Tabletext228pt"/>
              <w:numPr>
                <w:ilvl w:val="0"/>
                <w:numId w:val="9"/>
              </w:numPr>
            </w:pPr>
            <w:r w:rsidRPr="00B0485F">
              <w:t>Health Canada's literature review supports that:</w:t>
            </w:r>
          </w:p>
          <w:p w14:paraId="0F13A66F" w14:textId="5A6E314B" w:rsidR="00B93BE2" w:rsidRPr="00B0485F" w:rsidRDefault="00B93BE2" w:rsidP="00713A63">
            <w:pPr>
              <w:pStyle w:val="051Tabletext228pt"/>
              <w:numPr>
                <w:ilvl w:val="1"/>
                <w:numId w:val="9"/>
              </w:numPr>
            </w:pPr>
            <w:r w:rsidRPr="00B0485F">
              <w:t>long-term (</w:t>
            </w:r>
            <w:r w:rsidR="00242C88" w:rsidRPr="00B0485F">
              <w:rPr>
                <w:rFonts w:cs="Calibri"/>
              </w:rPr>
              <w:t>≥</w:t>
            </w:r>
            <w:r w:rsidR="00242C88" w:rsidRPr="00B0485F">
              <w:t xml:space="preserve"> </w:t>
            </w:r>
            <w:r w:rsidRPr="00B0485F">
              <w:t>5 years) safety and effectiveness of SMUS for SUI is equivalent to surgical alternatives that do not use vaginal surgical mesh</w:t>
            </w:r>
          </w:p>
          <w:p w14:paraId="7FE4AF43" w14:textId="1BEC9F4B" w:rsidR="00B93BE2" w:rsidRPr="00B0485F" w:rsidRDefault="00B93BE2" w:rsidP="00713A63">
            <w:pPr>
              <w:pStyle w:val="051Tabletext228pt"/>
              <w:numPr>
                <w:ilvl w:val="1"/>
                <w:numId w:val="9"/>
              </w:numPr>
            </w:pPr>
            <w:r w:rsidRPr="00B0485F">
              <w:t xml:space="preserve">there are no newly identified risks of complications associated with long-term </w:t>
            </w:r>
            <w:r w:rsidR="003D0738" w:rsidRPr="00B0485F">
              <w:t>(</w:t>
            </w:r>
            <w:r w:rsidR="003D0738" w:rsidRPr="00B0485F">
              <w:rPr>
                <w:rFonts w:cs="Calibri"/>
              </w:rPr>
              <w:t>≥</w:t>
            </w:r>
            <w:r w:rsidR="003D0738" w:rsidRPr="00B0485F">
              <w:t xml:space="preserve"> 5 years) </w:t>
            </w:r>
            <w:r w:rsidRPr="00B0485F">
              <w:t>use of SMUS</w:t>
            </w:r>
          </w:p>
          <w:p w14:paraId="03248D5D" w14:textId="4A4C00C0" w:rsidR="00B93BE2" w:rsidRPr="00B0485F" w:rsidRDefault="00B93BE2" w:rsidP="00713A63">
            <w:pPr>
              <w:pStyle w:val="051Tabletext228pt"/>
              <w:numPr>
                <w:ilvl w:val="1"/>
                <w:numId w:val="9"/>
              </w:numPr>
            </w:pPr>
            <w:bookmarkStart w:id="240" w:name="_Hlk129764158"/>
            <w:r w:rsidRPr="00B0485F">
              <w:t xml:space="preserve">effectiveness and patient satisfaction over the long-term </w:t>
            </w:r>
            <w:r w:rsidR="00405CB9" w:rsidRPr="00B0485F">
              <w:t>(</w:t>
            </w:r>
            <w:r w:rsidR="00405CB9" w:rsidRPr="00B0485F">
              <w:rPr>
                <w:rFonts w:cs="Calibri"/>
              </w:rPr>
              <w:t>≥</w:t>
            </w:r>
            <w:r w:rsidR="00405CB9" w:rsidRPr="00B0485F">
              <w:t xml:space="preserve"> 5 years) </w:t>
            </w:r>
            <w:r w:rsidRPr="00B0485F">
              <w:t>are relatively high in most patients</w:t>
            </w:r>
            <w:bookmarkEnd w:id="240"/>
          </w:p>
          <w:p w14:paraId="2C4FCB2E" w14:textId="37731B8F" w:rsidR="00B93BE2" w:rsidRPr="00B0485F" w:rsidRDefault="00B93BE2" w:rsidP="00713A63">
            <w:pPr>
              <w:pStyle w:val="051Tabletext228pt"/>
              <w:numPr>
                <w:ilvl w:val="1"/>
                <w:numId w:val="9"/>
              </w:numPr>
            </w:pPr>
            <w:r w:rsidRPr="00B0485F">
              <w:t xml:space="preserve">the risk of developing chronic pain and/or mesh erosion is lower over the longer term </w:t>
            </w:r>
            <w:r w:rsidR="00405CB9" w:rsidRPr="00B0485F">
              <w:t>(</w:t>
            </w:r>
            <w:r w:rsidR="00405CB9" w:rsidRPr="00B0485F">
              <w:rPr>
                <w:rFonts w:cs="Calibri"/>
              </w:rPr>
              <w:t>≥</w:t>
            </w:r>
            <w:r w:rsidR="00405CB9" w:rsidRPr="00B0485F">
              <w:t xml:space="preserve"> 5 years)</w:t>
            </w:r>
          </w:p>
          <w:p w14:paraId="0C326581" w14:textId="77777777" w:rsidR="00B93BE2" w:rsidRPr="00B0485F" w:rsidRDefault="00B93BE2" w:rsidP="00713A63">
            <w:pPr>
              <w:pStyle w:val="051Tabletext228pt"/>
              <w:numPr>
                <w:ilvl w:val="1"/>
                <w:numId w:val="9"/>
              </w:numPr>
            </w:pPr>
            <w:r w:rsidRPr="00B0485F">
              <w:t>there is currently no clear causal association in the literature between SMUS and the development of systemic issues such as allergy, immune system dysfunction, rheumatic pain, fibromyalgia and/or fatigue</w:t>
            </w:r>
          </w:p>
          <w:p w14:paraId="046CBC6A" w14:textId="2129A215" w:rsidR="00B93BE2" w:rsidRPr="00B0485F" w:rsidRDefault="00B93BE2" w:rsidP="00713A63">
            <w:pPr>
              <w:pStyle w:val="051Tabletext228pt"/>
              <w:numPr>
                <w:ilvl w:val="0"/>
                <w:numId w:val="9"/>
              </w:numPr>
            </w:pPr>
            <w:r w:rsidRPr="00B0485F">
              <w:t>Health Canada assessed publicly available position papers</w:t>
            </w:r>
            <w:r w:rsidR="00570F8B" w:rsidRPr="00570F8B">
              <w:rPr>
                <w:vertAlign w:val="superscript"/>
              </w:rPr>
              <w:t>1,2,3</w:t>
            </w:r>
            <w:r w:rsidRPr="00570F8B">
              <w:rPr>
                <w:vertAlign w:val="superscript"/>
              </w:rPr>
              <w:t> </w:t>
            </w:r>
            <w:r w:rsidRPr="00B0485F">
              <w:t>developed by national health care professional associations about the use of SMUS for SUI. Generally, these associations support the use of SMUS for SUI when certain criteria have been met, including clear informed consent and consideration for conservative treatment options, such as perineal rehabilitation (pelvic floor physiotherapy) and incontinence pessary.</w:t>
            </w:r>
          </w:p>
          <w:p w14:paraId="5A84EAF9" w14:textId="25AAE62E" w:rsidR="00B93BE2" w:rsidRPr="00B0485F" w:rsidRDefault="00B93BE2" w:rsidP="00713A63">
            <w:pPr>
              <w:pStyle w:val="051Tabletext228pt"/>
              <w:numPr>
                <w:ilvl w:val="0"/>
                <w:numId w:val="9"/>
              </w:numPr>
            </w:pPr>
            <w:r w:rsidRPr="00B0485F">
              <w:t>Health Canada reviewed the regulatory actions taken in other countries (</w:t>
            </w:r>
            <w:proofErr w:type="gramStart"/>
            <w:r w:rsidRPr="00B0485F">
              <w:t>e.g.</w:t>
            </w:r>
            <w:proofErr w:type="gramEnd"/>
            <w:r w:rsidRPr="00B0485F">
              <w:t xml:space="preserve"> the </w:t>
            </w:r>
            <w:r w:rsidR="005B17C0" w:rsidRPr="00B0485F">
              <w:t>US</w:t>
            </w:r>
            <w:r w:rsidRPr="00B0485F">
              <w:t xml:space="preserve">, Australia, Singapore, Switzerland and the </w:t>
            </w:r>
            <w:r w:rsidR="00360139" w:rsidRPr="00B0485F">
              <w:t>UK</w:t>
            </w:r>
            <w:r w:rsidRPr="00B0485F">
              <w:t xml:space="preserve">) and determined that the actions they have taken are consistent with what is taking place in those countries. </w:t>
            </w:r>
            <w:r w:rsidR="0017044D" w:rsidRPr="00B0485F">
              <w:t>SMUS</w:t>
            </w:r>
            <w:r w:rsidRPr="00B0485F">
              <w:t xml:space="preserve"> indicated for the treatment of SUI continue to be available in Canada and internationally.</w:t>
            </w:r>
          </w:p>
        </w:tc>
      </w:tr>
      <w:tr w:rsidR="00B93BE2" w:rsidRPr="00B0485F" w14:paraId="6BA2C62D" w14:textId="77777777" w:rsidTr="002E12AC">
        <w:trPr>
          <w:cantSplit w:val="0"/>
        </w:trPr>
        <w:tc>
          <w:tcPr>
            <w:tcW w:w="1418" w:type="dxa"/>
            <w:shd w:val="clear" w:color="auto" w:fill="D0CECE" w:themeFill="background2" w:themeFillShade="E6"/>
          </w:tcPr>
          <w:p w14:paraId="3B06AA9D" w14:textId="77777777" w:rsidR="00B93BE2" w:rsidRPr="00B0485F" w:rsidRDefault="00B93BE2" w:rsidP="00FD21DF">
            <w:pPr>
              <w:pStyle w:val="031Tablesubheading8pt"/>
            </w:pPr>
            <w:r w:rsidRPr="00B0485F">
              <w:t>Conclusions &amp; Actions</w:t>
            </w:r>
          </w:p>
        </w:tc>
        <w:tc>
          <w:tcPr>
            <w:tcW w:w="13152" w:type="dxa"/>
          </w:tcPr>
          <w:p w14:paraId="09CC1DDC" w14:textId="6D45562B" w:rsidR="00B93BE2" w:rsidRPr="00B0485F" w:rsidRDefault="00B93BE2" w:rsidP="00713A63">
            <w:pPr>
              <w:pStyle w:val="051Tabletext228pt"/>
              <w:numPr>
                <w:ilvl w:val="0"/>
                <w:numId w:val="10"/>
              </w:numPr>
            </w:pPr>
            <w:r w:rsidRPr="00B0485F">
              <w:t xml:space="preserve">The review did not identify new (not previously known) or increased risks of complications associated with the long-term </w:t>
            </w:r>
            <w:r w:rsidR="0017044D" w:rsidRPr="00B0485F">
              <w:t>(</w:t>
            </w:r>
            <w:r w:rsidR="0017044D" w:rsidRPr="00B0485F">
              <w:rPr>
                <w:rFonts w:cs="Calibri"/>
              </w:rPr>
              <w:t>≥</w:t>
            </w:r>
            <w:r w:rsidR="0017044D" w:rsidRPr="00B0485F">
              <w:t xml:space="preserve"> 5 years)</w:t>
            </w:r>
            <w:r w:rsidRPr="00B0485F">
              <w:t xml:space="preserve"> use of SMUS compared to previous reviews.</w:t>
            </w:r>
          </w:p>
          <w:p w14:paraId="76A225B5" w14:textId="1CE413D0" w:rsidR="00B93BE2" w:rsidRPr="00B0485F" w:rsidRDefault="00B93BE2" w:rsidP="00713A63">
            <w:pPr>
              <w:pStyle w:val="051Tabletext228pt"/>
              <w:numPr>
                <w:ilvl w:val="0"/>
                <w:numId w:val="10"/>
              </w:numPr>
            </w:pPr>
            <w:r w:rsidRPr="00B0485F">
              <w:t>The risk of developing chronic pain and/or mesh erosion is lower over the longer term</w:t>
            </w:r>
            <w:r w:rsidR="0017044D" w:rsidRPr="00B0485F">
              <w:t xml:space="preserve"> (</w:t>
            </w:r>
            <w:r w:rsidR="0017044D" w:rsidRPr="00B0485F">
              <w:rPr>
                <w:rFonts w:cs="Calibri"/>
              </w:rPr>
              <w:t>≥</w:t>
            </w:r>
            <w:r w:rsidR="0017044D" w:rsidRPr="00B0485F">
              <w:t xml:space="preserve"> 5 years)</w:t>
            </w:r>
            <w:r w:rsidRPr="00B0485F">
              <w:t>.</w:t>
            </w:r>
          </w:p>
          <w:p w14:paraId="458D9813" w14:textId="77777777" w:rsidR="00B93BE2" w:rsidRPr="00B0485F" w:rsidRDefault="00B93BE2" w:rsidP="00713A63">
            <w:pPr>
              <w:pStyle w:val="051Tabletext228pt"/>
              <w:numPr>
                <w:ilvl w:val="0"/>
                <w:numId w:val="10"/>
              </w:numPr>
            </w:pPr>
            <w:r w:rsidRPr="00B0485F">
              <w:t>Health Canada will:</w:t>
            </w:r>
          </w:p>
          <w:p w14:paraId="640FEC8A" w14:textId="77777777" w:rsidR="00B93BE2" w:rsidRPr="00B0485F" w:rsidRDefault="00B93BE2" w:rsidP="00713A63">
            <w:pPr>
              <w:pStyle w:val="051Tabletext228pt"/>
              <w:numPr>
                <w:ilvl w:val="1"/>
                <w:numId w:val="10"/>
              </w:numPr>
            </w:pPr>
            <w:r w:rsidRPr="00B0485F">
              <w:t>continue to monitor safety information involving vaginal surgical mesh devices</w:t>
            </w:r>
          </w:p>
          <w:p w14:paraId="51F24997" w14:textId="77777777" w:rsidR="00B93BE2" w:rsidRPr="00B0485F" w:rsidRDefault="00B93BE2" w:rsidP="00713A63">
            <w:pPr>
              <w:pStyle w:val="051Tabletext228pt"/>
              <w:numPr>
                <w:ilvl w:val="1"/>
                <w:numId w:val="10"/>
              </w:numPr>
            </w:pPr>
            <w:r w:rsidRPr="00B0485F">
              <w:t>enhance its existing communications products with more patient-focused information</w:t>
            </w:r>
          </w:p>
          <w:p w14:paraId="56FE0F6E" w14:textId="77777777" w:rsidR="00B93BE2" w:rsidRPr="00B0485F" w:rsidRDefault="00B93BE2" w:rsidP="00713A63">
            <w:pPr>
              <w:pStyle w:val="051Tabletext228pt"/>
              <w:numPr>
                <w:ilvl w:val="1"/>
                <w:numId w:val="10"/>
              </w:numPr>
            </w:pPr>
            <w:r w:rsidRPr="00B0485F">
              <w:t>continue to work with stakeholders to support women in their decision-making</w:t>
            </w:r>
          </w:p>
        </w:tc>
      </w:tr>
    </w:tbl>
    <w:p w14:paraId="68799E36" w14:textId="1AAAC77A" w:rsidR="003B7A41" w:rsidRPr="00B0485F" w:rsidRDefault="003679E7" w:rsidP="003B7A41">
      <w:pPr>
        <w:pStyle w:val="101Tablefootnotes8pt"/>
      </w:pPr>
      <w:r>
        <w:t xml:space="preserve">Source: </w:t>
      </w:r>
      <w:r w:rsidR="00A275DF" w:rsidRPr="00B0485F">
        <w:t xml:space="preserve">Health Canada (2022) Summary Safety Review – Standard synthetic mid-urethral sling (SMUS) made from non-absorbable synthetic material (synthetic vaginal surgical mesh device) - Health Canada. </w:t>
      </w:r>
      <w:r w:rsidR="00A275DF">
        <w:t xml:space="preserve">Available: </w:t>
      </w:r>
      <w:hyperlink r:id="rId60" w:tooltip="This link goes to the Health Canada 2022 Summary Safety Review of mid-urethral slings" w:history="1">
        <w:r w:rsidR="00A275DF" w:rsidRPr="00DF6B91">
          <w:rPr>
            <w:rStyle w:val="Hyperlink"/>
          </w:rPr>
          <w:t>https://hpr-rps.hres.ca/reg-content/summary-safety-review-detail.php?lang=en&amp;linkID=SSR00288</w:t>
        </w:r>
      </w:hyperlink>
      <w:r w:rsidR="00A275DF">
        <w:t xml:space="preserve"> [accessed 1 February 2023].</w:t>
      </w:r>
    </w:p>
    <w:p w14:paraId="5CEFB163" w14:textId="77777777" w:rsidR="003B750C" w:rsidRPr="00B0485F" w:rsidRDefault="003B750C" w:rsidP="003B750C">
      <w:pPr>
        <w:pStyle w:val="101Tablefootnotes8pt"/>
      </w:pPr>
      <w:r w:rsidRPr="00B0485F">
        <w:t>Abbreviations: AE, adverse event; RCT, randomised controlled trial; SMUS, synthetic mid-urethral sling; SUI, stress urinary incontinence; UK, Unite Kingdom; US, United States.</w:t>
      </w:r>
    </w:p>
    <w:p w14:paraId="1C2A51F7" w14:textId="73A8470C" w:rsidR="00A275DF" w:rsidRPr="00B0485F" w:rsidRDefault="00570F8B" w:rsidP="003B7A41">
      <w:pPr>
        <w:pStyle w:val="101Tablefootnotes8pt"/>
      </w:pPr>
      <w:r w:rsidRPr="00570F8B">
        <w:rPr>
          <w:vertAlign w:val="superscript"/>
        </w:rPr>
        <w:t>1</w:t>
      </w:r>
      <w:r w:rsidR="00A275DF" w:rsidRPr="00B0485F">
        <w:t xml:space="preserve"> </w:t>
      </w:r>
      <w:r w:rsidR="00276199" w:rsidRPr="00B0485F">
        <w:t>SOGC statement in response to College des Médecins in Quebec’s report on urethral slings. The Society of Obstetricians and Gynaecologists of Canada (SOGC)</w:t>
      </w:r>
    </w:p>
    <w:p w14:paraId="1DC6FC13" w14:textId="261EA372" w:rsidR="00276199" w:rsidRPr="00B0485F" w:rsidRDefault="00570F8B" w:rsidP="003B7A41">
      <w:pPr>
        <w:pStyle w:val="101Tablefootnotes8pt"/>
      </w:pPr>
      <w:r>
        <w:rPr>
          <w:vertAlign w:val="superscript"/>
        </w:rPr>
        <w:lastRenderedPageBreak/>
        <w:t>2</w:t>
      </w:r>
      <w:r w:rsidR="00276199" w:rsidRPr="00B0485F">
        <w:t xml:space="preserve"> </w:t>
      </w:r>
      <w:r w:rsidR="006C6296" w:rsidRPr="00B0485F">
        <w:t>Welk, B., Carlson, K. V., Baverstock, R. J., Steele, S. S., Bailly, G. G., &amp; Hickling, D. R. (2017). Canadian Urological Association position statement on the use of transvaginal mesh. Canadian Urological Association Journal, 11(6S2), S105-7.</w:t>
      </w:r>
    </w:p>
    <w:p w14:paraId="490D39A8" w14:textId="34206736" w:rsidR="006C6296" w:rsidRPr="00B0485F" w:rsidRDefault="00570F8B" w:rsidP="0038522B">
      <w:pPr>
        <w:pStyle w:val="111Tablefootnoteslast-nostick8pt"/>
        <w:rPr>
          <w:lang w:val="en-AU"/>
        </w:rPr>
      </w:pPr>
      <w:r>
        <w:rPr>
          <w:vertAlign w:val="superscript"/>
          <w:lang w:val="en-AU"/>
        </w:rPr>
        <w:t>3</w:t>
      </w:r>
      <w:r w:rsidR="006C6296" w:rsidRPr="00B0485F">
        <w:rPr>
          <w:lang w:val="en-AU"/>
        </w:rPr>
        <w:t xml:space="preserve"> </w:t>
      </w:r>
      <w:r w:rsidR="00F50D53" w:rsidRPr="00B0485F">
        <w:rPr>
          <w:lang w:val="en-AU"/>
        </w:rPr>
        <w:t xml:space="preserve">Walter, J.E., Brennand, E.A., Lemos, N., Cundiff, G.W. (2021). Letter: Canadian Society of Pelvic Medicine Response to the Collège des Médecins du Québec Rapport </w:t>
      </w:r>
      <w:proofErr w:type="spellStart"/>
      <w:r w:rsidR="00F50D53" w:rsidRPr="00B0485F">
        <w:rPr>
          <w:lang w:val="en-AU"/>
        </w:rPr>
        <w:t>d'Enquête</w:t>
      </w:r>
      <w:proofErr w:type="spellEnd"/>
      <w:r w:rsidR="00F50D53" w:rsidRPr="00B0485F">
        <w:rPr>
          <w:lang w:val="en-AU"/>
        </w:rPr>
        <w:t>. Journal of Obstetrics and Gynaecology Canada, 43 (3), 298-299.</w:t>
      </w:r>
    </w:p>
    <w:sectPr w:rsidR="006C6296" w:rsidRPr="00B0485F" w:rsidSect="003E0819">
      <w:pgSz w:w="16838" w:h="11906" w:orient="landscape"/>
      <w:pgMar w:top="1134" w:right="1134" w:bottom="1134" w:left="1134"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4C13" w14:textId="77777777" w:rsidR="00DA3A84" w:rsidRDefault="00DA3A84" w:rsidP="0011251C">
      <w:pPr>
        <w:spacing w:after="0" w:line="240" w:lineRule="auto"/>
      </w:pPr>
      <w:r>
        <w:separator/>
      </w:r>
    </w:p>
  </w:endnote>
  <w:endnote w:type="continuationSeparator" w:id="0">
    <w:p w14:paraId="690B202D" w14:textId="77777777" w:rsidR="00DA3A84" w:rsidRDefault="00DA3A84" w:rsidP="0011251C">
      <w:pPr>
        <w:spacing w:after="0" w:line="240" w:lineRule="auto"/>
      </w:pPr>
      <w:r>
        <w:continuationSeparator/>
      </w:r>
    </w:p>
  </w:endnote>
  <w:endnote w:type="continuationNotice" w:id="1">
    <w:p w14:paraId="6D54761F" w14:textId="77777777" w:rsidR="00DA3A84" w:rsidRDefault="00DA3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6A3" w14:textId="77777777" w:rsidR="00C2542C" w:rsidRDefault="00C2542C" w:rsidP="00AB0471">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1174" w14:textId="4EF1666F" w:rsidR="00C2542C" w:rsidRPr="000438CB" w:rsidRDefault="00C2542C" w:rsidP="000438CB">
    <w:pPr>
      <w:pStyle w:val="Footer"/>
    </w:pPr>
    <w:r w:rsidRPr="000438C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AD2F" w14:textId="77777777" w:rsidR="005A7C5E" w:rsidRPr="000438CB" w:rsidRDefault="005A7C5E" w:rsidP="000438CB">
    <w:pPr>
      <w:pStyle w:val="Footer"/>
    </w:pPr>
    <w:r w:rsidRPr="000438CB">
      <w:t xml:space="preserve">Prepared by hereco for </w:t>
    </w:r>
    <w:r>
      <w:t>the Department of Health and Aged Care</w:t>
    </w:r>
    <w:r w:rsidRPr="000438CB">
      <w:tab/>
      <w:t xml:space="preserve">Page | </w:t>
    </w:r>
    <w:r w:rsidRPr="000438CB">
      <w:fldChar w:fldCharType="begin"/>
    </w:r>
    <w:r w:rsidRPr="000438CB">
      <w:instrText xml:space="preserve"> PAGE   \* MERGEFORMAT </w:instrText>
    </w:r>
    <w:r w:rsidRPr="000438CB">
      <w:fldChar w:fldCharType="separate"/>
    </w:r>
    <w:r w:rsidRPr="000438CB">
      <w:t>20</w:t>
    </w:r>
    <w:r w:rsidRPr="000438C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3B1" w14:textId="77777777" w:rsidR="00B7709E" w:rsidRDefault="003C0D5B">
    <w:pPr>
      <w:pStyle w:val="Footer"/>
    </w:pPr>
    <w:r w:rsidRPr="000438CB">
      <w:t xml:space="preserve">Prepared by hereco for </w:t>
    </w:r>
    <w:r>
      <w:t>the Department of Health and Aged Care</w:t>
    </w:r>
    <w:r w:rsidRPr="000438CB">
      <w:tab/>
      <w:t xml:space="preserve">Page | </w:t>
    </w:r>
    <w:r w:rsidRPr="000438CB">
      <w:fldChar w:fldCharType="begin"/>
    </w:r>
    <w:r w:rsidRPr="000438CB">
      <w:instrText xml:space="preserve"> PAGE   \* MERGEFORMAT </w:instrText>
    </w:r>
    <w:r w:rsidRPr="000438CB">
      <w:fldChar w:fldCharType="separate"/>
    </w:r>
    <w:r w:rsidRPr="000438CB">
      <w:t>20</w:t>
    </w:r>
    <w:r w:rsidRPr="000438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077C" w14:textId="77777777" w:rsidR="00DA3A84" w:rsidRDefault="00DA3A84" w:rsidP="0011251C">
      <w:pPr>
        <w:spacing w:after="0" w:line="240" w:lineRule="auto"/>
      </w:pPr>
      <w:r>
        <w:separator/>
      </w:r>
    </w:p>
  </w:footnote>
  <w:footnote w:type="continuationSeparator" w:id="0">
    <w:p w14:paraId="294D98D9" w14:textId="77777777" w:rsidR="00DA3A84" w:rsidRDefault="00DA3A84" w:rsidP="0011251C">
      <w:pPr>
        <w:spacing w:after="0" w:line="240" w:lineRule="auto"/>
      </w:pPr>
      <w:r>
        <w:continuationSeparator/>
      </w:r>
    </w:p>
  </w:footnote>
  <w:footnote w:type="continuationNotice" w:id="1">
    <w:p w14:paraId="52223F8A" w14:textId="77777777" w:rsidR="00DA3A84" w:rsidRDefault="00DA3A84">
      <w:pPr>
        <w:spacing w:after="0" w:line="240" w:lineRule="auto"/>
      </w:pPr>
    </w:p>
  </w:footnote>
  <w:footnote w:id="2">
    <w:p w14:paraId="39AFF5E2" w14:textId="79C236E8" w:rsidR="00263B20" w:rsidRDefault="00263B20">
      <w:pPr>
        <w:pStyle w:val="FootnoteText"/>
      </w:pPr>
      <w:r>
        <w:rPr>
          <w:rStyle w:val="FootnoteReference"/>
        </w:rPr>
        <w:footnoteRef/>
      </w:r>
      <w:hyperlink r:id="rId1" w:tooltip="This link goes to the TGA urogynaecological (transvaginal) surgical mesh hub" w:history="1">
        <w:r w:rsidRPr="00083A37">
          <w:rPr>
            <w:rStyle w:val="Hyperlink"/>
          </w:rPr>
          <w:t xml:space="preserve"> https://www.tga.gov.au/products/medical-devices/urogynaecological-transvaginal-surgical-mesh-hub</w:t>
        </w:r>
      </w:hyperlink>
      <w:r w:rsidRPr="001F310E">
        <w:t xml:space="preserve"> [Accessed 31 March 2023]</w:t>
      </w:r>
    </w:p>
  </w:footnote>
  <w:footnote w:id="3">
    <w:p w14:paraId="00481AB9" w14:textId="68DC55CD" w:rsidR="00C814EC" w:rsidRDefault="00C814EC">
      <w:pPr>
        <w:pStyle w:val="FootnoteText"/>
      </w:pPr>
      <w:r>
        <w:rPr>
          <w:rStyle w:val="FootnoteReference"/>
        </w:rPr>
        <w:footnoteRef/>
      </w:r>
      <w:r>
        <w:t xml:space="preserve"> </w:t>
      </w:r>
      <w:r w:rsidR="00125BA6">
        <w:t>Better indicated by higher values</w:t>
      </w:r>
    </w:p>
  </w:footnote>
  <w:footnote w:id="4">
    <w:p w14:paraId="763618DD" w14:textId="433A9635" w:rsidR="00066D03" w:rsidRDefault="00066D03">
      <w:pPr>
        <w:pStyle w:val="FootnoteText"/>
      </w:pPr>
      <w:r>
        <w:rPr>
          <w:rStyle w:val="FootnoteReference"/>
        </w:rPr>
        <w:footnoteRef/>
      </w:r>
      <w:r>
        <w:t xml:space="preserve"> </w:t>
      </w:r>
      <w:r w:rsidR="00A91F07">
        <w:t>Better indicated by lower values</w:t>
      </w:r>
    </w:p>
  </w:footnote>
  <w:footnote w:id="5">
    <w:p w14:paraId="7A8ECC56" w14:textId="7DE2B2CF" w:rsidR="00A6259F" w:rsidRDefault="00A6259F" w:rsidP="00736C05">
      <w:pPr>
        <w:pStyle w:val="FootnoteText"/>
      </w:pPr>
      <w:r>
        <w:rPr>
          <w:rStyle w:val="FootnoteReference"/>
        </w:rPr>
        <w:footnoteRef/>
      </w:r>
      <w:r>
        <w:t xml:space="preserve"> </w:t>
      </w:r>
      <w:hyperlink r:id="rId2" w:tooltip="This link goes to the Health Canada 2022 Summary Safety Review of mid-urethral slings" w:history="1">
        <w:r w:rsidR="00736C05">
          <w:rPr>
            <w:rFonts w:eastAsia="Calibri"/>
            <w:lang w:eastAsia="en-AU"/>
          </w:rPr>
          <w:t>https://hpr-rps.hres.ca/reg-content/summary-safety-review-detail.php?lang=en&amp;linkID=</w:t>
        </w:r>
        <w:r w:rsidR="00736C05" w:rsidRPr="00736C05">
          <w:rPr>
            <w:rFonts w:eastAsia="Calibri"/>
          </w:rPr>
          <w:t>SSR00288</w:t>
        </w:r>
      </w:hyperlink>
      <w:r w:rsidR="00736C05">
        <w:rPr>
          <w:rFonts w:eastAsia="Calibri"/>
        </w:rPr>
        <w:t xml:space="preserve"> </w:t>
      </w:r>
      <w:r w:rsidR="00F416A8">
        <w:rPr>
          <w:rFonts w:eastAsia="Calibri"/>
        </w:rPr>
        <w:t>[accessed: 01 February 2023]</w:t>
      </w:r>
      <w:r w:rsidR="00736C05">
        <w:rPr>
          <w:rFonts w:eastAsia="Calibri"/>
          <w:lang w:eastAsia="en-AU"/>
        </w:rPr>
        <w:t xml:space="preserve">   </w:t>
      </w:r>
    </w:p>
  </w:footnote>
  <w:footnote w:id="6">
    <w:p w14:paraId="489BAD0E" w14:textId="2D630479" w:rsidR="0054627C" w:rsidRDefault="0054627C">
      <w:pPr>
        <w:pStyle w:val="FootnoteText"/>
      </w:pPr>
      <w:r>
        <w:rPr>
          <w:rStyle w:val="FootnoteReference"/>
        </w:rPr>
        <w:footnoteRef/>
      </w:r>
      <w:r>
        <w:t xml:space="preserve"> </w:t>
      </w:r>
      <w:r w:rsidR="00BA7461">
        <w:t xml:space="preserve">See </w:t>
      </w:r>
      <w:hyperlink r:id="rId3" w:tooltip="This link goes to a webpage to download publications on Advice on the Prostheses List adjusted benefit amounts" w:history="1">
        <w:r w:rsidR="000448C4" w:rsidRPr="009E5EB1">
          <w:rPr>
            <w:rStyle w:val="Hyperlink"/>
          </w:rPr>
          <w:t>https://www.health.gov.au/resources/publications/advice-on-the-prostheses-list-adjusted-benefit-amounts</w:t>
        </w:r>
      </w:hyperlink>
      <w:r w:rsidR="000448C4">
        <w:t xml:space="preserve"> </w:t>
      </w:r>
    </w:p>
  </w:footnote>
  <w:footnote w:id="7">
    <w:p w14:paraId="781854F4" w14:textId="6FB0F630" w:rsidR="00C172E1" w:rsidRDefault="00C172E1">
      <w:pPr>
        <w:pStyle w:val="FootnoteText"/>
      </w:pPr>
      <w:r>
        <w:rPr>
          <w:rStyle w:val="FootnoteReference"/>
        </w:rPr>
        <w:footnoteRef/>
      </w:r>
      <w:r>
        <w:t xml:space="preserve"> </w:t>
      </w:r>
      <w:hyperlink r:id="rId4" w:tooltip="This link goes to a Royal Women's Hospital fact sheet on treating urinary incontinence with a mid-urethral sling operation" w:history="1">
        <w:r w:rsidRPr="00743331">
          <w:rPr>
            <w:rStyle w:val="Hyperlink"/>
          </w:rPr>
          <w:t>https://www.thewomens.org.au/images/uploads/fact-sheets/Urinary-incontinence-Mid-Urethral-Sling.pdf</w:t>
        </w:r>
      </w:hyperlink>
      <w:r>
        <w:t xml:space="preserve"> </w:t>
      </w:r>
    </w:p>
  </w:footnote>
  <w:footnote w:id="8">
    <w:p w14:paraId="1FA61F0B" w14:textId="40A515E4" w:rsidR="0046120C" w:rsidRDefault="0046120C">
      <w:pPr>
        <w:pStyle w:val="FootnoteText"/>
      </w:pPr>
      <w:r>
        <w:rPr>
          <w:rStyle w:val="FootnoteReference"/>
        </w:rPr>
        <w:footnoteRef/>
      </w:r>
      <w:r>
        <w:t xml:space="preserve"> Available at: </w:t>
      </w:r>
      <w:hyperlink r:id="rId5" w:tooltip="This link goes to a website listing medical services and devices and associated benefits in the Belgian national health insurance system" w:history="1">
        <w:r w:rsidR="00BB4C82" w:rsidRPr="002E232D">
          <w:rPr>
            <w:rStyle w:val="Hyperlink"/>
          </w:rPr>
          <w:t>https://www.riziv.fgov.be/fr/professionnels/sante/fournisseurs-implants/Pages/implants-liste-prestations-nominatives.aspx</w:t>
        </w:r>
      </w:hyperlink>
      <w:r w:rsidR="00BB4C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9E53" w14:textId="77777777" w:rsidR="00C2542C" w:rsidRDefault="00000000">
    <w:pPr>
      <w:pStyle w:val="Header"/>
    </w:pPr>
    <w:r>
      <w:rPr>
        <w:noProof/>
      </w:rPr>
      <w:pict w14:anchorId="7A40D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3568" o:spid="_x0000_s1047" type="#_x0000_t136" style="position:absolute;margin-left:0;margin-top:0;width:614.7pt;height:64.7pt;rotation:315;z-index:-251658240;mso-position-horizontal:center;mso-position-horizontal-relative:margin;mso-position-vertical:center;mso-position-vertical-relative:margin" o:allowincell="f" fillcolor="silver" stroked="f">
          <v:fill opacity=".5"/>
          <v:textpath style="font-family:&quot;Century Gothic&quot;;font-size:1pt" string="Draft - In confid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910A" w14:textId="77777777" w:rsidR="00C2542C" w:rsidRDefault="00000000">
    <w:pPr>
      <w:pStyle w:val="Header"/>
    </w:pPr>
    <w:r>
      <w:rPr>
        <w:noProof/>
      </w:rPr>
      <w:pict w14:anchorId="2487E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3567" o:spid="_x0000_s1046" type="#_x0000_t136" style="position:absolute;margin-left:0;margin-top:0;width:614.7pt;height:64.7pt;rotation:315;z-index:-251658239;mso-position-horizontal:center;mso-position-horizontal-relative:margin;mso-position-vertical:center;mso-position-vertical-relative:margin" o:allowincell="f" fillcolor="silver" stroked="f">
          <v:fill opacity=".5"/>
          <v:textpath style="font-family:&quot;Century Gothic&quot;;font-size:1pt" string="Draft - In confide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1720" w14:textId="77777777" w:rsidR="00B7709E" w:rsidRDefault="00B7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B26"/>
    <w:multiLevelType w:val="hybridMultilevel"/>
    <w:tmpl w:val="21867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EA32F6"/>
    <w:multiLevelType w:val="multilevel"/>
    <w:tmpl w:val="715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C4A89"/>
    <w:multiLevelType w:val="hybridMultilevel"/>
    <w:tmpl w:val="5D063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33284"/>
    <w:multiLevelType w:val="hybridMultilevel"/>
    <w:tmpl w:val="44A4A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33980"/>
    <w:multiLevelType w:val="hybridMultilevel"/>
    <w:tmpl w:val="3BB87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F68E7"/>
    <w:multiLevelType w:val="hybridMultilevel"/>
    <w:tmpl w:val="75F8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A156A"/>
    <w:multiLevelType w:val="hybridMultilevel"/>
    <w:tmpl w:val="6DCC8F2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15:restartNumberingAfterBreak="0">
    <w:nsid w:val="38205708"/>
    <w:multiLevelType w:val="hybridMultilevel"/>
    <w:tmpl w:val="1602C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CB7AFE"/>
    <w:multiLevelType w:val="hybridMultilevel"/>
    <w:tmpl w:val="A50A249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8F25064"/>
    <w:multiLevelType w:val="hybridMultilevel"/>
    <w:tmpl w:val="9B5A4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5361F1"/>
    <w:multiLevelType w:val="hybridMultilevel"/>
    <w:tmpl w:val="54A4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FC031F"/>
    <w:multiLevelType w:val="hybridMultilevel"/>
    <w:tmpl w:val="CD8E42C4"/>
    <w:lvl w:ilvl="0" w:tplc="C184A09A">
      <w:start w:val="1"/>
      <w:numFmt w:val="bullet"/>
      <w:pStyle w:val="071Tablebullet8p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5F30A4"/>
    <w:multiLevelType w:val="hybridMultilevel"/>
    <w:tmpl w:val="B554E26C"/>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3" w15:restartNumberingAfterBreak="0">
    <w:nsid w:val="4571418E"/>
    <w:multiLevelType w:val="hybridMultilevel"/>
    <w:tmpl w:val="36D29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613E66"/>
    <w:multiLevelType w:val="hybridMultilevel"/>
    <w:tmpl w:val="C13CD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456E47"/>
    <w:multiLevelType w:val="hybridMultilevel"/>
    <w:tmpl w:val="E424B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DC245E"/>
    <w:multiLevelType w:val="hybridMultilevel"/>
    <w:tmpl w:val="993AF11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15:restartNumberingAfterBreak="0">
    <w:nsid w:val="50D00A2F"/>
    <w:multiLevelType w:val="multilevel"/>
    <w:tmpl w:val="1D4EA04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decimal"/>
      <w:lvlText w:val="%7.%8"/>
      <w:lvlJc w:val="left"/>
      <w:pPr>
        <w:ind w:left="0" w:firstLine="0"/>
      </w:pPr>
      <w:rPr>
        <w:rFonts w:hint="default"/>
      </w:rPr>
    </w:lvl>
    <w:lvl w:ilvl="8">
      <w:start w:val="1"/>
      <w:numFmt w:val="decimal"/>
      <w:lvlText w:val="%7.%8.%9"/>
      <w:lvlJc w:val="left"/>
      <w:pPr>
        <w:ind w:left="0" w:firstLine="0"/>
      </w:pPr>
      <w:rPr>
        <w:rFonts w:hint="default"/>
      </w:rPr>
    </w:lvl>
  </w:abstractNum>
  <w:abstractNum w:abstractNumId="18" w15:restartNumberingAfterBreak="0">
    <w:nsid w:val="55D16E2C"/>
    <w:multiLevelType w:val="hybridMultilevel"/>
    <w:tmpl w:val="570827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F141EE"/>
    <w:multiLevelType w:val="hybridMultilevel"/>
    <w:tmpl w:val="99922348"/>
    <w:lvl w:ilvl="0" w:tplc="0C090001">
      <w:start w:val="1"/>
      <w:numFmt w:val="bullet"/>
      <w:lvlText w:val=""/>
      <w:lvlJc w:val="left"/>
      <w:pPr>
        <w:ind w:left="360" w:hanging="360"/>
      </w:pPr>
      <w:rPr>
        <w:rFonts w:ascii="Symbol" w:hAnsi="Symbol" w:hint="default"/>
      </w:rPr>
    </w:lvl>
    <w:lvl w:ilvl="1" w:tplc="E984FD78">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C23273"/>
    <w:multiLevelType w:val="hybridMultilevel"/>
    <w:tmpl w:val="5614B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D34C23"/>
    <w:multiLevelType w:val="hybridMultilevel"/>
    <w:tmpl w:val="B68EDBDA"/>
    <w:lvl w:ilvl="0" w:tplc="F66C3D02">
      <w:start w:val="1"/>
      <w:numFmt w:val="bullet"/>
      <w:pStyle w:val="Bulletpoint"/>
      <w:lvlText w:val=""/>
      <w:lvlJc w:val="left"/>
      <w:pPr>
        <w:ind w:left="729" w:hanging="360"/>
      </w:pPr>
      <w:rPr>
        <w:rFonts w:ascii="Symbol" w:hAnsi="Symbol" w:hint="default"/>
      </w:rPr>
    </w:lvl>
    <w:lvl w:ilvl="1" w:tplc="9AA8C29C">
      <w:start w:val="1"/>
      <w:numFmt w:val="bullet"/>
      <w:pStyle w:val="Bulletpoint2ndlevel"/>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2" w15:restartNumberingAfterBreak="0">
    <w:nsid w:val="5EF94771"/>
    <w:multiLevelType w:val="hybridMultilevel"/>
    <w:tmpl w:val="335CB48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ED07EDC"/>
    <w:multiLevelType w:val="hybridMultilevel"/>
    <w:tmpl w:val="B554E26C"/>
    <w:lvl w:ilvl="0" w:tplc="6046CF6A">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4" w15:restartNumberingAfterBreak="0">
    <w:nsid w:val="70391826"/>
    <w:multiLevelType w:val="hybridMultilevel"/>
    <w:tmpl w:val="82382CE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BA6365"/>
    <w:multiLevelType w:val="hybridMultilevel"/>
    <w:tmpl w:val="2E34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724BE9"/>
    <w:multiLevelType w:val="hybridMultilevel"/>
    <w:tmpl w:val="00AAB1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15637E"/>
    <w:multiLevelType w:val="hybridMultilevel"/>
    <w:tmpl w:val="14C2A6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DEAE4F72">
      <w:numFmt w:val="bullet"/>
      <w:lvlText w:val="•"/>
      <w:lvlJc w:val="left"/>
      <w:pPr>
        <w:ind w:left="2520" w:hanging="36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A75689"/>
    <w:multiLevelType w:val="hybridMultilevel"/>
    <w:tmpl w:val="1B3C3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BD0F5E"/>
    <w:multiLevelType w:val="hybridMultilevel"/>
    <w:tmpl w:val="77D0C09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0" w15:restartNumberingAfterBreak="0">
    <w:nsid w:val="79ED44B7"/>
    <w:multiLevelType w:val="hybridMultilevel"/>
    <w:tmpl w:val="B28AE8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852437"/>
    <w:multiLevelType w:val="hybridMultilevel"/>
    <w:tmpl w:val="23B66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F24F17"/>
    <w:multiLevelType w:val="hybridMultilevel"/>
    <w:tmpl w:val="D6504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1E33B7"/>
    <w:multiLevelType w:val="multilevel"/>
    <w:tmpl w:val="BDC491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upperLetter"/>
      <w:pStyle w:val="Heading7"/>
      <w:lvlText w:val="Appendix %7"/>
      <w:lvlJc w:val="left"/>
      <w:pPr>
        <w:ind w:left="1928" w:hanging="1928"/>
      </w:pPr>
      <w:rPr>
        <w:rFonts w:hint="default"/>
        <w:i w:val="0"/>
        <w:iCs w:val="0"/>
      </w:rPr>
    </w:lvl>
    <w:lvl w:ilvl="7">
      <w:start w:val="1"/>
      <w:numFmt w:val="decimal"/>
      <w:pStyle w:val="Heading8"/>
      <w:lvlText w:val="%7.%8"/>
      <w:lvlJc w:val="left"/>
      <w:pPr>
        <w:ind w:left="680" w:hanging="680"/>
      </w:pPr>
      <w:rPr>
        <w:rFonts w:hint="default"/>
      </w:rPr>
    </w:lvl>
    <w:lvl w:ilvl="8">
      <w:start w:val="1"/>
      <w:numFmt w:val="decimal"/>
      <w:pStyle w:val="Heading9"/>
      <w:lvlText w:val="%7.%8.%9"/>
      <w:lvlJc w:val="left"/>
      <w:pPr>
        <w:ind w:left="907" w:hanging="907"/>
      </w:pPr>
      <w:rPr>
        <w:rFonts w:hint="default"/>
      </w:rPr>
    </w:lvl>
  </w:abstractNum>
  <w:num w:numId="1" w16cid:durableId="1613588862">
    <w:abstractNumId w:val="21"/>
  </w:num>
  <w:num w:numId="2" w16cid:durableId="365250652">
    <w:abstractNumId w:val="17"/>
  </w:num>
  <w:num w:numId="3" w16cid:durableId="1041368263">
    <w:abstractNumId w:val="11"/>
  </w:num>
  <w:num w:numId="4" w16cid:durableId="1476601892">
    <w:abstractNumId w:val="8"/>
  </w:num>
  <w:num w:numId="5" w16cid:durableId="1534423527">
    <w:abstractNumId w:val="25"/>
  </w:num>
  <w:num w:numId="6" w16cid:durableId="1476338334">
    <w:abstractNumId w:val="23"/>
  </w:num>
  <w:num w:numId="7" w16cid:durableId="1681008320">
    <w:abstractNumId w:val="10"/>
  </w:num>
  <w:num w:numId="8" w16cid:durableId="844828365">
    <w:abstractNumId w:val="30"/>
  </w:num>
  <w:num w:numId="9" w16cid:durableId="1532647782">
    <w:abstractNumId w:val="18"/>
  </w:num>
  <w:num w:numId="10" w16cid:durableId="1427194530">
    <w:abstractNumId w:val="16"/>
  </w:num>
  <w:num w:numId="11" w16cid:durableId="189686795">
    <w:abstractNumId w:val="6"/>
  </w:num>
  <w:num w:numId="12" w16cid:durableId="1991251640">
    <w:abstractNumId w:val="15"/>
  </w:num>
  <w:num w:numId="13" w16cid:durableId="957107623">
    <w:abstractNumId w:val="19"/>
  </w:num>
  <w:num w:numId="14" w16cid:durableId="234245061">
    <w:abstractNumId w:val="24"/>
  </w:num>
  <w:num w:numId="15" w16cid:durableId="262229180">
    <w:abstractNumId w:val="22"/>
  </w:num>
  <w:num w:numId="16" w16cid:durableId="1675960544">
    <w:abstractNumId w:val="28"/>
  </w:num>
  <w:num w:numId="17" w16cid:durableId="1257325609">
    <w:abstractNumId w:val="4"/>
  </w:num>
  <w:num w:numId="18" w16cid:durableId="799342911">
    <w:abstractNumId w:val="32"/>
  </w:num>
  <w:num w:numId="19" w16cid:durableId="967009113">
    <w:abstractNumId w:val="3"/>
  </w:num>
  <w:num w:numId="20" w16cid:durableId="1540971684">
    <w:abstractNumId w:val="13"/>
  </w:num>
  <w:num w:numId="21" w16cid:durableId="424620057">
    <w:abstractNumId w:val="20"/>
  </w:num>
  <w:num w:numId="22" w16cid:durableId="1434670614">
    <w:abstractNumId w:val="1"/>
  </w:num>
  <w:num w:numId="23" w16cid:durableId="1901135274">
    <w:abstractNumId w:val="27"/>
  </w:num>
  <w:num w:numId="24" w16cid:durableId="686907552">
    <w:abstractNumId w:val="12"/>
  </w:num>
  <w:num w:numId="25" w16cid:durableId="1605654590">
    <w:abstractNumId w:val="31"/>
  </w:num>
  <w:num w:numId="26" w16cid:durableId="392698182">
    <w:abstractNumId w:val="14"/>
  </w:num>
  <w:num w:numId="27" w16cid:durableId="1040474243">
    <w:abstractNumId w:val="9"/>
  </w:num>
  <w:num w:numId="28" w16cid:durableId="978193443">
    <w:abstractNumId w:val="26"/>
  </w:num>
  <w:num w:numId="29" w16cid:durableId="239681788">
    <w:abstractNumId w:val="7"/>
  </w:num>
  <w:num w:numId="30" w16cid:durableId="1762481007">
    <w:abstractNumId w:val="0"/>
  </w:num>
  <w:num w:numId="31" w16cid:durableId="879782618">
    <w:abstractNumId w:val="29"/>
  </w:num>
  <w:num w:numId="32" w16cid:durableId="382605990">
    <w:abstractNumId w:val="33"/>
  </w:num>
  <w:num w:numId="33" w16cid:durableId="1119953802">
    <w:abstractNumId w:val="2"/>
  </w:num>
  <w:num w:numId="34" w16cid:durableId="47417842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 (hereco NP)&lt;/Style&gt;&lt;LeftDelim&gt;{&lt;/LeftDelim&gt;&lt;RightDelim&gt;}&lt;/RightDelim&gt;&lt;FontName&gt;Calibri&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wf2vsappdwrve2ts5x9swr05f0fe5wwe52&quot;&gt;MUS EndNote library&lt;record-ids&gt;&lt;item&gt;1&lt;/item&gt;&lt;item&gt;5&lt;/item&gt;&lt;item&gt;6&lt;/item&gt;&lt;item&gt;7&lt;/item&gt;&lt;item&gt;10&lt;/item&gt;&lt;item&gt;11&lt;/item&gt;&lt;item&gt;12&lt;/item&gt;&lt;item&gt;15&lt;/item&gt;&lt;item&gt;17&lt;/item&gt;&lt;item&gt;18&lt;/item&gt;&lt;item&gt;19&lt;/item&gt;&lt;item&gt;23&lt;/item&gt;&lt;item&gt;24&lt;/item&gt;&lt;item&gt;27&lt;/item&gt;&lt;item&gt;28&lt;/item&gt;&lt;item&gt;29&lt;/item&gt;&lt;item&gt;30&lt;/item&gt;&lt;item&gt;32&lt;/item&gt;&lt;item&gt;33&lt;/item&gt;&lt;item&gt;34&lt;/item&gt;&lt;item&gt;36&lt;/item&gt;&lt;item&gt;37&lt;/item&gt;&lt;item&gt;38&lt;/item&gt;&lt;item&gt;39&lt;/item&gt;&lt;item&gt;40&lt;/item&gt;&lt;item&gt;41&lt;/item&gt;&lt;item&gt;42&lt;/item&gt;&lt;item&gt;44&lt;/item&gt;&lt;item&gt;45&lt;/item&gt;&lt;item&gt;47&lt;/item&gt;&lt;item&gt;48&lt;/item&gt;&lt;item&gt;49&lt;/item&gt;&lt;item&gt;50&lt;/item&gt;&lt;item&gt;51&lt;/item&gt;&lt;item&gt;52&lt;/item&gt;&lt;item&gt;54&lt;/item&gt;&lt;item&gt;56&lt;/item&gt;&lt;item&gt;57&lt;/item&gt;&lt;item&gt;58&lt;/item&gt;&lt;item&gt;59&lt;/item&gt;&lt;item&gt;60&lt;/item&gt;&lt;item&gt;61&lt;/item&gt;&lt;item&gt;62&lt;/item&gt;&lt;item&gt;63&lt;/item&gt;&lt;item&gt;64&lt;/item&gt;&lt;item&gt;65&lt;/item&gt;&lt;item&gt;66&lt;/item&gt;&lt;/record-ids&gt;&lt;/item&gt;&lt;/Libraries&gt;"/>
  </w:docVars>
  <w:rsids>
    <w:rsidRoot w:val="008F3949"/>
    <w:rsid w:val="00000022"/>
    <w:rsid w:val="000000FD"/>
    <w:rsid w:val="0000020A"/>
    <w:rsid w:val="00000233"/>
    <w:rsid w:val="0000039C"/>
    <w:rsid w:val="00000408"/>
    <w:rsid w:val="000005A1"/>
    <w:rsid w:val="00000646"/>
    <w:rsid w:val="000008A5"/>
    <w:rsid w:val="00000B3F"/>
    <w:rsid w:val="000013B5"/>
    <w:rsid w:val="000016C1"/>
    <w:rsid w:val="0000180A"/>
    <w:rsid w:val="00001996"/>
    <w:rsid w:val="00001A66"/>
    <w:rsid w:val="00001B43"/>
    <w:rsid w:val="00001B7C"/>
    <w:rsid w:val="00001C00"/>
    <w:rsid w:val="00001C55"/>
    <w:rsid w:val="00001E77"/>
    <w:rsid w:val="00001F51"/>
    <w:rsid w:val="00001FBD"/>
    <w:rsid w:val="0000225F"/>
    <w:rsid w:val="000023F7"/>
    <w:rsid w:val="00002598"/>
    <w:rsid w:val="000026BC"/>
    <w:rsid w:val="00002843"/>
    <w:rsid w:val="0000294A"/>
    <w:rsid w:val="00002975"/>
    <w:rsid w:val="00002AA3"/>
    <w:rsid w:val="00002B48"/>
    <w:rsid w:val="00002B75"/>
    <w:rsid w:val="00002BF4"/>
    <w:rsid w:val="00002CE2"/>
    <w:rsid w:val="00002F03"/>
    <w:rsid w:val="00003135"/>
    <w:rsid w:val="00003244"/>
    <w:rsid w:val="000037ED"/>
    <w:rsid w:val="00003D72"/>
    <w:rsid w:val="00003D7F"/>
    <w:rsid w:val="00003F89"/>
    <w:rsid w:val="00003F9F"/>
    <w:rsid w:val="000040FF"/>
    <w:rsid w:val="0000413C"/>
    <w:rsid w:val="00004555"/>
    <w:rsid w:val="0000483E"/>
    <w:rsid w:val="00004A72"/>
    <w:rsid w:val="00004B5A"/>
    <w:rsid w:val="00004F30"/>
    <w:rsid w:val="00004FC9"/>
    <w:rsid w:val="00005003"/>
    <w:rsid w:val="000050E4"/>
    <w:rsid w:val="000051B6"/>
    <w:rsid w:val="00005437"/>
    <w:rsid w:val="00005758"/>
    <w:rsid w:val="0000588E"/>
    <w:rsid w:val="00005932"/>
    <w:rsid w:val="00005AFB"/>
    <w:rsid w:val="00005B60"/>
    <w:rsid w:val="00005BBE"/>
    <w:rsid w:val="00005D6A"/>
    <w:rsid w:val="00005F61"/>
    <w:rsid w:val="000060DE"/>
    <w:rsid w:val="000062A8"/>
    <w:rsid w:val="000062FC"/>
    <w:rsid w:val="00006411"/>
    <w:rsid w:val="00006424"/>
    <w:rsid w:val="0000648B"/>
    <w:rsid w:val="00006517"/>
    <w:rsid w:val="000065D3"/>
    <w:rsid w:val="00007094"/>
    <w:rsid w:val="000073B7"/>
    <w:rsid w:val="00007413"/>
    <w:rsid w:val="0000741D"/>
    <w:rsid w:val="000075E2"/>
    <w:rsid w:val="000075F3"/>
    <w:rsid w:val="0000775E"/>
    <w:rsid w:val="00007778"/>
    <w:rsid w:val="00007792"/>
    <w:rsid w:val="000077AA"/>
    <w:rsid w:val="000077F2"/>
    <w:rsid w:val="00007937"/>
    <w:rsid w:val="0000795B"/>
    <w:rsid w:val="0000798B"/>
    <w:rsid w:val="00007B32"/>
    <w:rsid w:val="00007DF1"/>
    <w:rsid w:val="00007ECF"/>
    <w:rsid w:val="00007FC4"/>
    <w:rsid w:val="00010066"/>
    <w:rsid w:val="000100AE"/>
    <w:rsid w:val="000101CA"/>
    <w:rsid w:val="00010408"/>
    <w:rsid w:val="0001058A"/>
    <w:rsid w:val="0001062D"/>
    <w:rsid w:val="000106F1"/>
    <w:rsid w:val="00010E54"/>
    <w:rsid w:val="00010EC9"/>
    <w:rsid w:val="00010EF9"/>
    <w:rsid w:val="00010F47"/>
    <w:rsid w:val="00011113"/>
    <w:rsid w:val="00011166"/>
    <w:rsid w:val="0001140D"/>
    <w:rsid w:val="00011842"/>
    <w:rsid w:val="0001187A"/>
    <w:rsid w:val="00011BD5"/>
    <w:rsid w:val="00011DCB"/>
    <w:rsid w:val="00011E56"/>
    <w:rsid w:val="00011F77"/>
    <w:rsid w:val="000121D0"/>
    <w:rsid w:val="000122DD"/>
    <w:rsid w:val="00012332"/>
    <w:rsid w:val="0001243D"/>
    <w:rsid w:val="00012449"/>
    <w:rsid w:val="0001244F"/>
    <w:rsid w:val="00012613"/>
    <w:rsid w:val="000128A2"/>
    <w:rsid w:val="00012958"/>
    <w:rsid w:val="00012AF3"/>
    <w:rsid w:val="00012AF9"/>
    <w:rsid w:val="00012DD3"/>
    <w:rsid w:val="00012E38"/>
    <w:rsid w:val="00012E6A"/>
    <w:rsid w:val="00013605"/>
    <w:rsid w:val="0001372B"/>
    <w:rsid w:val="00013858"/>
    <w:rsid w:val="00013931"/>
    <w:rsid w:val="00013973"/>
    <w:rsid w:val="000139C7"/>
    <w:rsid w:val="00013AA2"/>
    <w:rsid w:val="00013ABA"/>
    <w:rsid w:val="00013C31"/>
    <w:rsid w:val="00013CEE"/>
    <w:rsid w:val="00013D62"/>
    <w:rsid w:val="00013F43"/>
    <w:rsid w:val="00013F50"/>
    <w:rsid w:val="00013FEC"/>
    <w:rsid w:val="000142D9"/>
    <w:rsid w:val="00014498"/>
    <w:rsid w:val="00014551"/>
    <w:rsid w:val="00014671"/>
    <w:rsid w:val="000146BA"/>
    <w:rsid w:val="000149C8"/>
    <w:rsid w:val="000149E2"/>
    <w:rsid w:val="00014F74"/>
    <w:rsid w:val="00014FAA"/>
    <w:rsid w:val="00015236"/>
    <w:rsid w:val="0001524F"/>
    <w:rsid w:val="00015277"/>
    <w:rsid w:val="000152F0"/>
    <w:rsid w:val="0001530A"/>
    <w:rsid w:val="00015492"/>
    <w:rsid w:val="000154EA"/>
    <w:rsid w:val="000154F2"/>
    <w:rsid w:val="000157ED"/>
    <w:rsid w:val="0001582F"/>
    <w:rsid w:val="000158CD"/>
    <w:rsid w:val="00015A2D"/>
    <w:rsid w:val="00015A7C"/>
    <w:rsid w:val="00015B4D"/>
    <w:rsid w:val="00015BDA"/>
    <w:rsid w:val="00015C8C"/>
    <w:rsid w:val="00015CAE"/>
    <w:rsid w:val="00015F6E"/>
    <w:rsid w:val="00016026"/>
    <w:rsid w:val="00016086"/>
    <w:rsid w:val="000162A0"/>
    <w:rsid w:val="000163EE"/>
    <w:rsid w:val="000163FC"/>
    <w:rsid w:val="0001651B"/>
    <w:rsid w:val="000166C9"/>
    <w:rsid w:val="000168E3"/>
    <w:rsid w:val="0001693F"/>
    <w:rsid w:val="00016F04"/>
    <w:rsid w:val="00016FC0"/>
    <w:rsid w:val="00017000"/>
    <w:rsid w:val="00017004"/>
    <w:rsid w:val="0001746B"/>
    <w:rsid w:val="000174C2"/>
    <w:rsid w:val="000175C5"/>
    <w:rsid w:val="000177CC"/>
    <w:rsid w:val="000178EC"/>
    <w:rsid w:val="000179AD"/>
    <w:rsid w:val="00017A04"/>
    <w:rsid w:val="00017E21"/>
    <w:rsid w:val="00017E25"/>
    <w:rsid w:val="00017F98"/>
    <w:rsid w:val="0002003D"/>
    <w:rsid w:val="00020056"/>
    <w:rsid w:val="0002010F"/>
    <w:rsid w:val="0002018B"/>
    <w:rsid w:val="000201DB"/>
    <w:rsid w:val="00020331"/>
    <w:rsid w:val="000205BB"/>
    <w:rsid w:val="00020608"/>
    <w:rsid w:val="00020613"/>
    <w:rsid w:val="0002075D"/>
    <w:rsid w:val="00020B0C"/>
    <w:rsid w:val="00020E42"/>
    <w:rsid w:val="0002125C"/>
    <w:rsid w:val="0002153F"/>
    <w:rsid w:val="00021717"/>
    <w:rsid w:val="00021793"/>
    <w:rsid w:val="000217AB"/>
    <w:rsid w:val="000219B9"/>
    <w:rsid w:val="00021BC9"/>
    <w:rsid w:val="00021C75"/>
    <w:rsid w:val="00021CCA"/>
    <w:rsid w:val="00022055"/>
    <w:rsid w:val="00022183"/>
    <w:rsid w:val="00022357"/>
    <w:rsid w:val="00022625"/>
    <w:rsid w:val="0002265B"/>
    <w:rsid w:val="00022831"/>
    <w:rsid w:val="0002288D"/>
    <w:rsid w:val="00022ACF"/>
    <w:rsid w:val="00022BD9"/>
    <w:rsid w:val="00022C6F"/>
    <w:rsid w:val="00022CC8"/>
    <w:rsid w:val="00023070"/>
    <w:rsid w:val="000230D6"/>
    <w:rsid w:val="0002316A"/>
    <w:rsid w:val="000233CE"/>
    <w:rsid w:val="00023ADE"/>
    <w:rsid w:val="00023E6D"/>
    <w:rsid w:val="00023F86"/>
    <w:rsid w:val="00023FBA"/>
    <w:rsid w:val="000243C7"/>
    <w:rsid w:val="00024656"/>
    <w:rsid w:val="0002479F"/>
    <w:rsid w:val="000249BC"/>
    <w:rsid w:val="00024AD2"/>
    <w:rsid w:val="00024AFB"/>
    <w:rsid w:val="00024D47"/>
    <w:rsid w:val="00024EAE"/>
    <w:rsid w:val="00025015"/>
    <w:rsid w:val="000250E1"/>
    <w:rsid w:val="00025161"/>
    <w:rsid w:val="0002517C"/>
    <w:rsid w:val="0002519D"/>
    <w:rsid w:val="000252EB"/>
    <w:rsid w:val="0002534C"/>
    <w:rsid w:val="00025389"/>
    <w:rsid w:val="000254A7"/>
    <w:rsid w:val="00025560"/>
    <w:rsid w:val="0002564D"/>
    <w:rsid w:val="00025688"/>
    <w:rsid w:val="0002570E"/>
    <w:rsid w:val="00025883"/>
    <w:rsid w:val="00025A3B"/>
    <w:rsid w:val="00025B77"/>
    <w:rsid w:val="00025BCA"/>
    <w:rsid w:val="00025C3D"/>
    <w:rsid w:val="00025C58"/>
    <w:rsid w:val="00025D68"/>
    <w:rsid w:val="00025F40"/>
    <w:rsid w:val="00025F72"/>
    <w:rsid w:val="000260FE"/>
    <w:rsid w:val="000267C6"/>
    <w:rsid w:val="0002699A"/>
    <w:rsid w:val="00026A3A"/>
    <w:rsid w:val="00026B2E"/>
    <w:rsid w:val="00026B3C"/>
    <w:rsid w:val="00026CF3"/>
    <w:rsid w:val="00026D46"/>
    <w:rsid w:val="00026FB7"/>
    <w:rsid w:val="0002717C"/>
    <w:rsid w:val="00027183"/>
    <w:rsid w:val="000271F2"/>
    <w:rsid w:val="0002727E"/>
    <w:rsid w:val="00027433"/>
    <w:rsid w:val="0002743B"/>
    <w:rsid w:val="00027B9B"/>
    <w:rsid w:val="00030144"/>
    <w:rsid w:val="00030172"/>
    <w:rsid w:val="000302C9"/>
    <w:rsid w:val="00030552"/>
    <w:rsid w:val="00030564"/>
    <w:rsid w:val="00030579"/>
    <w:rsid w:val="00030818"/>
    <w:rsid w:val="00030924"/>
    <w:rsid w:val="0003095F"/>
    <w:rsid w:val="00030AF8"/>
    <w:rsid w:val="00030B05"/>
    <w:rsid w:val="00030CB2"/>
    <w:rsid w:val="00030DE4"/>
    <w:rsid w:val="00030F3F"/>
    <w:rsid w:val="00030F5F"/>
    <w:rsid w:val="00031512"/>
    <w:rsid w:val="000317C1"/>
    <w:rsid w:val="00031834"/>
    <w:rsid w:val="00031869"/>
    <w:rsid w:val="000319D1"/>
    <w:rsid w:val="00031A2E"/>
    <w:rsid w:val="00031AD7"/>
    <w:rsid w:val="00031B80"/>
    <w:rsid w:val="00031CFE"/>
    <w:rsid w:val="0003210C"/>
    <w:rsid w:val="000323A4"/>
    <w:rsid w:val="0003262F"/>
    <w:rsid w:val="00032660"/>
    <w:rsid w:val="00032663"/>
    <w:rsid w:val="00032CED"/>
    <w:rsid w:val="00032D11"/>
    <w:rsid w:val="00032EEA"/>
    <w:rsid w:val="00032FD7"/>
    <w:rsid w:val="00033081"/>
    <w:rsid w:val="00033553"/>
    <w:rsid w:val="0003373E"/>
    <w:rsid w:val="0003378B"/>
    <w:rsid w:val="000337A7"/>
    <w:rsid w:val="0003380A"/>
    <w:rsid w:val="00033A4D"/>
    <w:rsid w:val="00033C3B"/>
    <w:rsid w:val="00033DCB"/>
    <w:rsid w:val="00033E62"/>
    <w:rsid w:val="00033E8A"/>
    <w:rsid w:val="00033E91"/>
    <w:rsid w:val="00033E94"/>
    <w:rsid w:val="00033F28"/>
    <w:rsid w:val="00034358"/>
    <w:rsid w:val="00034459"/>
    <w:rsid w:val="00034534"/>
    <w:rsid w:val="00034669"/>
    <w:rsid w:val="000346C0"/>
    <w:rsid w:val="00034835"/>
    <w:rsid w:val="00034845"/>
    <w:rsid w:val="000349BC"/>
    <w:rsid w:val="00034CC9"/>
    <w:rsid w:val="00035068"/>
    <w:rsid w:val="0003549E"/>
    <w:rsid w:val="000359CA"/>
    <w:rsid w:val="00035AC0"/>
    <w:rsid w:val="00035BAE"/>
    <w:rsid w:val="00035D1A"/>
    <w:rsid w:val="00036222"/>
    <w:rsid w:val="00036305"/>
    <w:rsid w:val="00036AFB"/>
    <w:rsid w:val="00036C27"/>
    <w:rsid w:val="00036C3E"/>
    <w:rsid w:val="00036CDF"/>
    <w:rsid w:val="00036E16"/>
    <w:rsid w:val="00036E72"/>
    <w:rsid w:val="00036F23"/>
    <w:rsid w:val="00036FA4"/>
    <w:rsid w:val="00037052"/>
    <w:rsid w:val="0003713B"/>
    <w:rsid w:val="0003726B"/>
    <w:rsid w:val="000373FA"/>
    <w:rsid w:val="00037583"/>
    <w:rsid w:val="000377A1"/>
    <w:rsid w:val="00037C5A"/>
    <w:rsid w:val="00037C87"/>
    <w:rsid w:val="00037D02"/>
    <w:rsid w:val="00037DBC"/>
    <w:rsid w:val="00037E5A"/>
    <w:rsid w:val="00037EF1"/>
    <w:rsid w:val="00037F41"/>
    <w:rsid w:val="00037F51"/>
    <w:rsid w:val="0004001C"/>
    <w:rsid w:val="00040026"/>
    <w:rsid w:val="000401CC"/>
    <w:rsid w:val="00040256"/>
    <w:rsid w:val="000402FF"/>
    <w:rsid w:val="00040388"/>
    <w:rsid w:val="000404E8"/>
    <w:rsid w:val="000404F4"/>
    <w:rsid w:val="00040585"/>
    <w:rsid w:val="00040780"/>
    <w:rsid w:val="00040AC3"/>
    <w:rsid w:val="00040AF2"/>
    <w:rsid w:val="00040B84"/>
    <w:rsid w:val="00040C82"/>
    <w:rsid w:val="00040F39"/>
    <w:rsid w:val="00040F3B"/>
    <w:rsid w:val="00040FD9"/>
    <w:rsid w:val="0004112D"/>
    <w:rsid w:val="000411E4"/>
    <w:rsid w:val="00041621"/>
    <w:rsid w:val="00041631"/>
    <w:rsid w:val="000416D5"/>
    <w:rsid w:val="0004180A"/>
    <w:rsid w:val="000419EF"/>
    <w:rsid w:val="00041C35"/>
    <w:rsid w:val="00041CC7"/>
    <w:rsid w:val="00041F02"/>
    <w:rsid w:val="00041F76"/>
    <w:rsid w:val="000420F0"/>
    <w:rsid w:val="00042196"/>
    <w:rsid w:val="00042A27"/>
    <w:rsid w:val="00042A82"/>
    <w:rsid w:val="00042AA1"/>
    <w:rsid w:val="00042B51"/>
    <w:rsid w:val="00042D22"/>
    <w:rsid w:val="00042DE0"/>
    <w:rsid w:val="00042E3C"/>
    <w:rsid w:val="00042F8D"/>
    <w:rsid w:val="000431B3"/>
    <w:rsid w:val="000435E5"/>
    <w:rsid w:val="000435EC"/>
    <w:rsid w:val="0004370D"/>
    <w:rsid w:val="000437DA"/>
    <w:rsid w:val="000437FA"/>
    <w:rsid w:val="00043877"/>
    <w:rsid w:val="000438CB"/>
    <w:rsid w:val="000439D5"/>
    <w:rsid w:val="00043BAC"/>
    <w:rsid w:val="00043BCC"/>
    <w:rsid w:val="00043CB7"/>
    <w:rsid w:val="00043DC3"/>
    <w:rsid w:val="00043E86"/>
    <w:rsid w:val="000440B8"/>
    <w:rsid w:val="000443B2"/>
    <w:rsid w:val="0004440B"/>
    <w:rsid w:val="00044847"/>
    <w:rsid w:val="000448C4"/>
    <w:rsid w:val="000448F8"/>
    <w:rsid w:val="000449DA"/>
    <w:rsid w:val="00044B8E"/>
    <w:rsid w:val="00044D56"/>
    <w:rsid w:val="00044E2C"/>
    <w:rsid w:val="00044E39"/>
    <w:rsid w:val="00045166"/>
    <w:rsid w:val="000451F1"/>
    <w:rsid w:val="0004529F"/>
    <w:rsid w:val="000455BD"/>
    <w:rsid w:val="00045701"/>
    <w:rsid w:val="00045814"/>
    <w:rsid w:val="00045AD7"/>
    <w:rsid w:val="00045B5B"/>
    <w:rsid w:val="00045E1B"/>
    <w:rsid w:val="00045E36"/>
    <w:rsid w:val="00045EB3"/>
    <w:rsid w:val="00045FD1"/>
    <w:rsid w:val="00046384"/>
    <w:rsid w:val="00046644"/>
    <w:rsid w:val="0004681A"/>
    <w:rsid w:val="00046822"/>
    <w:rsid w:val="00046CB0"/>
    <w:rsid w:val="00046CBC"/>
    <w:rsid w:val="00046F43"/>
    <w:rsid w:val="0004701F"/>
    <w:rsid w:val="00047035"/>
    <w:rsid w:val="00047140"/>
    <w:rsid w:val="000471CB"/>
    <w:rsid w:val="000471D9"/>
    <w:rsid w:val="0004749F"/>
    <w:rsid w:val="00047A21"/>
    <w:rsid w:val="00047C40"/>
    <w:rsid w:val="00047DD0"/>
    <w:rsid w:val="00047F95"/>
    <w:rsid w:val="00047FE8"/>
    <w:rsid w:val="000500D5"/>
    <w:rsid w:val="000501C9"/>
    <w:rsid w:val="000504D8"/>
    <w:rsid w:val="00050679"/>
    <w:rsid w:val="000506AD"/>
    <w:rsid w:val="00050AC2"/>
    <w:rsid w:val="00050CC9"/>
    <w:rsid w:val="00050E87"/>
    <w:rsid w:val="00051068"/>
    <w:rsid w:val="000510C4"/>
    <w:rsid w:val="000511B7"/>
    <w:rsid w:val="00051213"/>
    <w:rsid w:val="00051313"/>
    <w:rsid w:val="000513CC"/>
    <w:rsid w:val="00051543"/>
    <w:rsid w:val="00051846"/>
    <w:rsid w:val="000518B5"/>
    <w:rsid w:val="00051A1F"/>
    <w:rsid w:val="00051BDC"/>
    <w:rsid w:val="00051F2D"/>
    <w:rsid w:val="0005224D"/>
    <w:rsid w:val="000522C6"/>
    <w:rsid w:val="000524CA"/>
    <w:rsid w:val="000524CD"/>
    <w:rsid w:val="00052585"/>
    <w:rsid w:val="0005267A"/>
    <w:rsid w:val="0005269B"/>
    <w:rsid w:val="00052708"/>
    <w:rsid w:val="00052799"/>
    <w:rsid w:val="000527BF"/>
    <w:rsid w:val="000528F7"/>
    <w:rsid w:val="000529E2"/>
    <w:rsid w:val="00052AA8"/>
    <w:rsid w:val="00052AC3"/>
    <w:rsid w:val="00052EDC"/>
    <w:rsid w:val="0005302F"/>
    <w:rsid w:val="000530BE"/>
    <w:rsid w:val="000530C5"/>
    <w:rsid w:val="0005315F"/>
    <w:rsid w:val="00053352"/>
    <w:rsid w:val="0005355B"/>
    <w:rsid w:val="0005362C"/>
    <w:rsid w:val="0005375F"/>
    <w:rsid w:val="0005379F"/>
    <w:rsid w:val="00053838"/>
    <w:rsid w:val="00053860"/>
    <w:rsid w:val="000538E8"/>
    <w:rsid w:val="00053BB5"/>
    <w:rsid w:val="00053FCE"/>
    <w:rsid w:val="00054080"/>
    <w:rsid w:val="0005412E"/>
    <w:rsid w:val="00054401"/>
    <w:rsid w:val="0005445B"/>
    <w:rsid w:val="00054777"/>
    <w:rsid w:val="00054D51"/>
    <w:rsid w:val="000552A2"/>
    <w:rsid w:val="00055335"/>
    <w:rsid w:val="0005555A"/>
    <w:rsid w:val="0005556A"/>
    <w:rsid w:val="00055647"/>
    <w:rsid w:val="00055B2F"/>
    <w:rsid w:val="00055C9A"/>
    <w:rsid w:val="000561F7"/>
    <w:rsid w:val="00056214"/>
    <w:rsid w:val="000563D3"/>
    <w:rsid w:val="000563DF"/>
    <w:rsid w:val="0005677C"/>
    <w:rsid w:val="000567E4"/>
    <w:rsid w:val="000567F6"/>
    <w:rsid w:val="00056A23"/>
    <w:rsid w:val="00056ADE"/>
    <w:rsid w:val="00056B1B"/>
    <w:rsid w:val="00056D58"/>
    <w:rsid w:val="00056DD4"/>
    <w:rsid w:val="00056E3A"/>
    <w:rsid w:val="00056EE1"/>
    <w:rsid w:val="0005709D"/>
    <w:rsid w:val="000571B8"/>
    <w:rsid w:val="000572DE"/>
    <w:rsid w:val="00057577"/>
    <w:rsid w:val="00057673"/>
    <w:rsid w:val="000577E8"/>
    <w:rsid w:val="00057802"/>
    <w:rsid w:val="0005799A"/>
    <w:rsid w:val="00057A0B"/>
    <w:rsid w:val="00057A12"/>
    <w:rsid w:val="00057B2D"/>
    <w:rsid w:val="00057C3D"/>
    <w:rsid w:val="00057CE0"/>
    <w:rsid w:val="00057D78"/>
    <w:rsid w:val="00057DB7"/>
    <w:rsid w:val="00057FF4"/>
    <w:rsid w:val="000601AD"/>
    <w:rsid w:val="000602CC"/>
    <w:rsid w:val="00060330"/>
    <w:rsid w:val="0006049E"/>
    <w:rsid w:val="000609BF"/>
    <w:rsid w:val="00060E81"/>
    <w:rsid w:val="00060EA5"/>
    <w:rsid w:val="00061182"/>
    <w:rsid w:val="000611E2"/>
    <w:rsid w:val="000611E9"/>
    <w:rsid w:val="00061268"/>
    <w:rsid w:val="00061328"/>
    <w:rsid w:val="00061377"/>
    <w:rsid w:val="00061746"/>
    <w:rsid w:val="00061826"/>
    <w:rsid w:val="00061893"/>
    <w:rsid w:val="00061DF6"/>
    <w:rsid w:val="00061E17"/>
    <w:rsid w:val="00062109"/>
    <w:rsid w:val="00062214"/>
    <w:rsid w:val="00062269"/>
    <w:rsid w:val="00062350"/>
    <w:rsid w:val="0006250D"/>
    <w:rsid w:val="0006251A"/>
    <w:rsid w:val="000627B0"/>
    <w:rsid w:val="00062893"/>
    <w:rsid w:val="000629D8"/>
    <w:rsid w:val="00062C5E"/>
    <w:rsid w:val="00062DEA"/>
    <w:rsid w:val="00062E15"/>
    <w:rsid w:val="00062E80"/>
    <w:rsid w:val="00062EC2"/>
    <w:rsid w:val="00062F79"/>
    <w:rsid w:val="000632A7"/>
    <w:rsid w:val="000633C6"/>
    <w:rsid w:val="0006386C"/>
    <w:rsid w:val="000638FD"/>
    <w:rsid w:val="00063C28"/>
    <w:rsid w:val="00063C7C"/>
    <w:rsid w:val="00063DDF"/>
    <w:rsid w:val="00063FD4"/>
    <w:rsid w:val="000640F2"/>
    <w:rsid w:val="0006431A"/>
    <w:rsid w:val="00064497"/>
    <w:rsid w:val="000645F4"/>
    <w:rsid w:val="0006461F"/>
    <w:rsid w:val="00064760"/>
    <w:rsid w:val="000648A5"/>
    <w:rsid w:val="000648E4"/>
    <w:rsid w:val="000649F2"/>
    <w:rsid w:val="00064C79"/>
    <w:rsid w:val="00064CE4"/>
    <w:rsid w:val="00064D61"/>
    <w:rsid w:val="00064FED"/>
    <w:rsid w:val="00065188"/>
    <w:rsid w:val="0006525B"/>
    <w:rsid w:val="00065559"/>
    <w:rsid w:val="00065681"/>
    <w:rsid w:val="000656EC"/>
    <w:rsid w:val="00065736"/>
    <w:rsid w:val="00065791"/>
    <w:rsid w:val="0006583B"/>
    <w:rsid w:val="00065861"/>
    <w:rsid w:val="000658BC"/>
    <w:rsid w:val="000658D5"/>
    <w:rsid w:val="00065A05"/>
    <w:rsid w:val="00065AC3"/>
    <w:rsid w:val="00065C9F"/>
    <w:rsid w:val="00065CFA"/>
    <w:rsid w:val="00065D77"/>
    <w:rsid w:val="00065DB5"/>
    <w:rsid w:val="00065F21"/>
    <w:rsid w:val="00065F2B"/>
    <w:rsid w:val="0006608F"/>
    <w:rsid w:val="000661B1"/>
    <w:rsid w:val="00066290"/>
    <w:rsid w:val="00066381"/>
    <w:rsid w:val="0006657F"/>
    <w:rsid w:val="00066646"/>
    <w:rsid w:val="0006695F"/>
    <w:rsid w:val="00066ABB"/>
    <w:rsid w:val="00066ADC"/>
    <w:rsid w:val="00066B83"/>
    <w:rsid w:val="00066D03"/>
    <w:rsid w:val="00066D2C"/>
    <w:rsid w:val="00066D58"/>
    <w:rsid w:val="00066ED5"/>
    <w:rsid w:val="00066F4A"/>
    <w:rsid w:val="0006700A"/>
    <w:rsid w:val="0006700F"/>
    <w:rsid w:val="000670AC"/>
    <w:rsid w:val="000670CC"/>
    <w:rsid w:val="00067197"/>
    <w:rsid w:val="00067266"/>
    <w:rsid w:val="00067341"/>
    <w:rsid w:val="000677DD"/>
    <w:rsid w:val="000677F6"/>
    <w:rsid w:val="0006784A"/>
    <w:rsid w:val="00067C52"/>
    <w:rsid w:val="00067CD6"/>
    <w:rsid w:val="00067DAB"/>
    <w:rsid w:val="00067DC5"/>
    <w:rsid w:val="00067E3F"/>
    <w:rsid w:val="000701CC"/>
    <w:rsid w:val="00070242"/>
    <w:rsid w:val="000702A2"/>
    <w:rsid w:val="000703B7"/>
    <w:rsid w:val="0007058C"/>
    <w:rsid w:val="00070671"/>
    <w:rsid w:val="00070758"/>
    <w:rsid w:val="0007085B"/>
    <w:rsid w:val="00070863"/>
    <w:rsid w:val="00070A45"/>
    <w:rsid w:val="00070F9C"/>
    <w:rsid w:val="000710E8"/>
    <w:rsid w:val="0007147B"/>
    <w:rsid w:val="00071660"/>
    <w:rsid w:val="000717C8"/>
    <w:rsid w:val="0007188C"/>
    <w:rsid w:val="00071B1F"/>
    <w:rsid w:val="00071EB4"/>
    <w:rsid w:val="000722D9"/>
    <w:rsid w:val="00072312"/>
    <w:rsid w:val="00072496"/>
    <w:rsid w:val="00072542"/>
    <w:rsid w:val="000725D6"/>
    <w:rsid w:val="00072733"/>
    <w:rsid w:val="00072AF8"/>
    <w:rsid w:val="00072CBE"/>
    <w:rsid w:val="00072E81"/>
    <w:rsid w:val="00073198"/>
    <w:rsid w:val="00073224"/>
    <w:rsid w:val="0007331A"/>
    <w:rsid w:val="00073359"/>
    <w:rsid w:val="000733B7"/>
    <w:rsid w:val="00073419"/>
    <w:rsid w:val="000735DF"/>
    <w:rsid w:val="00073615"/>
    <w:rsid w:val="0007384A"/>
    <w:rsid w:val="00073C7A"/>
    <w:rsid w:val="00073FDD"/>
    <w:rsid w:val="000741D7"/>
    <w:rsid w:val="000741E1"/>
    <w:rsid w:val="000746AA"/>
    <w:rsid w:val="000748D5"/>
    <w:rsid w:val="00074DDC"/>
    <w:rsid w:val="00075099"/>
    <w:rsid w:val="000750A8"/>
    <w:rsid w:val="00075137"/>
    <w:rsid w:val="000752AD"/>
    <w:rsid w:val="000753BA"/>
    <w:rsid w:val="0007543F"/>
    <w:rsid w:val="0007565A"/>
    <w:rsid w:val="00075804"/>
    <w:rsid w:val="000759EA"/>
    <w:rsid w:val="00075D43"/>
    <w:rsid w:val="00076247"/>
    <w:rsid w:val="00076372"/>
    <w:rsid w:val="000763B7"/>
    <w:rsid w:val="0007640F"/>
    <w:rsid w:val="00076487"/>
    <w:rsid w:val="00076572"/>
    <w:rsid w:val="000767CB"/>
    <w:rsid w:val="0007698C"/>
    <w:rsid w:val="000769C2"/>
    <w:rsid w:val="00076FCD"/>
    <w:rsid w:val="000771EF"/>
    <w:rsid w:val="0007725B"/>
    <w:rsid w:val="000772B8"/>
    <w:rsid w:val="000773B1"/>
    <w:rsid w:val="00077629"/>
    <w:rsid w:val="000777DC"/>
    <w:rsid w:val="000778B4"/>
    <w:rsid w:val="00077917"/>
    <w:rsid w:val="000779BA"/>
    <w:rsid w:val="00077C6B"/>
    <w:rsid w:val="00077FE1"/>
    <w:rsid w:val="00080099"/>
    <w:rsid w:val="000800C0"/>
    <w:rsid w:val="000801EB"/>
    <w:rsid w:val="000802A8"/>
    <w:rsid w:val="000802C9"/>
    <w:rsid w:val="00080381"/>
    <w:rsid w:val="00080663"/>
    <w:rsid w:val="00080769"/>
    <w:rsid w:val="0008088C"/>
    <w:rsid w:val="00080B31"/>
    <w:rsid w:val="00080B92"/>
    <w:rsid w:val="00080D89"/>
    <w:rsid w:val="00080E8F"/>
    <w:rsid w:val="00080EFD"/>
    <w:rsid w:val="00080FE0"/>
    <w:rsid w:val="000810F1"/>
    <w:rsid w:val="00081149"/>
    <w:rsid w:val="00081173"/>
    <w:rsid w:val="0008123A"/>
    <w:rsid w:val="0008127A"/>
    <w:rsid w:val="000813A4"/>
    <w:rsid w:val="0008159B"/>
    <w:rsid w:val="0008164F"/>
    <w:rsid w:val="00081835"/>
    <w:rsid w:val="00081A21"/>
    <w:rsid w:val="00081AED"/>
    <w:rsid w:val="00081BA1"/>
    <w:rsid w:val="00081D12"/>
    <w:rsid w:val="00081E11"/>
    <w:rsid w:val="00081E53"/>
    <w:rsid w:val="00082084"/>
    <w:rsid w:val="00082119"/>
    <w:rsid w:val="000823CB"/>
    <w:rsid w:val="000823D9"/>
    <w:rsid w:val="0008268A"/>
    <w:rsid w:val="000828EF"/>
    <w:rsid w:val="00082B67"/>
    <w:rsid w:val="00082D47"/>
    <w:rsid w:val="00082ED5"/>
    <w:rsid w:val="00082F51"/>
    <w:rsid w:val="0008309A"/>
    <w:rsid w:val="00083412"/>
    <w:rsid w:val="000834A3"/>
    <w:rsid w:val="000835C5"/>
    <w:rsid w:val="0008370B"/>
    <w:rsid w:val="00083A03"/>
    <w:rsid w:val="00083A37"/>
    <w:rsid w:val="00083AA3"/>
    <w:rsid w:val="00083AA7"/>
    <w:rsid w:val="00083C93"/>
    <w:rsid w:val="00083CD8"/>
    <w:rsid w:val="00083D82"/>
    <w:rsid w:val="0008416F"/>
    <w:rsid w:val="0008424E"/>
    <w:rsid w:val="00084274"/>
    <w:rsid w:val="00084318"/>
    <w:rsid w:val="0008439E"/>
    <w:rsid w:val="00084534"/>
    <w:rsid w:val="0008482C"/>
    <w:rsid w:val="00084A90"/>
    <w:rsid w:val="00084B61"/>
    <w:rsid w:val="00084DAA"/>
    <w:rsid w:val="00084F4D"/>
    <w:rsid w:val="0008515F"/>
    <w:rsid w:val="0008526D"/>
    <w:rsid w:val="0008536A"/>
    <w:rsid w:val="00085406"/>
    <w:rsid w:val="0008549A"/>
    <w:rsid w:val="00085550"/>
    <w:rsid w:val="00085589"/>
    <w:rsid w:val="000856B1"/>
    <w:rsid w:val="000856F3"/>
    <w:rsid w:val="0008570B"/>
    <w:rsid w:val="00085830"/>
    <w:rsid w:val="00085C84"/>
    <w:rsid w:val="00085F5C"/>
    <w:rsid w:val="00085FA0"/>
    <w:rsid w:val="0008600C"/>
    <w:rsid w:val="0008619D"/>
    <w:rsid w:val="000861FE"/>
    <w:rsid w:val="00086A3D"/>
    <w:rsid w:val="00086EED"/>
    <w:rsid w:val="0008709F"/>
    <w:rsid w:val="000872F2"/>
    <w:rsid w:val="000873AB"/>
    <w:rsid w:val="000873CE"/>
    <w:rsid w:val="000874C9"/>
    <w:rsid w:val="00087576"/>
    <w:rsid w:val="00087677"/>
    <w:rsid w:val="000877F9"/>
    <w:rsid w:val="000878C3"/>
    <w:rsid w:val="000878F6"/>
    <w:rsid w:val="00087F6A"/>
    <w:rsid w:val="00087FBE"/>
    <w:rsid w:val="00090053"/>
    <w:rsid w:val="00090068"/>
    <w:rsid w:val="000900BD"/>
    <w:rsid w:val="000900F2"/>
    <w:rsid w:val="00090284"/>
    <w:rsid w:val="0009028E"/>
    <w:rsid w:val="000903D6"/>
    <w:rsid w:val="00090409"/>
    <w:rsid w:val="0009054F"/>
    <w:rsid w:val="000906FA"/>
    <w:rsid w:val="00090AF4"/>
    <w:rsid w:val="00090D89"/>
    <w:rsid w:val="0009108A"/>
    <w:rsid w:val="000910E8"/>
    <w:rsid w:val="00091236"/>
    <w:rsid w:val="00091339"/>
    <w:rsid w:val="000913B0"/>
    <w:rsid w:val="000913F8"/>
    <w:rsid w:val="000915FA"/>
    <w:rsid w:val="0009180E"/>
    <w:rsid w:val="00091810"/>
    <w:rsid w:val="000919C6"/>
    <w:rsid w:val="000919CF"/>
    <w:rsid w:val="00091C3C"/>
    <w:rsid w:val="00091D6E"/>
    <w:rsid w:val="00091DE7"/>
    <w:rsid w:val="00091FC2"/>
    <w:rsid w:val="000920EC"/>
    <w:rsid w:val="0009228C"/>
    <w:rsid w:val="000924DD"/>
    <w:rsid w:val="000926AF"/>
    <w:rsid w:val="000927BA"/>
    <w:rsid w:val="000928D8"/>
    <w:rsid w:val="000928D9"/>
    <w:rsid w:val="000928FA"/>
    <w:rsid w:val="00092B94"/>
    <w:rsid w:val="00092BE0"/>
    <w:rsid w:val="00092CFE"/>
    <w:rsid w:val="00093092"/>
    <w:rsid w:val="000930FD"/>
    <w:rsid w:val="000932D1"/>
    <w:rsid w:val="000933B4"/>
    <w:rsid w:val="000934E1"/>
    <w:rsid w:val="00093584"/>
    <w:rsid w:val="0009373F"/>
    <w:rsid w:val="0009391C"/>
    <w:rsid w:val="00093AF2"/>
    <w:rsid w:val="00093DF3"/>
    <w:rsid w:val="00093EE2"/>
    <w:rsid w:val="00093F33"/>
    <w:rsid w:val="0009411C"/>
    <w:rsid w:val="00094229"/>
    <w:rsid w:val="0009426F"/>
    <w:rsid w:val="0009444C"/>
    <w:rsid w:val="000944EA"/>
    <w:rsid w:val="000946A5"/>
    <w:rsid w:val="00094A15"/>
    <w:rsid w:val="00094A30"/>
    <w:rsid w:val="00094A8C"/>
    <w:rsid w:val="00094AE0"/>
    <w:rsid w:val="00094C9B"/>
    <w:rsid w:val="00094CD4"/>
    <w:rsid w:val="00094DFF"/>
    <w:rsid w:val="0009509E"/>
    <w:rsid w:val="000953B7"/>
    <w:rsid w:val="0009552A"/>
    <w:rsid w:val="0009553D"/>
    <w:rsid w:val="000956C1"/>
    <w:rsid w:val="000957B4"/>
    <w:rsid w:val="00095903"/>
    <w:rsid w:val="000959EF"/>
    <w:rsid w:val="00095A92"/>
    <w:rsid w:val="00095AA8"/>
    <w:rsid w:val="00095AD6"/>
    <w:rsid w:val="00095AE4"/>
    <w:rsid w:val="00095B73"/>
    <w:rsid w:val="00095C28"/>
    <w:rsid w:val="0009606A"/>
    <w:rsid w:val="0009616E"/>
    <w:rsid w:val="00096298"/>
    <w:rsid w:val="000962CE"/>
    <w:rsid w:val="00096743"/>
    <w:rsid w:val="00096795"/>
    <w:rsid w:val="000968C9"/>
    <w:rsid w:val="00096C25"/>
    <w:rsid w:val="00096F0A"/>
    <w:rsid w:val="00096FAC"/>
    <w:rsid w:val="000971B5"/>
    <w:rsid w:val="00097210"/>
    <w:rsid w:val="000974FE"/>
    <w:rsid w:val="00097510"/>
    <w:rsid w:val="000976C1"/>
    <w:rsid w:val="00097771"/>
    <w:rsid w:val="00097832"/>
    <w:rsid w:val="00097967"/>
    <w:rsid w:val="00097B9B"/>
    <w:rsid w:val="00097D55"/>
    <w:rsid w:val="00097E2D"/>
    <w:rsid w:val="00097EB2"/>
    <w:rsid w:val="00097FFA"/>
    <w:rsid w:val="000A000F"/>
    <w:rsid w:val="000A01A9"/>
    <w:rsid w:val="000A036A"/>
    <w:rsid w:val="000A072B"/>
    <w:rsid w:val="000A07E2"/>
    <w:rsid w:val="000A097E"/>
    <w:rsid w:val="000A0AB1"/>
    <w:rsid w:val="000A0B89"/>
    <w:rsid w:val="000A10CE"/>
    <w:rsid w:val="000A1149"/>
    <w:rsid w:val="000A11AB"/>
    <w:rsid w:val="000A1417"/>
    <w:rsid w:val="000A156B"/>
    <w:rsid w:val="000A158E"/>
    <w:rsid w:val="000A16CC"/>
    <w:rsid w:val="000A16FC"/>
    <w:rsid w:val="000A17C7"/>
    <w:rsid w:val="000A1996"/>
    <w:rsid w:val="000A19E1"/>
    <w:rsid w:val="000A1B06"/>
    <w:rsid w:val="000A1B1B"/>
    <w:rsid w:val="000A1B64"/>
    <w:rsid w:val="000A1B87"/>
    <w:rsid w:val="000A1D79"/>
    <w:rsid w:val="000A1FC9"/>
    <w:rsid w:val="000A2249"/>
    <w:rsid w:val="000A2510"/>
    <w:rsid w:val="000A257F"/>
    <w:rsid w:val="000A2582"/>
    <w:rsid w:val="000A26C0"/>
    <w:rsid w:val="000A27E8"/>
    <w:rsid w:val="000A2844"/>
    <w:rsid w:val="000A292F"/>
    <w:rsid w:val="000A2C0F"/>
    <w:rsid w:val="000A2D06"/>
    <w:rsid w:val="000A2EC8"/>
    <w:rsid w:val="000A2F19"/>
    <w:rsid w:val="000A2F79"/>
    <w:rsid w:val="000A2F85"/>
    <w:rsid w:val="000A303E"/>
    <w:rsid w:val="000A3177"/>
    <w:rsid w:val="000A337D"/>
    <w:rsid w:val="000A3392"/>
    <w:rsid w:val="000A348D"/>
    <w:rsid w:val="000A373A"/>
    <w:rsid w:val="000A3851"/>
    <w:rsid w:val="000A3A4A"/>
    <w:rsid w:val="000A3E57"/>
    <w:rsid w:val="000A3E8D"/>
    <w:rsid w:val="000A3E91"/>
    <w:rsid w:val="000A3FAC"/>
    <w:rsid w:val="000A42FE"/>
    <w:rsid w:val="000A43B8"/>
    <w:rsid w:val="000A4405"/>
    <w:rsid w:val="000A4586"/>
    <w:rsid w:val="000A46BE"/>
    <w:rsid w:val="000A46DE"/>
    <w:rsid w:val="000A4A0D"/>
    <w:rsid w:val="000A4B23"/>
    <w:rsid w:val="000A4B84"/>
    <w:rsid w:val="000A4D31"/>
    <w:rsid w:val="000A5142"/>
    <w:rsid w:val="000A517B"/>
    <w:rsid w:val="000A5332"/>
    <w:rsid w:val="000A53A4"/>
    <w:rsid w:val="000A5427"/>
    <w:rsid w:val="000A54B4"/>
    <w:rsid w:val="000A5525"/>
    <w:rsid w:val="000A585E"/>
    <w:rsid w:val="000A5B33"/>
    <w:rsid w:val="000A5E84"/>
    <w:rsid w:val="000A5F51"/>
    <w:rsid w:val="000A6182"/>
    <w:rsid w:val="000A6203"/>
    <w:rsid w:val="000A623F"/>
    <w:rsid w:val="000A628E"/>
    <w:rsid w:val="000A6381"/>
    <w:rsid w:val="000A6539"/>
    <w:rsid w:val="000A6666"/>
    <w:rsid w:val="000A6A46"/>
    <w:rsid w:val="000A6A8F"/>
    <w:rsid w:val="000A6CE4"/>
    <w:rsid w:val="000A6E39"/>
    <w:rsid w:val="000A6FD1"/>
    <w:rsid w:val="000A7122"/>
    <w:rsid w:val="000A715F"/>
    <w:rsid w:val="000A7431"/>
    <w:rsid w:val="000A74EE"/>
    <w:rsid w:val="000A780A"/>
    <w:rsid w:val="000A7944"/>
    <w:rsid w:val="000A79D3"/>
    <w:rsid w:val="000A7A1B"/>
    <w:rsid w:val="000A7A40"/>
    <w:rsid w:val="000A7BD4"/>
    <w:rsid w:val="000A7C23"/>
    <w:rsid w:val="000B0032"/>
    <w:rsid w:val="000B037F"/>
    <w:rsid w:val="000B06E7"/>
    <w:rsid w:val="000B0790"/>
    <w:rsid w:val="000B07DE"/>
    <w:rsid w:val="000B0A31"/>
    <w:rsid w:val="000B0A52"/>
    <w:rsid w:val="000B0B31"/>
    <w:rsid w:val="000B0EB5"/>
    <w:rsid w:val="000B0FB4"/>
    <w:rsid w:val="000B106F"/>
    <w:rsid w:val="000B121B"/>
    <w:rsid w:val="000B1295"/>
    <w:rsid w:val="000B1607"/>
    <w:rsid w:val="000B1669"/>
    <w:rsid w:val="000B16C3"/>
    <w:rsid w:val="000B17F7"/>
    <w:rsid w:val="000B1B7A"/>
    <w:rsid w:val="000B1D95"/>
    <w:rsid w:val="000B1DF0"/>
    <w:rsid w:val="000B1EDA"/>
    <w:rsid w:val="000B201D"/>
    <w:rsid w:val="000B2070"/>
    <w:rsid w:val="000B20C7"/>
    <w:rsid w:val="000B20DA"/>
    <w:rsid w:val="000B22C7"/>
    <w:rsid w:val="000B22E5"/>
    <w:rsid w:val="000B265A"/>
    <w:rsid w:val="000B26E6"/>
    <w:rsid w:val="000B2B84"/>
    <w:rsid w:val="000B2CA5"/>
    <w:rsid w:val="000B30FF"/>
    <w:rsid w:val="000B31AC"/>
    <w:rsid w:val="000B31B5"/>
    <w:rsid w:val="000B3206"/>
    <w:rsid w:val="000B32C0"/>
    <w:rsid w:val="000B33A2"/>
    <w:rsid w:val="000B36A4"/>
    <w:rsid w:val="000B36C3"/>
    <w:rsid w:val="000B38B8"/>
    <w:rsid w:val="000B394B"/>
    <w:rsid w:val="000B39AF"/>
    <w:rsid w:val="000B3A80"/>
    <w:rsid w:val="000B3AF7"/>
    <w:rsid w:val="000B3BA0"/>
    <w:rsid w:val="000B3D7A"/>
    <w:rsid w:val="000B3F5A"/>
    <w:rsid w:val="000B428A"/>
    <w:rsid w:val="000B4320"/>
    <w:rsid w:val="000B440B"/>
    <w:rsid w:val="000B4763"/>
    <w:rsid w:val="000B482B"/>
    <w:rsid w:val="000B4979"/>
    <w:rsid w:val="000B4A65"/>
    <w:rsid w:val="000B4B6B"/>
    <w:rsid w:val="000B4D2A"/>
    <w:rsid w:val="000B4D45"/>
    <w:rsid w:val="000B4DE3"/>
    <w:rsid w:val="000B4EBC"/>
    <w:rsid w:val="000B4EF5"/>
    <w:rsid w:val="000B4F21"/>
    <w:rsid w:val="000B4F2A"/>
    <w:rsid w:val="000B4F58"/>
    <w:rsid w:val="000B5180"/>
    <w:rsid w:val="000B541C"/>
    <w:rsid w:val="000B5647"/>
    <w:rsid w:val="000B56A6"/>
    <w:rsid w:val="000B56F4"/>
    <w:rsid w:val="000B5A29"/>
    <w:rsid w:val="000B5B12"/>
    <w:rsid w:val="000B5D45"/>
    <w:rsid w:val="000B5EFA"/>
    <w:rsid w:val="000B5F67"/>
    <w:rsid w:val="000B62F1"/>
    <w:rsid w:val="000B64EA"/>
    <w:rsid w:val="000B660B"/>
    <w:rsid w:val="000B67A6"/>
    <w:rsid w:val="000B67E3"/>
    <w:rsid w:val="000B6960"/>
    <w:rsid w:val="000B6A23"/>
    <w:rsid w:val="000B6AA8"/>
    <w:rsid w:val="000B6E02"/>
    <w:rsid w:val="000B6E4F"/>
    <w:rsid w:val="000B6FBB"/>
    <w:rsid w:val="000B7479"/>
    <w:rsid w:val="000B78D6"/>
    <w:rsid w:val="000B7915"/>
    <w:rsid w:val="000B79E8"/>
    <w:rsid w:val="000B7B1A"/>
    <w:rsid w:val="000B7B32"/>
    <w:rsid w:val="000B7B95"/>
    <w:rsid w:val="000B7C25"/>
    <w:rsid w:val="000B7CF9"/>
    <w:rsid w:val="000C010D"/>
    <w:rsid w:val="000C01B9"/>
    <w:rsid w:val="000C024B"/>
    <w:rsid w:val="000C041F"/>
    <w:rsid w:val="000C044E"/>
    <w:rsid w:val="000C04C2"/>
    <w:rsid w:val="000C08AF"/>
    <w:rsid w:val="000C0BE7"/>
    <w:rsid w:val="000C0EE6"/>
    <w:rsid w:val="000C10D9"/>
    <w:rsid w:val="000C1651"/>
    <w:rsid w:val="000C16D8"/>
    <w:rsid w:val="000C178B"/>
    <w:rsid w:val="000C1A3C"/>
    <w:rsid w:val="000C1AD0"/>
    <w:rsid w:val="000C1E11"/>
    <w:rsid w:val="000C21B6"/>
    <w:rsid w:val="000C2351"/>
    <w:rsid w:val="000C236E"/>
    <w:rsid w:val="000C23B6"/>
    <w:rsid w:val="000C23FA"/>
    <w:rsid w:val="000C2406"/>
    <w:rsid w:val="000C2695"/>
    <w:rsid w:val="000C2774"/>
    <w:rsid w:val="000C2ABC"/>
    <w:rsid w:val="000C2C56"/>
    <w:rsid w:val="000C2CFD"/>
    <w:rsid w:val="000C2D24"/>
    <w:rsid w:val="000C2E9D"/>
    <w:rsid w:val="000C3022"/>
    <w:rsid w:val="000C3575"/>
    <w:rsid w:val="000C3774"/>
    <w:rsid w:val="000C38B4"/>
    <w:rsid w:val="000C38B9"/>
    <w:rsid w:val="000C38DB"/>
    <w:rsid w:val="000C3C42"/>
    <w:rsid w:val="000C3CDF"/>
    <w:rsid w:val="000C3ED6"/>
    <w:rsid w:val="000C3F27"/>
    <w:rsid w:val="000C4212"/>
    <w:rsid w:val="000C433D"/>
    <w:rsid w:val="000C4444"/>
    <w:rsid w:val="000C4579"/>
    <w:rsid w:val="000C457B"/>
    <w:rsid w:val="000C46A4"/>
    <w:rsid w:val="000C4730"/>
    <w:rsid w:val="000C48FB"/>
    <w:rsid w:val="000C4A4F"/>
    <w:rsid w:val="000C4BA2"/>
    <w:rsid w:val="000C4BE4"/>
    <w:rsid w:val="000C4BF3"/>
    <w:rsid w:val="000C4DB1"/>
    <w:rsid w:val="000C558F"/>
    <w:rsid w:val="000C56AD"/>
    <w:rsid w:val="000C56B2"/>
    <w:rsid w:val="000C56EA"/>
    <w:rsid w:val="000C577C"/>
    <w:rsid w:val="000C5781"/>
    <w:rsid w:val="000C57C9"/>
    <w:rsid w:val="000C596D"/>
    <w:rsid w:val="000C596E"/>
    <w:rsid w:val="000C59F5"/>
    <w:rsid w:val="000C5AA2"/>
    <w:rsid w:val="000C5AA3"/>
    <w:rsid w:val="000C5B93"/>
    <w:rsid w:val="000C5D22"/>
    <w:rsid w:val="000C5F21"/>
    <w:rsid w:val="000C62EF"/>
    <w:rsid w:val="000C62FC"/>
    <w:rsid w:val="000C656F"/>
    <w:rsid w:val="000C65F2"/>
    <w:rsid w:val="000C6654"/>
    <w:rsid w:val="000C6688"/>
    <w:rsid w:val="000C68F3"/>
    <w:rsid w:val="000C69AA"/>
    <w:rsid w:val="000C6AD8"/>
    <w:rsid w:val="000C6C93"/>
    <w:rsid w:val="000C6ED1"/>
    <w:rsid w:val="000C6FA4"/>
    <w:rsid w:val="000C6FD0"/>
    <w:rsid w:val="000C712F"/>
    <w:rsid w:val="000C71BC"/>
    <w:rsid w:val="000C743D"/>
    <w:rsid w:val="000C7508"/>
    <w:rsid w:val="000C76C9"/>
    <w:rsid w:val="000C77DB"/>
    <w:rsid w:val="000C7883"/>
    <w:rsid w:val="000C78D3"/>
    <w:rsid w:val="000C79A3"/>
    <w:rsid w:val="000C7A31"/>
    <w:rsid w:val="000C7A67"/>
    <w:rsid w:val="000C7A9B"/>
    <w:rsid w:val="000C7BED"/>
    <w:rsid w:val="000C7E2A"/>
    <w:rsid w:val="000C7F6D"/>
    <w:rsid w:val="000D01A1"/>
    <w:rsid w:val="000D01D3"/>
    <w:rsid w:val="000D01DC"/>
    <w:rsid w:val="000D0244"/>
    <w:rsid w:val="000D026E"/>
    <w:rsid w:val="000D0418"/>
    <w:rsid w:val="000D0471"/>
    <w:rsid w:val="000D0A6F"/>
    <w:rsid w:val="000D0AD8"/>
    <w:rsid w:val="000D0B16"/>
    <w:rsid w:val="000D0B7F"/>
    <w:rsid w:val="000D0C80"/>
    <w:rsid w:val="000D0D4B"/>
    <w:rsid w:val="000D0D7C"/>
    <w:rsid w:val="000D0DB1"/>
    <w:rsid w:val="000D0DB5"/>
    <w:rsid w:val="000D0E07"/>
    <w:rsid w:val="000D0FBF"/>
    <w:rsid w:val="000D0FF6"/>
    <w:rsid w:val="000D112E"/>
    <w:rsid w:val="000D162C"/>
    <w:rsid w:val="000D170C"/>
    <w:rsid w:val="000D17CE"/>
    <w:rsid w:val="000D1809"/>
    <w:rsid w:val="000D1865"/>
    <w:rsid w:val="000D1961"/>
    <w:rsid w:val="000D1A15"/>
    <w:rsid w:val="000D1C61"/>
    <w:rsid w:val="000D1E2A"/>
    <w:rsid w:val="000D1EFB"/>
    <w:rsid w:val="000D208E"/>
    <w:rsid w:val="000D20B2"/>
    <w:rsid w:val="000D2105"/>
    <w:rsid w:val="000D2278"/>
    <w:rsid w:val="000D2883"/>
    <w:rsid w:val="000D29F2"/>
    <w:rsid w:val="000D2A77"/>
    <w:rsid w:val="000D2B14"/>
    <w:rsid w:val="000D2D60"/>
    <w:rsid w:val="000D2DAF"/>
    <w:rsid w:val="000D2DDF"/>
    <w:rsid w:val="000D2DFA"/>
    <w:rsid w:val="000D2E27"/>
    <w:rsid w:val="000D2FB8"/>
    <w:rsid w:val="000D3062"/>
    <w:rsid w:val="000D3095"/>
    <w:rsid w:val="000D317D"/>
    <w:rsid w:val="000D317E"/>
    <w:rsid w:val="000D3196"/>
    <w:rsid w:val="000D3428"/>
    <w:rsid w:val="000D347F"/>
    <w:rsid w:val="000D3655"/>
    <w:rsid w:val="000D38FE"/>
    <w:rsid w:val="000D3998"/>
    <w:rsid w:val="000D3B8E"/>
    <w:rsid w:val="000D3BD8"/>
    <w:rsid w:val="000D3C07"/>
    <w:rsid w:val="000D3CB1"/>
    <w:rsid w:val="000D3FB8"/>
    <w:rsid w:val="000D44BC"/>
    <w:rsid w:val="000D4513"/>
    <w:rsid w:val="000D4601"/>
    <w:rsid w:val="000D46E7"/>
    <w:rsid w:val="000D4AE2"/>
    <w:rsid w:val="000D4C54"/>
    <w:rsid w:val="000D4C6A"/>
    <w:rsid w:val="000D4F69"/>
    <w:rsid w:val="000D4F7F"/>
    <w:rsid w:val="000D5122"/>
    <w:rsid w:val="000D516D"/>
    <w:rsid w:val="000D51CE"/>
    <w:rsid w:val="000D52B6"/>
    <w:rsid w:val="000D5321"/>
    <w:rsid w:val="000D545E"/>
    <w:rsid w:val="000D577F"/>
    <w:rsid w:val="000D57B1"/>
    <w:rsid w:val="000D57E4"/>
    <w:rsid w:val="000D5BB9"/>
    <w:rsid w:val="000D5F1C"/>
    <w:rsid w:val="000D5F58"/>
    <w:rsid w:val="000D5F8F"/>
    <w:rsid w:val="000D6084"/>
    <w:rsid w:val="000D6407"/>
    <w:rsid w:val="000D6676"/>
    <w:rsid w:val="000D67D4"/>
    <w:rsid w:val="000D6CDF"/>
    <w:rsid w:val="000D6E9D"/>
    <w:rsid w:val="000D70DD"/>
    <w:rsid w:val="000D71D8"/>
    <w:rsid w:val="000D72C6"/>
    <w:rsid w:val="000D72EF"/>
    <w:rsid w:val="000D75CA"/>
    <w:rsid w:val="000D7741"/>
    <w:rsid w:val="000D789D"/>
    <w:rsid w:val="000D7949"/>
    <w:rsid w:val="000D7A12"/>
    <w:rsid w:val="000D7A69"/>
    <w:rsid w:val="000D7A6C"/>
    <w:rsid w:val="000D7BBA"/>
    <w:rsid w:val="000D7D63"/>
    <w:rsid w:val="000D7E66"/>
    <w:rsid w:val="000D7F7D"/>
    <w:rsid w:val="000E01D0"/>
    <w:rsid w:val="000E03B3"/>
    <w:rsid w:val="000E06AE"/>
    <w:rsid w:val="000E0A59"/>
    <w:rsid w:val="000E0AF1"/>
    <w:rsid w:val="000E0AF7"/>
    <w:rsid w:val="000E0EC7"/>
    <w:rsid w:val="000E0FB4"/>
    <w:rsid w:val="000E0FE2"/>
    <w:rsid w:val="000E11CE"/>
    <w:rsid w:val="000E134F"/>
    <w:rsid w:val="000E13DC"/>
    <w:rsid w:val="000E1541"/>
    <w:rsid w:val="000E1643"/>
    <w:rsid w:val="000E182A"/>
    <w:rsid w:val="000E188A"/>
    <w:rsid w:val="000E1954"/>
    <w:rsid w:val="000E1C0B"/>
    <w:rsid w:val="000E237E"/>
    <w:rsid w:val="000E24C3"/>
    <w:rsid w:val="000E24D8"/>
    <w:rsid w:val="000E2557"/>
    <w:rsid w:val="000E28F1"/>
    <w:rsid w:val="000E2930"/>
    <w:rsid w:val="000E295D"/>
    <w:rsid w:val="000E29F7"/>
    <w:rsid w:val="000E3112"/>
    <w:rsid w:val="000E3293"/>
    <w:rsid w:val="000E33AE"/>
    <w:rsid w:val="000E33BA"/>
    <w:rsid w:val="000E3529"/>
    <w:rsid w:val="000E38A3"/>
    <w:rsid w:val="000E3927"/>
    <w:rsid w:val="000E3B0F"/>
    <w:rsid w:val="000E3D6A"/>
    <w:rsid w:val="000E3F4C"/>
    <w:rsid w:val="000E3F8E"/>
    <w:rsid w:val="000E3FE2"/>
    <w:rsid w:val="000E4043"/>
    <w:rsid w:val="000E4157"/>
    <w:rsid w:val="000E4183"/>
    <w:rsid w:val="000E4184"/>
    <w:rsid w:val="000E4376"/>
    <w:rsid w:val="000E438B"/>
    <w:rsid w:val="000E44AA"/>
    <w:rsid w:val="000E4646"/>
    <w:rsid w:val="000E47EB"/>
    <w:rsid w:val="000E4849"/>
    <w:rsid w:val="000E48C5"/>
    <w:rsid w:val="000E4993"/>
    <w:rsid w:val="000E4DDF"/>
    <w:rsid w:val="000E4E1F"/>
    <w:rsid w:val="000E4EA9"/>
    <w:rsid w:val="000E4F47"/>
    <w:rsid w:val="000E5267"/>
    <w:rsid w:val="000E53EE"/>
    <w:rsid w:val="000E551F"/>
    <w:rsid w:val="000E555F"/>
    <w:rsid w:val="000E563D"/>
    <w:rsid w:val="000E5794"/>
    <w:rsid w:val="000E59F5"/>
    <w:rsid w:val="000E5C09"/>
    <w:rsid w:val="000E5D82"/>
    <w:rsid w:val="000E5E2D"/>
    <w:rsid w:val="000E6246"/>
    <w:rsid w:val="000E64CD"/>
    <w:rsid w:val="000E6507"/>
    <w:rsid w:val="000E6540"/>
    <w:rsid w:val="000E6681"/>
    <w:rsid w:val="000E668F"/>
    <w:rsid w:val="000E6770"/>
    <w:rsid w:val="000E690C"/>
    <w:rsid w:val="000E6926"/>
    <w:rsid w:val="000E6A45"/>
    <w:rsid w:val="000E6F0D"/>
    <w:rsid w:val="000E6FAF"/>
    <w:rsid w:val="000E71D7"/>
    <w:rsid w:val="000E7204"/>
    <w:rsid w:val="000E7540"/>
    <w:rsid w:val="000E782E"/>
    <w:rsid w:val="000E78CD"/>
    <w:rsid w:val="000E79A5"/>
    <w:rsid w:val="000E7C6A"/>
    <w:rsid w:val="000E7C7E"/>
    <w:rsid w:val="000E7D56"/>
    <w:rsid w:val="000F008F"/>
    <w:rsid w:val="000F00E3"/>
    <w:rsid w:val="000F00F5"/>
    <w:rsid w:val="000F012B"/>
    <w:rsid w:val="000F0390"/>
    <w:rsid w:val="000F0629"/>
    <w:rsid w:val="000F0773"/>
    <w:rsid w:val="000F0A1C"/>
    <w:rsid w:val="000F0CDE"/>
    <w:rsid w:val="000F0D37"/>
    <w:rsid w:val="000F0D50"/>
    <w:rsid w:val="000F0DD5"/>
    <w:rsid w:val="000F0F10"/>
    <w:rsid w:val="000F1110"/>
    <w:rsid w:val="000F1200"/>
    <w:rsid w:val="000F126D"/>
    <w:rsid w:val="000F137C"/>
    <w:rsid w:val="000F19E2"/>
    <w:rsid w:val="000F1A1C"/>
    <w:rsid w:val="000F1B1D"/>
    <w:rsid w:val="000F1B65"/>
    <w:rsid w:val="000F1CA3"/>
    <w:rsid w:val="000F1D32"/>
    <w:rsid w:val="000F1F69"/>
    <w:rsid w:val="000F2030"/>
    <w:rsid w:val="000F20D6"/>
    <w:rsid w:val="000F20DA"/>
    <w:rsid w:val="000F21B8"/>
    <w:rsid w:val="000F240A"/>
    <w:rsid w:val="000F2488"/>
    <w:rsid w:val="000F2596"/>
    <w:rsid w:val="000F2646"/>
    <w:rsid w:val="000F2810"/>
    <w:rsid w:val="000F285C"/>
    <w:rsid w:val="000F291E"/>
    <w:rsid w:val="000F2BEE"/>
    <w:rsid w:val="000F2C14"/>
    <w:rsid w:val="000F2CD2"/>
    <w:rsid w:val="000F2DE2"/>
    <w:rsid w:val="000F305C"/>
    <w:rsid w:val="000F306F"/>
    <w:rsid w:val="000F34CE"/>
    <w:rsid w:val="000F357E"/>
    <w:rsid w:val="000F36C2"/>
    <w:rsid w:val="000F3826"/>
    <w:rsid w:val="000F3A12"/>
    <w:rsid w:val="000F3C01"/>
    <w:rsid w:val="000F3C3A"/>
    <w:rsid w:val="000F3C4E"/>
    <w:rsid w:val="000F3C70"/>
    <w:rsid w:val="000F3E6D"/>
    <w:rsid w:val="000F40ED"/>
    <w:rsid w:val="000F4137"/>
    <w:rsid w:val="000F413D"/>
    <w:rsid w:val="000F4464"/>
    <w:rsid w:val="000F4747"/>
    <w:rsid w:val="000F4851"/>
    <w:rsid w:val="000F4E86"/>
    <w:rsid w:val="000F4EEF"/>
    <w:rsid w:val="000F4F41"/>
    <w:rsid w:val="000F5225"/>
    <w:rsid w:val="000F53C2"/>
    <w:rsid w:val="000F5442"/>
    <w:rsid w:val="000F54EB"/>
    <w:rsid w:val="000F554D"/>
    <w:rsid w:val="000F58AB"/>
    <w:rsid w:val="000F58CB"/>
    <w:rsid w:val="000F5A29"/>
    <w:rsid w:val="000F5C13"/>
    <w:rsid w:val="000F5C43"/>
    <w:rsid w:val="000F5D32"/>
    <w:rsid w:val="000F5D43"/>
    <w:rsid w:val="000F5F85"/>
    <w:rsid w:val="000F5F87"/>
    <w:rsid w:val="000F6007"/>
    <w:rsid w:val="000F6036"/>
    <w:rsid w:val="000F60CE"/>
    <w:rsid w:val="000F60E0"/>
    <w:rsid w:val="000F6101"/>
    <w:rsid w:val="000F625E"/>
    <w:rsid w:val="000F6367"/>
    <w:rsid w:val="000F6382"/>
    <w:rsid w:val="000F64C4"/>
    <w:rsid w:val="000F6571"/>
    <w:rsid w:val="000F670A"/>
    <w:rsid w:val="000F676D"/>
    <w:rsid w:val="000F67CF"/>
    <w:rsid w:val="000F69DA"/>
    <w:rsid w:val="000F6D31"/>
    <w:rsid w:val="000F7588"/>
    <w:rsid w:val="000F760D"/>
    <w:rsid w:val="000F79B4"/>
    <w:rsid w:val="000F7B01"/>
    <w:rsid w:val="000F7C59"/>
    <w:rsid w:val="000F7D21"/>
    <w:rsid w:val="000F7D3B"/>
    <w:rsid w:val="000F7FC2"/>
    <w:rsid w:val="0010014F"/>
    <w:rsid w:val="001003BA"/>
    <w:rsid w:val="001003C0"/>
    <w:rsid w:val="001004F0"/>
    <w:rsid w:val="0010050E"/>
    <w:rsid w:val="0010052A"/>
    <w:rsid w:val="00100604"/>
    <w:rsid w:val="001006B5"/>
    <w:rsid w:val="00100828"/>
    <w:rsid w:val="00100946"/>
    <w:rsid w:val="00100DCC"/>
    <w:rsid w:val="00100FB3"/>
    <w:rsid w:val="00101072"/>
    <w:rsid w:val="001011D0"/>
    <w:rsid w:val="001018D6"/>
    <w:rsid w:val="001019C7"/>
    <w:rsid w:val="00101C6D"/>
    <w:rsid w:val="00101C83"/>
    <w:rsid w:val="00101D7E"/>
    <w:rsid w:val="00101D92"/>
    <w:rsid w:val="00101DB2"/>
    <w:rsid w:val="00101ED5"/>
    <w:rsid w:val="0010224D"/>
    <w:rsid w:val="00102661"/>
    <w:rsid w:val="0010276A"/>
    <w:rsid w:val="00102906"/>
    <w:rsid w:val="0010290F"/>
    <w:rsid w:val="00102A21"/>
    <w:rsid w:val="00102DBD"/>
    <w:rsid w:val="00102F4C"/>
    <w:rsid w:val="00102F55"/>
    <w:rsid w:val="00103009"/>
    <w:rsid w:val="00103049"/>
    <w:rsid w:val="001030ED"/>
    <w:rsid w:val="001031AC"/>
    <w:rsid w:val="001031D5"/>
    <w:rsid w:val="00103479"/>
    <w:rsid w:val="00103564"/>
    <w:rsid w:val="001035EA"/>
    <w:rsid w:val="00103631"/>
    <w:rsid w:val="001038A4"/>
    <w:rsid w:val="00103AEE"/>
    <w:rsid w:val="00103B4E"/>
    <w:rsid w:val="00103B95"/>
    <w:rsid w:val="00103CAB"/>
    <w:rsid w:val="00103D84"/>
    <w:rsid w:val="00103DBF"/>
    <w:rsid w:val="0010405E"/>
    <w:rsid w:val="0010420C"/>
    <w:rsid w:val="00104265"/>
    <w:rsid w:val="0010438B"/>
    <w:rsid w:val="001044A1"/>
    <w:rsid w:val="0010467C"/>
    <w:rsid w:val="00104737"/>
    <w:rsid w:val="001047C1"/>
    <w:rsid w:val="0010485E"/>
    <w:rsid w:val="0010490D"/>
    <w:rsid w:val="0010498E"/>
    <w:rsid w:val="00104998"/>
    <w:rsid w:val="00104AE9"/>
    <w:rsid w:val="00104D15"/>
    <w:rsid w:val="00104D72"/>
    <w:rsid w:val="00105131"/>
    <w:rsid w:val="001053E6"/>
    <w:rsid w:val="0010545D"/>
    <w:rsid w:val="0010588B"/>
    <w:rsid w:val="0010599F"/>
    <w:rsid w:val="00105A2A"/>
    <w:rsid w:val="00105ADE"/>
    <w:rsid w:val="00105B78"/>
    <w:rsid w:val="00105D5A"/>
    <w:rsid w:val="00105EE3"/>
    <w:rsid w:val="00106082"/>
    <w:rsid w:val="001061C8"/>
    <w:rsid w:val="00106335"/>
    <w:rsid w:val="00106789"/>
    <w:rsid w:val="001069A3"/>
    <w:rsid w:val="00106AAE"/>
    <w:rsid w:val="00106B0A"/>
    <w:rsid w:val="00106C6B"/>
    <w:rsid w:val="00106CA7"/>
    <w:rsid w:val="00106D49"/>
    <w:rsid w:val="00106F53"/>
    <w:rsid w:val="001072B4"/>
    <w:rsid w:val="001072E9"/>
    <w:rsid w:val="00107394"/>
    <w:rsid w:val="00107544"/>
    <w:rsid w:val="00107727"/>
    <w:rsid w:val="001078ED"/>
    <w:rsid w:val="00107E04"/>
    <w:rsid w:val="00107E45"/>
    <w:rsid w:val="00107FF5"/>
    <w:rsid w:val="00110244"/>
    <w:rsid w:val="0011027C"/>
    <w:rsid w:val="0011028B"/>
    <w:rsid w:val="001103A5"/>
    <w:rsid w:val="001106E7"/>
    <w:rsid w:val="001106FE"/>
    <w:rsid w:val="00110B6A"/>
    <w:rsid w:val="00110C13"/>
    <w:rsid w:val="00111046"/>
    <w:rsid w:val="001110EA"/>
    <w:rsid w:val="00111261"/>
    <w:rsid w:val="00111463"/>
    <w:rsid w:val="001114FC"/>
    <w:rsid w:val="0011175C"/>
    <w:rsid w:val="0011179F"/>
    <w:rsid w:val="001117C7"/>
    <w:rsid w:val="0011186F"/>
    <w:rsid w:val="00111BA2"/>
    <w:rsid w:val="00111D7C"/>
    <w:rsid w:val="00111DAD"/>
    <w:rsid w:val="00111F16"/>
    <w:rsid w:val="00111F5C"/>
    <w:rsid w:val="0011201F"/>
    <w:rsid w:val="00112028"/>
    <w:rsid w:val="0011207B"/>
    <w:rsid w:val="00112145"/>
    <w:rsid w:val="00112231"/>
    <w:rsid w:val="00112345"/>
    <w:rsid w:val="001124EB"/>
    <w:rsid w:val="001124F1"/>
    <w:rsid w:val="0011251C"/>
    <w:rsid w:val="00112567"/>
    <w:rsid w:val="001126B4"/>
    <w:rsid w:val="00112852"/>
    <w:rsid w:val="00112887"/>
    <w:rsid w:val="001128E9"/>
    <w:rsid w:val="00112912"/>
    <w:rsid w:val="0011291E"/>
    <w:rsid w:val="001129AB"/>
    <w:rsid w:val="00112A89"/>
    <w:rsid w:val="00112AA5"/>
    <w:rsid w:val="00112C62"/>
    <w:rsid w:val="00112C8E"/>
    <w:rsid w:val="00112E75"/>
    <w:rsid w:val="00112F21"/>
    <w:rsid w:val="00113019"/>
    <w:rsid w:val="001131AF"/>
    <w:rsid w:val="0011328E"/>
    <w:rsid w:val="0011337A"/>
    <w:rsid w:val="0011349D"/>
    <w:rsid w:val="00113640"/>
    <w:rsid w:val="00113759"/>
    <w:rsid w:val="001139EE"/>
    <w:rsid w:val="00113ADA"/>
    <w:rsid w:val="00113B0E"/>
    <w:rsid w:val="00113D53"/>
    <w:rsid w:val="00113F77"/>
    <w:rsid w:val="00113FDC"/>
    <w:rsid w:val="00114061"/>
    <w:rsid w:val="001140C7"/>
    <w:rsid w:val="00114185"/>
    <w:rsid w:val="001143D4"/>
    <w:rsid w:val="001143E1"/>
    <w:rsid w:val="001143FD"/>
    <w:rsid w:val="0011449A"/>
    <w:rsid w:val="001146CC"/>
    <w:rsid w:val="0011478C"/>
    <w:rsid w:val="00114B46"/>
    <w:rsid w:val="00114D47"/>
    <w:rsid w:val="00114EF9"/>
    <w:rsid w:val="0011567C"/>
    <w:rsid w:val="0011598E"/>
    <w:rsid w:val="00115AAA"/>
    <w:rsid w:val="00115B51"/>
    <w:rsid w:val="00115CF9"/>
    <w:rsid w:val="00115DB3"/>
    <w:rsid w:val="00115FD6"/>
    <w:rsid w:val="00115FE9"/>
    <w:rsid w:val="00116006"/>
    <w:rsid w:val="001160C6"/>
    <w:rsid w:val="001160D1"/>
    <w:rsid w:val="0011614B"/>
    <w:rsid w:val="001161C0"/>
    <w:rsid w:val="0011641E"/>
    <w:rsid w:val="00116471"/>
    <w:rsid w:val="0011670E"/>
    <w:rsid w:val="00116789"/>
    <w:rsid w:val="00116BBE"/>
    <w:rsid w:val="00116D82"/>
    <w:rsid w:val="00116E60"/>
    <w:rsid w:val="00117026"/>
    <w:rsid w:val="00117166"/>
    <w:rsid w:val="00117602"/>
    <w:rsid w:val="0011766E"/>
    <w:rsid w:val="0011768E"/>
    <w:rsid w:val="001176AF"/>
    <w:rsid w:val="001176CF"/>
    <w:rsid w:val="001176EB"/>
    <w:rsid w:val="00117718"/>
    <w:rsid w:val="00117747"/>
    <w:rsid w:val="00117802"/>
    <w:rsid w:val="0011793F"/>
    <w:rsid w:val="001200A5"/>
    <w:rsid w:val="00120268"/>
    <w:rsid w:val="00120477"/>
    <w:rsid w:val="0012050F"/>
    <w:rsid w:val="00120571"/>
    <w:rsid w:val="00120687"/>
    <w:rsid w:val="00120775"/>
    <w:rsid w:val="00120AD2"/>
    <w:rsid w:val="00120B45"/>
    <w:rsid w:val="00120C95"/>
    <w:rsid w:val="00120E0A"/>
    <w:rsid w:val="00120F59"/>
    <w:rsid w:val="0012106E"/>
    <w:rsid w:val="00121350"/>
    <w:rsid w:val="00121690"/>
    <w:rsid w:val="00121764"/>
    <w:rsid w:val="001219E6"/>
    <w:rsid w:val="00121AE3"/>
    <w:rsid w:val="00121E05"/>
    <w:rsid w:val="00122145"/>
    <w:rsid w:val="0012216D"/>
    <w:rsid w:val="001226B8"/>
    <w:rsid w:val="00122774"/>
    <w:rsid w:val="001227C8"/>
    <w:rsid w:val="00122898"/>
    <w:rsid w:val="001228F1"/>
    <w:rsid w:val="00122B95"/>
    <w:rsid w:val="00122BAE"/>
    <w:rsid w:val="00122C1D"/>
    <w:rsid w:val="00122C7B"/>
    <w:rsid w:val="00122D25"/>
    <w:rsid w:val="00122D29"/>
    <w:rsid w:val="00122D61"/>
    <w:rsid w:val="00122DB4"/>
    <w:rsid w:val="00122E49"/>
    <w:rsid w:val="00123080"/>
    <w:rsid w:val="00123321"/>
    <w:rsid w:val="001233F5"/>
    <w:rsid w:val="001233F9"/>
    <w:rsid w:val="00123566"/>
    <w:rsid w:val="0012387C"/>
    <w:rsid w:val="00123A8A"/>
    <w:rsid w:val="00123C8D"/>
    <w:rsid w:val="00123D56"/>
    <w:rsid w:val="00123EBD"/>
    <w:rsid w:val="00123F1E"/>
    <w:rsid w:val="00124202"/>
    <w:rsid w:val="0012433C"/>
    <w:rsid w:val="0012447B"/>
    <w:rsid w:val="001244D3"/>
    <w:rsid w:val="0012451B"/>
    <w:rsid w:val="00124756"/>
    <w:rsid w:val="001247C4"/>
    <w:rsid w:val="001249A2"/>
    <w:rsid w:val="00124A74"/>
    <w:rsid w:val="00124A9A"/>
    <w:rsid w:val="00124AAE"/>
    <w:rsid w:val="00124E2A"/>
    <w:rsid w:val="00124E82"/>
    <w:rsid w:val="00124E88"/>
    <w:rsid w:val="00125228"/>
    <w:rsid w:val="00125278"/>
    <w:rsid w:val="001256C2"/>
    <w:rsid w:val="0012580C"/>
    <w:rsid w:val="00125890"/>
    <w:rsid w:val="0012589D"/>
    <w:rsid w:val="00125941"/>
    <w:rsid w:val="001259A9"/>
    <w:rsid w:val="00125A92"/>
    <w:rsid w:val="00125BA6"/>
    <w:rsid w:val="00125CB9"/>
    <w:rsid w:val="00125E23"/>
    <w:rsid w:val="00125E41"/>
    <w:rsid w:val="00125F82"/>
    <w:rsid w:val="00125F95"/>
    <w:rsid w:val="001262D9"/>
    <w:rsid w:val="00126307"/>
    <w:rsid w:val="001263D8"/>
    <w:rsid w:val="00126568"/>
    <w:rsid w:val="00126A8C"/>
    <w:rsid w:val="00126D10"/>
    <w:rsid w:val="00126D65"/>
    <w:rsid w:val="00126E08"/>
    <w:rsid w:val="00126E7F"/>
    <w:rsid w:val="00126F36"/>
    <w:rsid w:val="00126FC1"/>
    <w:rsid w:val="00127039"/>
    <w:rsid w:val="00127056"/>
    <w:rsid w:val="0012710F"/>
    <w:rsid w:val="001273A5"/>
    <w:rsid w:val="001273E4"/>
    <w:rsid w:val="001273EB"/>
    <w:rsid w:val="00127587"/>
    <w:rsid w:val="001275D4"/>
    <w:rsid w:val="001275F8"/>
    <w:rsid w:val="0012761B"/>
    <w:rsid w:val="001279E9"/>
    <w:rsid w:val="00127AA5"/>
    <w:rsid w:val="00127C9C"/>
    <w:rsid w:val="00127D2B"/>
    <w:rsid w:val="00127E00"/>
    <w:rsid w:val="00127F42"/>
    <w:rsid w:val="00127F47"/>
    <w:rsid w:val="0013011E"/>
    <w:rsid w:val="00130206"/>
    <w:rsid w:val="0013026C"/>
    <w:rsid w:val="001305D3"/>
    <w:rsid w:val="00130632"/>
    <w:rsid w:val="00130A7B"/>
    <w:rsid w:val="00130AB3"/>
    <w:rsid w:val="00130B65"/>
    <w:rsid w:val="00130BA7"/>
    <w:rsid w:val="00130C00"/>
    <w:rsid w:val="00130D74"/>
    <w:rsid w:val="00130FA0"/>
    <w:rsid w:val="00130FBC"/>
    <w:rsid w:val="0013117A"/>
    <w:rsid w:val="00131431"/>
    <w:rsid w:val="001314CB"/>
    <w:rsid w:val="00131767"/>
    <w:rsid w:val="00131781"/>
    <w:rsid w:val="00131877"/>
    <w:rsid w:val="00131BFE"/>
    <w:rsid w:val="00131DED"/>
    <w:rsid w:val="0013203B"/>
    <w:rsid w:val="0013205A"/>
    <w:rsid w:val="001321A2"/>
    <w:rsid w:val="001323CC"/>
    <w:rsid w:val="00132601"/>
    <w:rsid w:val="00132825"/>
    <w:rsid w:val="00132A39"/>
    <w:rsid w:val="00132C0C"/>
    <w:rsid w:val="00132C8E"/>
    <w:rsid w:val="0013302C"/>
    <w:rsid w:val="001330ED"/>
    <w:rsid w:val="00133208"/>
    <w:rsid w:val="00133231"/>
    <w:rsid w:val="001333E3"/>
    <w:rsid w:val="001338FB"/>
    <w:rsid w:val="00133A68"/>
    <w:rsid w:val="00133D4D"/>
    <w:rsid w:val="00133E11"/>
    <w:rsid w:val="00133F62"/>
    <w:rsid w:val="00133F69"/>
    <w:rsid w:val="0013405B"/>
    <w:rsid w:val="001340B0"/>
    <w:rsid w:val="001341CB"/>
    <w:rsid w:val="00134422"/>
    <w:rsid w:val="00134514"/>
    <w:rsid w:val="001346F0"/>
    <w:rsid w:val="0013477D"/>
    <w:rsid w:val="001347F9"/>
    <w:rsid w:val="0013499D"/>
    <w:rsid w:val="00134A9E"/>
    <w:rsid w:val="00134DFA"/>
    <w:rsid w:val="00134EC3"/>
    <w:rsid w:val="00135074"/>
    <w:rsid w:val="0013511E"/>
    <w:rsid w:val="0013513F"/>
    <w:rsid w:val="00135323"/>
    <w:rsid w:val="00135532"/>
    <w:rsid w:val="0013558A"/>
    <w:rsid w:val="00135616"/>
    <w:rsid w:val="001356B4"/>
    <w:rsid w:val="001356D9"/>
    <w:rsid w:val="00135927"/>
    <w:rsid w:val="00135C49"/>
    <w:rsid w:val="00135E0A"/>
    <w:rsid w:val="00135F31"/>
    <w:rsid w:val="00135F5D"/>
    <w:rsid w:val="001363DD"/>
    <w:rsid w:val="001365A7"/>
    <w:rsid w:val="001365F0"/>
    <w:rsid w:val="001366BD"/>
    <w:rsid w:val="001366E0"/>
    <w:rsid w:val="001368B0"/>
    <w:rsid w:val="001368D9"/>
    <w:rsid w:val="00136996"/>
    <w:rsid w:val="001369F1"/>
    <w:rsid w:val="00136A31"/>
    <w:rsid w:val="00136A9D"/>
    <w:rsid w:val="00136D1D"/>
    <w:rsid w:val="00136D77"/>
    <w:rsid w:val="00136E8A"/>
    <w:rsid w:val="00136EA2"/>
    <w:rsid w:val="00136F5B"/>
    <w:rsid w:val="00137645"/>
    <w:rsid w:val="0013768F"/>
    <w:rsid w:val="001378E5"/>
    <w:rsid w:val="0013793C"/>
    <w:rsid w:val="00137964"/>
    <w:rsid w:val="00137975"/>
    <w:rsid w:val="00137AED"/>
    <w:rsid w:val="00137D3F"/>
    <w:rsid w:val="00137F55"/>
    <w:rsid w:val="00137F79"/>
    <w:rsid w:val="00140153"/>
    <w:rsid w:val="001401BC"/>
    <w:rsid w:val="00140245"/>
    <w:rsid w:val="00140254"/>
    <w:rsid w:val="001403BD"/>
    <w:rsid w:val="001403F1"/>
    <w:rsid w:val="0014058F"/>
    <w:rsid w:val="001406B8"/>
    <w:rsid w:val="00140778"/>
    <w:rsid w:val="001407F4"/>
    <w:rsid w:val="00140818"/>
    <w:rsid w:val="00140A2A"/>
    <w:rsid w:val="00140B2A"/>
    <w:rsid w:val="00140B92"/>
    <w:rsid w:val="00140C6F"/>
    <w:rsid w:val="00140E47"/>
    <w:rsid w:val="00140E62"/>
    <w:rsid w:val="00140E8E"/>
    <w:rsid w:val="00140F26"/>
    <w:rsid w:val="00140F3B"/>
    <w:rsid w:val="00140FBE"/>
    <w:rsid w:val="0014109C"/>
    <w:rsid w:val="00141284"/>
    <w:rsid w:val="001413A2"/>
    <w:rsid w:val="00141443"/>
    <w:rsid w:val="0014152A"/>
    <w:rsid w:val="00141A8C"/>
    <w:rsid w:val="00141CA7"/>
    <w:rsid w:val="00141ED0"/>
    <w:rsid w:val="00141F22"/>
    <w:rsid w:val="00141F3A"/>
    <w:rsid w:val="001421EA"/>
    <w:rsid w:val="001422CC"/>
    <w:rsid w:val="001423B9"/>
    <w:rsid w:val="001424C8"/>
    <w:rsid w:val="00142579"/>
    <w:rsid w:val="00142671"/>
    <w:rsid w:val="001426DB"/>
    <w:rsid w:val="001427EF"/>
    <w:rsid w:val="00142AEE"/>
    <w:rsid w:val="00142B06"/>
    <w:rsid w:val="00142C76"/>
    <w:rsid w:val="00142D39"/>
    <w:rsid w:val="00142E76"/>
    <w:rsid w:val="00143223"/>
    <w:rsid w:val="001432A9"/>
    <w:rsid w:val="0014339A"/>
    <w:rsid w:val="0014342B"/>
    <w:rsid w:val="001434DF"/>
    <w:rsid w:val="001435D4"/>
    <w:rsid w:val="001438E4"/>
    <w:rsid w:val="00143985"/>
    <w:rsid w:val="00143A34"/>
    <w:rsid w:val="00143B2C"/>
    <w:rsid w:val="00143B70"/>
    <w:rsid w:val="00143B71"/>
    <w:rsid w:val="00143BF4"/>
    <w:rsid w:val="00143C05"/>
    <w:rsid w:val="00143D2D"/>
    <w:rsid w:val="00143DEC"/>
    <w:rsid w:val="00143E7B"/>
    <w:rsid w:val="00143F1A"/>
    <w:rsid w:val="00143FA8"/>
    <w:rsid w:val="00143FF0"/>
    <w:rsid w:val="0014413C"/>
    <w:rsid w:val="001441AD"/>
    <w:rsid w:val="001441B5"/>
    <w:rsid w:val="001444FE"/>
    <w:rsid w:val="0014461C"/>
    <w:rsid w:val="00144654"/>
    <w:rsid w:val="00144A7D"/>
    <w:rsid w:val="00144ACF"/>
    <w:rsid w:val="00144B4B"/>
    <w:rsid w:val="00144B89"/>
    <w:rsid w:val="00144E76"/>
    <w:rsid w:val="0014500F"/>
    <w:rsid w:val="001450D9"/>
    <w:rsid w:val="001451C2"/>
    <w:rsid w:val="001452C4"/>
    <w:rsid w:val="001453C6"/>
    <w:rsid w:val="00145508"/>
    <w:rsid w:val="001456FD"/>
    <w:rsid w:val="001457DF"/>
    <w:rsid w:val="001457FE"/>
    <w:rsid w:val="00145806"/>
    <w:rsid w:val="0014592A"/>
    <w:rsid w:val="00146154"/>
    <w:rsid w:val="00146288"/>
    <w:rsid w:val="001463AB"/>
    <w:rsid w:val="001465AC"/>
    <w:rsid w:val="001466B4"/>
    <w:rsid w:val="001466E1"/>
    <w:rsid w:val="0014681D"/>
    <w:rsid w:val="001469B3"/>
    <w:rsid w:val="00146A88"/>
    <w:rsid w:val="00146BF1"/>
    <w:rsid w:val="00146C83"/>
    <w:rsid w:val="00146D2D"/>
    <w:rsid w:val="00146F34"/>
    <w:rsid w:val="0014701C"/>
    <w:rsid w:val="0014711B"/>
    <w:rsid w:val="0014711D"/>
    <w:rsid w:val="001476DB"/>
    <w:rsid w:val="00147A22"/>
    <w:rsid w:val="00147AD3"/>
    <w:rsid w:val="00147B1C"/>
    <w:rsid w:val="00147B4E"/>
    <w:rsid w:val="00147B9F"/>
    <w:rsid w:val="00147C7B"/>
    <w:rsid w:val="00147D43"/>
    <w:rsid w:val="00147EF6"/>
    <w:rsid w:val="00147F5F"/>
    <w:rsid w:val="0015008D"/>
    <w:rsid w:val="00150115"/>
    <w:rsid w:val="00150200"/>
    <w:rsid w:val="00150379"/>
    <w:rsid w:val="001503EC"/>
    <w:rsid w:val="001505D7"/>
    <w:rsid w:val="00150AA5"/>
    <w:rsid w:val="00150AD5"/>
    <w:rsid w:val="00150E4B"/>
    <w:rsid w:val="00150E57"/>
    <w:rsid w:val="00150E64"/>
    <w:rsid w:val="00151066"/>
    <w:rsid w:val="0015106C"/>
    <w:rsid w:val="00151164"/>
    <w:rsid w:val="001511FE"/>
    <w:rsid w:val="001515E9"/>
    <w:rsid w:val="001515F0"/>
    <w:rsid w:val="0015168C"/>
    <w:rsid w:val="0015184B"/>
    <w:rsid w:val="0015185C"/>
    <w:rsid w:val="00151870"/>
    <w:rsid w:val="001518A4"/>
    <w:rsid w:val="00151A47"/>
    <w:rsid w:val="00151D6C"/>
    <w:rsid w:val="00151E25"/>
    <w:rsid w:val="00152691"/>
    <w:rsid w:val="00152A36"/>
    <w:rsid w:val="00152A5B"/>
    <w:rsid w:val="00152A66"/>
    <w:rsid w:val="00152B4D"/>
    <w:rsid w:val="00152D1E"/>
    <w:rsid w:val="00152DE4"/>
    <w:rsid w:val="00152F0B"/>
    <w:rsid w:val="00153187"/>
    <w:rsid w:val="001533A6"/>
    <w:rsid w:val="00153451"/>
    <w:rsid w:val="001538A8"/>
    <w:rsid w:val="00153B51"/>
    <w:rsid w:val="00153BC4"/>
    <w:rsid w:val="00153DCC"/>
    <w:rsid w:val="00153F65"/>
    <w:rsid w:val="00154030"/>
    <w:rsid w:val="00154068"/>
    <w:rsid w:val="00154095"/>
    <w:rsid w:val="00154123"/>
    <w:rsid w:val="00154173"/>
    <w:rsid w:val="001541AA"/>
    <w:rsid w:val="00154211"/>
    <w:rsid w:val="001542CF"/>
    <w:rsid w:val="001543B2"/>
    <w:rsid w:val="001545A2"/>
    <w:rsid w:val="001546E7"/>
    <w:rsid w:val="0015499C"/>
    <w:rsid w:val="001549AD"/>
    <w:rsid w:val="00154C5D"/>
    <w:rsid w:val="00154D1F"/>
    <w:rsid w:val="00154D96"/>
    <w:rsid w:val="00154EAD"/>
    <w:rsid w:val="00154FC8"/>
    <w:rsid w:val="0015516C"/>
    <w:rsid w:val="0015523E"/>
    <w:rsid w:val="00155420"/>
    <w:rsid w:val="00155572"/>
    <w:rsid w:val="0015558A"/>
    <w:rsid w:val="0015567B"/>
    <w:rsid w:val="00155754"/>
    <w:rsid w:val="001557AA"/>
    <w:rsid w:val="001559CA"/>
    <w:rsid w:val="00155A27"/>
    <w:rsid w:val="00155B2E"/>
    <w:rsid w:val="00155B3C"/>
    <w:rsid w:val="00156161"/>
    <w:rsid w:val="0015622F"/>
    <w:rsid w:val="0015636C"/>
    <w:rsid w:val="00156546"/>
    <w:rsid w:val="00156568"/>
    <w:rsid w:val="001565B8"/>
    <w:rsid w:val="00156A4F"/>
    <w:rsid w:val="00156C39"/>
    <w:rsid w:val="00156DD9"/>
    <w:rsid w:val="00156FCA"/>
    <w:rsid w:val="001570C0"/>
    <w:rsid w:val="00157338"/>
    <w:rsid w:val="00157444"/>
    <w:rsid w:val="001574EF"/>
    <w:rsid w:val="00157A39"/>
    <w:rsid w:val="00157A9E"/>
    <w:rsid w:val="00157DF0"/>
    <w:rsid w:val="00157DF5"/>
    <w:rsid w:val="00157E99"/>
    <w:rsid w:val="00157EC2"/>
    <w:rsid w:val="00157F6D"/>
    <w:rsid w:val="00160224"/>
    <w:rsid w:val="00160420"/>
    <w:rsid w:val="00160733"/>
    <w:rsid w:val="00160850"/>
    <w:rsid w:val="00160A01"/>
    <w:rsid w:val="00160B03"/>
    <w:rsid w:val="00160C4B"/>
    <w:rsid w:val="00160D46"/>
    <w:rsid w:val="00160EA2"/>
    <w:rsid w:val="00160F51"/>
    <w:rsid w:val="001615CB"/>
    <w:rsid w:val="00161611"/>
    <w:rsid w:val="0016182A"/>
    <w:rsid w:val="001618AA"/>
    <w:rsid w:val="00161B08"/>
    <w:rsid w:val="00161CA6"/>
    <w:rsid w:val="00161FDB"/>
    <w:rsid w:val="00162044"/>
    <w:rsid w:val="00162064"/>
    <w:rsid w:val="00162089"/>
    <w:rsid w:val="001623EF"/>
    <w:rsid w:val="001629EB"/>
    <w:rsid w:val="00162AA8"/>
    <w:rsid w:val="00162AE1"/>
    <w:rsid w:val="00162CBF"/>
    <w:rsid w:val="00162CF6"/>
    <w:rsid w:val="00162D77"/>
    <w:rsid w:val="00162FEB"/>
    <w:rsid w:val="001630A4"/>
    <w:rsid w:val="001630A7"/>
    <w:rsid w:val="00163462"/>
    <w:rsid w:val="0016359C"/>
    <w:rsid w:val="00163639"/>
    <w:rsid w:val="001637D2"/>
    <w:rsid w:val="001639B1"/>
    <w:rsid w:val="001639C1"/>
    <w:rsid w:val="00163AAA"/>
    <w:rsid w:val="00163B14"/>
    <w:rsid w:val="00163CBB"/>
    <w:rsid w:val="00163DA0"/>
    <w:rsid w:val="00163E42"/>
    <w:rsid w:val="00163EB2"/>
    <w:rsid w:val="00163EE6"/>
    <w:rsid w:val="00164092"/>
    <w:rsid w:val="0016416A"/>
    <w:rsid w:val="00164382"/>
    <w:rsid w:val="001643C3"/>
    <w:rsid w:val="001643CD"/>
    <w:rsid w:val="0016480C"/>
    <w:rsid w:val="00164846"/>
    <w:rsid w:val="00164850"/>
    <w:rsid w:val="001649CB"/>
    <w:rsid w:val="00164EE9"/>
    <w:rsid w:val="00164FAB"/>
    <w:rsid w:val="00164FF1"/>
    <w:rsid w:val="00165037"/>
    <w:rsid w:val="001652B7"/>
    <w:rsid w:val="00165357"/>
    <w:rsid w:val="0016554C"/>
    <w:rsid w:val="001656C8"/>
    <w:rsid w:val="00165A2C"/>
    <w:rsid w:val="00165CB9"/>
    <w:rsid w:val="00165F7B"/>
    <w:rsid w:val="00166092"/>
    <w:rsid w:val="001662A7"/>
    <w:rsid w:val="00166325"/>
    <w:rsid w:val="001663DE"/>
    <w:rsid w:val="00166465"/>
    <w:rsid w:val="00166531"/>
    <w:rsid w:val="001665A9"/>
    <w:rsid w:val="0016676B"/>
    <w:rsid w:val="0016682E"/>
    <w:rsid w:val="0016685A"/>
    <w:rsid w:val="00166923"/>
    <w:rsid w:val="00166B24"/>
    <w:rsid w:val="00166B69"/>
    <w:rsid w:val="00166C23"/>
    <w:rsid w:val="00166C5D"/>
    <w:rsid w:val="00166D41"/>
    <w:rsid w:val="00166E17"/>
    <w:rsid w:val="00167128"/>
    <w:rsid w:val="001675CB"/>
    <w:rsid w:val="001675E8"/>
    <w:rsid w:val="0016760B"/>
    <w:rsid w:val="00167696"/>
    <w:rsid w:val="00167B12"/>
    <w:rsid w:val="00167D49"/>
    <w:rsid w:val="00167DE1"/>
    <w:rsid w:val="00167EEF"/>
    <w:rsid w:val="00167F40"/>
    <w:rsid w:val="00170111"/>
    <w:rsid w:val="0017014E"/>
    <w:rsid w:val="0017044D"/>
    <w:rsid w:val="001705E9"/>
    <w:rsid w:val="0017071C"/>
    <w:rsid w:val="0017085A"/>
    <w:rsid w:val="00170990"/>
    <w:rsid w:val="00170CE6"/>
    <w:rsid w:val="00170D09"/>
    <w:rsid w:val="00171340"/>
    <w:rsid w:val="00171579"/>
    <w:rsid w:val="001716F0"/>
    <w:rsid w:val="00171936"/>
    <w:rsid w:val="00171A18"/>
    <w:rsid w:val="00171ABE"/>
    <w:rsid w:val="00171B13"/>
    <w:rsid w:val="00171BA7"/>
    <w:rsid w:val="00171E3F"/>
    <w:rsid w:val="0017231A"/>
    <w:rsid w:val="001723A8"/>
    <w:rsid w:val="001723CB"/>
    <w:rsid w:val="001724C5"/>
    <w:rsid w:val="001724FF"/>
    <w:rsid w:val="00172C2C"/>
    <w:rsid w:val="00172C2D"/>
    <w:rsid w:val="00172DBB"/>
    <w:rsid w:val="00172DCD"/>
    <w:rsid w:val="00172F5C"/>
    <w:rsid w:val="00173051"/>
    <w:rsid w:val="001731AF"/>
    <w:rsid w:val="00173293"/>
    <w:rsid w:val="001732B1"/>
    <w:rsid w:val="00173312"/>
    <w:rsid w:val="0017345B"/>
    <w:rsid w:val="001734F8"/>
    <w:rsid w:val="0017365E"/>
    <w:rsid w:val="00173696"/>
    <w:rsid w:val="00173702"/>
    <w:rsid w:val="00173708"/>
    <w:rsid w:val="00173877"/>
    <w:rsid w:val="00173A8F"/>
    <w:rsid w:val="00173C57"/>
    <w:rsid w:val="00173DBF"/>
    <w:rsid w:val="00173EBB"/>
    <w:rsid w:val="00173EE2"/>
    <w:rsid w:val="00173F4C"/>
    <w:rsid w:val="001740C2"/>
    <w:rsid w:val="0017425B"/>
    <w:rsid w:val="001742CF"/>
    <w:rsid w:val="0017457B"/>
    <w:rsid w:val="001745C8"/>
    <w:rsid w:val="00174725"/>
    <w:rsid w:val="00174765"/>
    <w:rsid w:val="00174842"/>
    <w:rsid w:val="00174ADD"/>
    <w:rsid w:val="00174B5A"/>
    <w:rsid w:val="00174C5F"/>
    <w:rsid w:val="00174CF7"/>
    <w:rsid w:val="00174DAC"/>
    <w:rsid w:val="00174E2E"/>
    <w:rsid w:val="00174FC6"/>
    <w:rsid w:val="0017588A"/>
    <w:rsid w:val="00175B54"/>
    <w:rsid w:val="00175C9D"/>
    <w:rsid w:val="00175E99"/>
    <w:rsid w:val="00175F7E"/>
    <w:rsid w:val="0017611C"/>
    <w:rsid w:val="00176253"/>
    <w:rsid w:val="001762C3"/>
    <w:rsid w:val="0017642A"/>
    <w:rsid w:val="0017664C"/>
    <w:rsid w:val="00176657"/>
    <w:rsid w:val="001766AA"/>
    <w:rsid w:val="001767E4"/>
    <w:rsid w:val="001769D9"/>
    <w:rsid w:val="00176B29"/>
    <w:rsid w:val="00176B64"/>
    <w:rsid w:val="00176D02"/>
    <w:rsid w:val="0017721C"/>
    <w:rsid w:val="0017733D"/>
    <w:rsid w:val="00177440"/>
    <w:rsid w:val="001774DC"/>
    <w:rsid w:val="00177690"/>
    <w:rsid w:val="00177B5B"/>
    <w:rsid w:val="00177B81"/>
    <w:rsid w:val="00177D8C"/>
    <w:rsid w:val="00177E95"/>
    <w:rsid w:val="00180105"/>
    <w:rsid w:val="00180184"/>
    <w:rsid w:val="0018026A"/>
    <w:rsid w:val="001803F2"/>
    <w:rsid w:val="00180424"/>
    <w:rsid w:val="001804FA"/>
    <w:rsid w:val="00180521"/>
    <w:rsid w:val="001806F5"/>
    <w:rsid w:val="001807FD"/>
    <w:rsid w:val="001808D6"/>
    <w:rsid w:val="00180A64"/>
    <w:rsid w:val="00180AFD"/>
    <w:rsid w:val="00180C24"/>
    <w:rsid w:val="00180E38"/>
    <w:rsid w:val="00181064"/>
    <w:rsid w:val="00181261"/>
    <w:rsid w:val="001813A1"/>
    <w:rsid w:val="0018143A"/>
    <w:rsid w:val="001814B6"/>
    <w:rsid w:val="00181561"/>
    <w:rsid w:val="0018173D"/>
    <w:rsid w:val="00181788"/>
    <w:rsid w:val="001817DD"/>
    <w:rsid w:val="001819D0"/>
    <w:rsid w:val="001819FF"/>
    <w:rsid w:val="00181AF0"/>
    <w:rsid w:val="00181B12"/>
    <w:rsid w:val="00181B88"/>
    <w:rsid w:val="00181F3C"/>
    <w:rsid w:val="00182303"/>
    <w:rsid w:val="00182397"/>
    <w:rsid w:val="001823D4"/>
    <w:rsid w:val="001827AA"/>
    <w:rsid w:val="00182813"/>
    <w:rsid w:val="001829E5"/>
    <w:rsid w:val="00182A9C"/>
    <w:rsid w:val="00182B12"/>
    <w:rsid w:val="00182B47"/>
    <w:rsid w:val="00182C28"/>
    <w:rsid w:val="00182C5F"/>
    <w:rsid w:val="00182D99"/>
    <w:rsid w:val="00182FF5"/>
    <w:rsid w:val="00183232"/>
    <w:rsid w:val="00183281"/>
    <w:rsid w:val="00183287"/>
    <w:rsid w:val="0018342B"/>
    <w:rsid w:val="00183503"/>
    <w:rsid w:val="00183679"/>
    <w:rsid w:val="0018377C"/>
    <w:rsid w:val="00183848"/>
    <w:rsid w:val="00183E62"/>
    <w:rsid w:val="001841AE"/>
    <w:rsid w:val="001842A5"/>
    <w:rsid w:val="00184366"/>
    <w:rsid w:val="001847A9"/>
    <w:rsid w:val="001847F9"/>
    <w:rsid w:val="00184808"/>
    <w:rsid w:val="001848A5"/>
    <w:rsid w:val="00184B1B"/>
    <w:rsid w:val="00184B5B"/>
    <w:rsid w:val="00184BF1"/>
    <w:rsid w:val="00184CCD"/>
    <w:rsid w:val="00184D36"/>
    <w:rsid w:val="00184DDB"/>
    <w:rsid w:val="00184F8A"/>
    <w:rsid w:val="00184FB7"/>
    <w:rsid w:val="00184FDE"/>
    <w:rsid w:val="00185082"/>
    <w:rsid w:val="00185181"/>
    <w:rsid w:val="001851E0"/>
    <w:rsid w:val="001852B6"/>
    <w:rsid w:val="00185417"/>
    <w:rsid w:val="00185466"/>
    <w:rsid w:val="00185603"/>
    <w:rsid w:val="001856A0"/>
    <w:rsid w:val="00185856"/>
    <w:rsid w:val="00185A46"/>
    <w:rsid w:val="00185A48"/>
    <w:rsid w:val="00185B15"/>
    <w:rsid w:val="00185BAE"/>
    <w:rsid w:val="00185D6B"/>
    <w:rsid w:val="0018615E"/>
    <w:rsid w:val="00186196"/>
    <w:rsid w:val="001863B4"/>
    <w:rsid w:val="0018655A"/>
    <w:rsid w:val="001865AB"/>
    <w:rsid w:val="0018670A"/>
    <w:rsid w:val="00186839"/>
    <w:rsid w:val="00186B52"/>
    <w:rsid w:val="00186DEA"/>
    <w:rsid w:val="00186E8C"/>
    <w:rsid w:val="00186FB9"/>
    <w:rsid w:val="001870B2"/>
    <w:rsid w:val="00187145"/>
    <w:rsid w:val="00187251"/>
    <w:rsid w:val="001873A0"/>
    <w:rsid w:val="001873C5"/>
    <w:rsid w:val="00187599"/>
    <w:rsid w:val="0018763A"/>
    <w:rsid w:val="00187701"/>
    <w:rsid w:val="00187705"/>
    <w:rsid w:val="001877F0"/>
    <w:rsid w:val="001878DB"/>
    <w:rsid w:val="00187AED"/>
    <w:rsid w:val="00187DE6"/>
    <w:rsid w:val="00187E93"/>
    <w:rsid w:val="00187F79"/>
    <w:rsid w:val="00187FC0"/>
    <w:rsid w:val="0019089C"/>
    <w:rsid w:val="00190B43"/>
    <w:rsid w:val="00190B82"/>
    <w:rsid w:val="00190BB8"/>
    <w:rsid w:val="00190C7C"/>
    <w:rsid w:val="00190FE9"/>
    <w:rsid w:val="0019104A"/>
    <w:rsid w:val="001911D2"/>
    <w:rsid w:val="00191251"/>
    <w:rsid w:val="00191512"/>
    <w:rsid w:val="001916C1"/>
    <w:rsid w:val="001918D4"/>
    <w:rsid w:val="001919C0"/>
    <w:rsid w:val="00191AF8"/>
    <w:rsid w:val="00191BAD"/>
    <w:rsid w:val="00191E37"/>
    <w:rsid w:val="00191FF9"/>
    <w:rsid w:val="0019201B"/>
    <w:rsid w:val="001920A5"/>
    <w:rsid w:val="001923B1"/>
    <w:rsid w:val="001925A9"/>
    <w:rsid w:val="001928A7"/>
    <w:rsid w:val="00192913"/>
    <w:rsid w:val="00192C60"/>
    <w:rsid w:val="00192D5A"/>
    <w:rsid w:val="00192F2F"/>
    <w:rsid w:val="00192FC2"/>
    <w:rsid w:val="001930D3"/>
    <w:rsid w:val="0019314B"/>
    <w:rsid w:val="00193181"/>
    <w:rsid w:val="00193200"/>
    <w:rsid w:val="00193661"/>
    <w:rsid w:val="001936A2"/>
    <w:rsid w:val="001936B5"/>
    <w:rsid w:val="00193787"/>
    <w:rsid w:val="00193788"/>
    <w:rsid w:val="0019383C"/>
    <w:rsid w:val="00193BA9"/>
    <w:rsid w:val="00193E80"/>
    <w:rsid w:val="00193F0B"/>
    <w:rsid w:val="001940C0"/>
    <w:rsid w:val="001940F9"/>
    <w:rsid w:val="00194231"/>
    <w:rsid w:val="001945D5"/>
    <w:rsid w:val="0019472A"/>
    <w:rsid w:val="00194796"/>
    <w:rsid w:val="001949E8"/>
    <w:rsid w:val="00194B87"/>
    <w:rsid w:val="00194C70"/>
    <w:rsid w:val="00194E24"/>
    <w:rsid w:val="001950EA"/>
    <w:rsid w:val="00195140"/>
    <w:rsid w:val="00195229"/>
    <w:rsid w:val="001953DC"/>
    <w:rsid w:val="00195435"/>
    <w:rsid w:val="00195493"/>
    <w:rsid w:val="00195565"/>
    <w:rsid w:val="0019559A"/>
    <w:rsid w:val="001955F7"/>
    <w:rsid w:val="0019561D"/>
    <w:rsid w:val="0019590D"/>
    <w:rsid w:val="00195F56"/>
    <w:rsid w:val="00195FE8"/>
    <w:rsid w:val="00196278"/>
    <w:rsid w:val="001962CD"/>
    <w:rsid w:val="00196303"/>
    <w:rsid w:val="001963E6"/>
    <w:rsid w:val="00196578"/>
    <w:rsid w:val="001965EA"/>
    <w:rsid w:val="0019665F"/>
    <w:rsid w:val="001967ED"/>
    <w:rsid w:val="00196952"/>
    <w:rsid w:val="00196BF9"/>
    <w:rsid w:val="00196DB4"/>
    <w:rsid w:val="00196ED6"/>
    <w:rsid w:val="00196F42"/>
    <w:rsid w:val="00196FB9"/>
    <w:rsid w:val="0019750F"/>
    <w:rsid w:val="00197573"/>
    <w:rsid w:val="00197648"/>
    <w:rsid w:val="001977B6"/>
    <w:rsid w:val="001979D1"/>
    <w:rsid w:val="001979FF"/>
    <w:rsid w:val="00197BFB"/>
    <w:rsid w:val="00197BFC"/>
    <w:rsid w:val="00197D3C"/>
    <w:rsid w:val="00197E64"/>
    <w:rsid w:val="00197F1C"/>
    <w:rsid w:val="001A0030"/>
    <w:rsid w:val="001A006F"/>
    <w:rsid w:val="001A00FB"/>
    <w:rsid w:val="001A0141"/>
    <w:rsid w:val="001A046F"/>
    <w:rsid w:val="001A0592"/>
    <w:rsid w:val="001A0ACF"/>
    <w:rsid w:val="001A0BA7"/>
    <w:rsid w:val="001A0D81"/>
    <w:rsid w:val="001A103D"/>
    <w:rsid w:val="001A12B7"/>
    <w:rsid w:val="001A1351"/>
    <w:rsid w:val="001A1381"/>
    <w:rsid w:val="001A1717"/>
    <w:rsid w:val="001A18B7"/>
    <w:rsid w:val="001A18DC"/>
    <w:rsid w:val="001A1909"/>
    <w:rsid w:val="001A197C"/>
    <w:rsid w:val="001A1B3F"/>
    <w:rsid w:val="001A1C03"/>
    <w:rsid w:val="001A1ECC"/>
    <w:rsid w:val="001A1ED6"/>
    <w:rsid w:val="001A2223"/>
    <w:rsid w:val="001A22A1"/>
    <w:rsid w:val="001A277F"/>
    <w:rsid w:val="001A288E"/>
    <w:rsid w:val="001A2906"/>
    <w:rsid w:val="001A29E3"/>
    <w:rsid w:val="001A2A3F"/>
    <w:rsid w:val="001A2B12"/>
    <w:rsid w:val="001A2DED"/>
    <w:rsid w:val="001A2E73"/>
    <w:rsid w:val="001A2E75"/>
    <w:rsid w:val="001A2E8F"/>
    <w:rsid w:val="001A3088"/>
    <w:rsid w:val="001A3670"/>
    <w:rsid w:val="001A37E2"/>
    <w:rsid w:val="001A3814"/>
    <w:rsid w:val="001A38C7"/>
    <w:rsid w:val="001A3922"/>
    <w:rsid w:val="001A3B07"/>
    <w:rsid w:val="001A3BBC"/>
    <w:rsid w:val="001A3BE3"/>
    <w:rsid w:val="001A3D4D"/>
    <w:rsid w:val="001A3D9C"/>
    <w:rsid w:val="001A3DE2"/>
    <w:rsid w:val="001A3E30"/>
    <w:rsid w:val="001A3F6D"/>
    <w:rsid w:val="001A4279"/>
    <w:rsid w:val="001A42A2"/>
    <w:rsid w:val="001A4872"/>
    <w:rsid w:val="001A489F"/>
    <w:rsid w:val="001A48D4"/>
    <w:rsid w:val="001A4B35"/>
    <w:rsid w:val="001A4BC5"/>
    <w:rsid w:val="001A4DCF"/>
    <w:rsid w:val="001A4ECC"/>
    <w:rsid w:val="001A4F79"/>
    <w:rsid w:val="001A509F"/>
    <w:rsid w:val="001A531E"/>
    <w:rsid w:val="001A54B2"/>
    <w:rsid w:val="001A58E5"/>
    <w:rsid w:val="001A59BA"/>
    <w:rsid w:val="001A59E3"/>
    <w:rsid w:val="001A59EA"/>
    <w:rsid w:val="001A5EFB"/>
    <w:rsid w:val="001A5FC0"/>
    <w:rsid w:val="001A602F"/>
    <w:rsid w:val="001A6111"/>
    <w:rsid w:val="001A623F"/>
    <w:rsid w:val="001A63EE"/>
    <w:rsid w:val="001A6753"/>
    <w:rsid w:val="001A675C"/>
    <w:rsid w:val="001A6A31"/>
    <w:rsid w:val="001A6BBD"/>
    <w:rsid w:val="001A6CA1"/>
    <w:rsid w:val="001A6CE0"/>
    <w:rsid w:val="001A6F4A"/>
    <w:rsid w:val="001A6FC1"/>
    <w:rsid w:val="001A771B"/>
    <w:rsid w:val="001A7728"/>
    <w:rsid w:val="001A77C2"/>
    <w:rsid w:val="001A78BD"/>
    <w:rsid w:val="001A7A04"/>
    <w:rsid w:val="001A7B9A"/>
    <w:rsid w:val="001A7BE1"/>
    <w:rsid w:val="001A7C6E"/>
    <w:rsid w:val="001A7F4B"/>
    <w:rsid w:val="001B0169"/>
    <w:rsid w:val="001B0297"/>
    <w:rsid w:val="001B02E5"/>
    <w:rsid w:val="001B0328"/>
    <w:rsid w:val="001B0414"/>
    <w:rsid w:val="001B0695"/>
    <w:rsid w:val="001B07A7"/>
    <w:rsid w:val="001B080F"/>
    <w:rsid w:val="001B09FF"/>
    <w:rsid w:val="001B0B35"/>
    <w:rsid w:val="001B0B4C"/>
    <w:rsid w:val="001B0CA3"/>
    <w:rsid w:val="001B0CFA"/>
    <w:rsid w:val="001B0D36"/>
    <w:rsid w:val="001B0D93"/>
    <w:rsid w:val="001B0DAF"/>
    <w:rsid w:val="001B0F7E"/>
    <w:rsid w:val="001B12E0"/>
    <w:rsid w:val="001B132E"/>
    <w:rsid w:val="001B1460"/>
    <w:rsid w:val="001B1608"/>
    <w:rsid w:val="001B164E"/>
    <w:rsid w:val="001B1919"/>
    <w:rsid w:val="001B1994"/>
    <w:rsid w:val="001B1DDD"/>
    <w:rsid w:val="001B1EF7"/>
    <w:rsid w:val="001B210A"/>
    <w:rsid w:val="001B221E"/>
    <w:rsid w:val="001B2256"/>
    <w:rsid w:val="001B227A"/>
    <w:rsid w:val="001B22CB"/>
    <w:rsid w:val="001B241A"/>
    <w:rsid w:val="001B25C0"/>
    <w:rsid w:val="001B2648"/>
    <w:rsid w:val="001B2753"/>
    <w:rsid w:val="001B28BB"/>
    <w:rsid w:val="001B2AFA"/>
    <w:rsid w:val="001B2E73"/>
    <w:rsid w:val="001B2F25"/>
    <w:rsid w:val="001B3154"/>
    <w:rsid w:val="001B318D"/>
    <w:rsid w:val="001B324E"/>
    <w:rsid w:val="001B327E"/>
    <w:rsid w:val="001B3539"/>
    <w:rsid w:val="001B36C8"/>
    <w:rsid w:val="001B37BC"/>
    <w:rsid w:val="001B37C8"/>
    <w:rsid w:val="001B3855"/>
    <w:rsid w:val="001B3AF4"/>
    <w:rsid w:val="001B3C73"/>
    <w:rsid w:val="001B3C85"/>
    <w:rsid w:val="001B3CEE"/>
    <w:rsid w:val="001B3F4C"/>
    <w:rsid w:val="001B3F50"/>
    <w:rsid w:val="001B4317"/>
    <w:rsid w:val="001B4408"/>
    <w:rsid w:val="001B4631"/>
    <w:rsid w:val="001B4682"/>
    <w:rsid w:val="001B4964"/>
    <w:rsid w:val="001B4C8D"/>
    <w:rsid w:val="001B4CC9"/>
    <w:rsid w:val="001B4D66"/>
    <w:rsid w:val="001B4F2D"/>
    <w:rsid w:val="001B4F6E"/>
    <w:rsid w:val="001B4FA5"/>
    <w:rsid w:val="001B50FA"/>
    <w:rsid w:val="001B515D"/>
    <w:rsid w:val="001B5207"/>
    <w:rsid w:val="001B5252"/>
    <w:rsid w:val="001B52F1"/>
    <w:rsid w:val="001B542A"/>
    <w:rsid w:val="001B55CE"/>
    <w:rsid w:val="001B5939"/>
    <w:rsid w:val="001B5A46"/>
    <w:rsid w:val="001B5AFB"/>
    <w:rsid w:val="001B5B95"/>
    <w:rsid w:val="001B5DB7"/>
    <w:rsid w:val="001B5E16"/>
    <w:rsid w:val="001B5EAE"/>
    <w:rsid w:val="001B5F2A"/>
    <w:rsid w:val="001B60CB"/>
    <w:rsid w:val="001B63B2"/>
    <w:rsid w:val="001B63CD"/>
    <w:rsid w:val="001B64D4"/>
    <w:rsid w:val="001B6518"/>
    <w:rsid w:val="001B6586"/>
    <w:rsid w:val="001B6624"/>
    <w:rsid w:val="001B6798"/>
    <w:rsid w:val="001B6814"/>
    <w:rsid w:val="001B6969"/>
    <w:rsid w:val="001B6E18"/>
    <w:rsid w:val="001B71B9"/>
    <w:rsid w:val="001B7247"/>
    <w:rsid w:val="001B74B1"/>
    <w:rsid w:val="001B76FF"/>
    <w:rsid w:val="001B7D26"/>
    <w:rsid w:val="001C0134"/>
    <w:rsid w:val="001C02F0"/>
    <w:rsid w:val="001C0432"/>
    <w:rsid w:val="001C04BF"/>
    <w:rsid w:val="001C07C6"/>
    <w:rsid w:val="001C0A41"/>
    <w:rsid w:val="001C0B21"/>
    <w:rsid w:val="001C0B61"/>
    <w:rsid w:val="001C1287"/>
    <w:rsid w:val="001C1297"/>
    <w:rsid w:val="001C12C8"/>
    <w:rsid w:val="001C1431"/>
    <w:rsid w:val="001C14DF"/>
    <w:rsid w:val="001C1503"/>
    <w:rsid w:val="001C19CB"/>
    <w:rsid w:val="001C1A99"/>
    <w:rsid w:val="001C1AA0"/>
    <w:rsid w:val="001C1F4D"/>
    <w:rsid w:val="001C2190"/>
    <w:rsid w:val="001C2479"/>
    <w:rsid w:val="001C24D2"/>
    <w:rsid w:val="001C24EA"/>
    <w:rsid w:val="001C27DC"/>
    <w:rsid w:val="001C2B24"/>
    <w:rsid w:val="001C2C0C"/>
    <w:rsid w:val="001C2C47"/>
    <w:rsid w:val="001C2C62"/>
    <w:rsid w:val="001C2F1B"/>
    <w:rsid w:val="001C33F1"/>
    <w:rsid w:val="001C343D"/>
    <w:rsid w:val="001C3476"/>
    <w:rsid w:val="001C37A4"/>
    <w:rsid w:val="001C3A75"/>
    <w:rsid w:val="001C3A99"/>
    <w:rsid w:val="001C3BD4"/>
    <w:rsid w:val="001C3C68"/>
    <w:rsid w:val="001C3D31"/>
    <w:rsid w:val="001C3D7E"/>
    <w:rsid w:val="001C3E62"/>
    <w:rsid w:val="001C3EAD"/>
    <w:rsid w:val="001C4087"/>
    <w:rsid w:val="001C4B53"/>
    <w:rsid w:val="001C4C85"/>
    <w:rsid w:val="001C4CA0"/>
    <w:rsid w:val="001C4CEE"/>
    <w:rsid w:val="001C5281"/>
    <w:rsid w:val="001C52C2"/>
    <w:rsid w:val="001C54B5"/>
    <w:rsid w:val="001C5629"/>
    <w:rsid w:val="001C5920"/>
    <w:rsid w:val="001C5A2D"/>
    <w:rsid w:val="001C5A7D"/>
    <w:rsid w:val="001C5B49"/>
    <w:rsid w:val="001C5DE8"/>
    <w:rsid w:val="001C60D7"/>
    <w:rsid w:val="001C60DE"/>
    <w:rsid w:val="001C6258"/>
    <w:rsid w:val="001C6368"/>
    <w:rsid w:val="001C647E"/>
    <w:rsid w:val="001C64AD"/>
    <w:rsid w:val="001C66BB"/>
    <w:rsid w:val="001C67FA"/>
    <w:rsid w:val="001C6911"/>
    <w:rsid w:val="001C6AD8"/>
    <w:rsid w:val="001C6B6F"/>
    <w:rsid w:val="001C6BA8"/>
    <w:rsid w:val="001C6DC5"/>
    <w:rsid w:val="001C7131"/>
    <w:rsid w:val="001C73C3"/>
    <w:rsid w:val="001C7446"/>
    <w:rsid w:val="001C74E4"/>
    <w:rsid w:val="001C7511"/>
    <w:rsid w:val="001C77A7"/>
    <w:rsid w:val="001C77EA"/>
    <w:rsid w:val="001C7853"/>
    <w:rsid w:val="001C7F06"/>
    <w:rsid w:val="001C7F1D"/>
    <w:rsid w:val="001C7FB1"/>
    <w:rsid w:val="001D00B3"/>
    <w:rsid w:val="001D0114"/>
    <w:rsid w:val="001D01EE"/>
    <w:rsid w:val="001D0320"/>
    <w:rsid w:val="001D0484"/>
    <w:rsid w:val="001D07DC"/>
    <w:rsid w:val="001D07E7"/>
    <w:rsid w:val="001D0829"/>
    <w:rsid w:val="001D0863"/>
    <w:rsid w:val="001D0A89"/>
    <w:rsid w:val="001D0B4D"/>
    <w:rsid w:val="001D0B9B"/>
    <w:rsid w:val="001D0C12"/>
    <w:rsid w:val="001D1231"/>
    <w:rsid w:val="001D1254"/>
    <w:rsid w:val="001D1271"/>
    <w:rsid w:val="001D13F3"/>
    <w:rsid w:val="001D1769"/>
    <w:rsid w:val="001D17C5"/>
    <w:rsid w:val="001D1986"/>
    <w:rsid w:val="001D1AE8"/>
    <w:rsid w:val="001D1BA6"/>
    <w:rsid w:val="001D1CCA"/>
    <w:rsid w:val="001D1D82"/>
    <w:rsid w:val="001D1E46"/>
    <w:rsid w:val="001D1E4B"/>
    <w:rsid w:val="001D1FC2"/>
    <w:rsid w:val="001D2306"/>
    <w:rsid w:val="001D24D0"/>
    <w:rsid w:val="001D25F2"/>
    <w:rsid w:val="001D2795"/>
    <w:rsid w:val="001D284F"/>
    <w:rsid w:val="001D2D0E"/>
    <w:rsid w:val="001D2D23"/>
    <w:rsid w:val="001D2D9A"/>
    <w:rsid w:val="001D2E7E"/>
    <w:rsid w:val="001D2FD3"/>
    <w:rsid w:val="001D324B"/>
    <w:rsid w:val="001D32D1"/>
    <w:rsid w:val="001D3348"/>
    <w:rsid w:val="001D3570"/>
    <w:rsid w:val="001D366B"/>
    <w:rsid w:val="001D36F7"/>
    <w:rsid w:val="001D381B"/>
    <w:rsid w:val="001D390F"/>
    <w:rsid w:val="001D3B0D"/>
    <w:rsid w:val="001D3D01"/>
    <w:rsid w:val="001D3D52"/>
    <w:rsid w:val="001D3D94"/>
    <w:rsid w:val="001D3E5F"/>
    <w:rsid w:val="001D3EB6"/>
    <w:rsid w:val="001D3FCC"/>
    <w:rsid w:val="001D40BE"/>
    <w:rsid w:val="001D40DD"/>
    <w:rsid w:val="001D41CD"/>
    <w:rsid w:val="001D427D"/>
    <w:rsid w:val="001D4377"/>
    <w:rsid w:val="001D446C"/>
    <w:rsid w:val="001D4651"/>
    <w:rsid w:val="001D4751"/>
    <w:rsid w:val="001D48E1"/>
    <w:rsid w:val="001D4AD9"/>
    <w:rsid w:val="001D4B72"/>
    <w:rsid w:val="001D4CC2"/>
    <w:rsid w:val="001D4CE2"/>
    <w:rsid w:val="001D4E47"/>
    <w:rsid w:val="001D5017"/>
    <w:rsid w:val="001D505B"/>
    <w:rsid w:val="001D51F4"/>
    <w:rsid w:val="001D5393"/>
    <w:rsid w:val="001D58F3"/>
    <w:rsid w:val="001D58FC"/>
    <w:rsid w:val="001D5AEA"/>
    <w:rsid w:val="001D5C31"/>
    <w:rsid w:val="001D5D8E"/>
    <w:rsid w:val="001D5EFB"/>
    <w:rsid w:val="001D6034"/>
    <w:rsid w:val="001D60C1"/>
    <w:rsid w:val="001D60C3"/>
    <w:rsid w:val="001D6130"/>
    <w:rsid w:val="001D61F3"/>
    <w:rsid w:val="001D6247"/>
    <w:rsid w:val="001D6568"/>
    <w:rsid w:val="001D67CF"/>
    <w:rsid w:val="001D6927"/>
    <w:rsid w:val="001D69BE"/>
    <w:rsid w:val="001D6B40"/>
    <w:rsid w:val="001D6B78"/>
    <w:rsid w:val="001D6C3D"/>
    <w:rsid w:val="001D6D34"/>
    <w:rsid w:val="001D6F14"/>
    <w:rsid w:val="001D6FCB"/>
    <w:rsid w:val="001D708E"/>
    <w:rsid w:val="001D7186"/>
    <w:rsid w:val="001D73BD"/>
    <w:rsid w:val="001D741F"/>
    <w:rsid w:val="001D7921"/>
    <w:rsid w:val="001D7CBC"/>
    <w:rsid w:val="001D7DFF"/>
    <w:rsid w:val="001D7E8B"/>
    <w:rsid w:val="001D7F49"/>
    <w:rsid w:val="001D7F73"/>
    <w:rsid w:val="001E0206"/>
    <w:rsid w:val="001E029C"/>
    <w:rsid w:val="001E0395"/>
    <w:rsid w:val="001E051A"/>
    <w:rsid w:val="001E05AE"/>
    <w:rsid w:val="001E0803"/>
    <w:rsid w:val="001E09A7"/>
    <w:rsid w:val="001E0B12"/>
    <w:rsid w:val="001E0C68"/>
    <w:rsid w:val="001E0EE9"/>
    <w:rsid w:val="001E1027"/>
    <w:rsid w:val="001E15FE"/>
    <w:rsid w:val="001E1704"/>
    <w:rsid w:val="001E170F"/>
    <w:rsid w:val="001E1730"/>
    <w:rsid w:val="001E199B"/>
    <w:rsid w:val="001E1CBF"/>
    <w:rsid w:val="001E1D35"/>
    <w:rsid w:val="001E1D88"/>
    <w:rsid w:val="001E1DF8"/>
    <w:rsid w:val="001E1F6F"/>
    <w:rsid w:val="001E204D"/>
    <w:rsid w:val="001E235A"/>
    <w:rsid w:val="001E2628"/>
    <w:rsid w:val="001E26E4"/>
    <w:rsid w:val="001E2791"/>
    <w:rsid w:val="001E28D5"/>
    <w:rsid w:val="001E2934"/>
    <w:rsid w:val="001E295B"/>
    <w:rsid w:val="001E2DCA"/>
    <w:rsid w:val="001E2DD6"/>
    <w:rsid w:val="001E2F60"/>
    <w:rsid w:val="001E322D"/>
    <w:rsid w:val="001E356D"/>
    <w:rsid w:val="001E388F"/>
    <w:rsid w:val="001E3A6C"/>
    <w:rsid w:val="001E3BC5"/>
    <w:rsid w:val="001E3D60"/>
    <w:rsid w:val="001E3DA1"/>
    <w:rsid w:val="001E3DBA"/>
    <w:rsid w:val="001E3F34"/>
    <w:rsid w:val="001E4042"/>
    <w:rsid w:val="001E40A6"/>
    <w:rsid w:val="001E411E"/>
    <w:rsid w:val="001E4353"/>
    <w:rsid w:val="001E4486"/>
    <w:rsid w:val="001E4588"/>
    <w:rsid w:val="001E45FF"/>
    <w:rsid w:val="001E4675"/>
    <w:rsid w:val="001E46AF"/>
    <w:rsid w:val="001E46DA"/>
    <w:rsid w:val="001E49BC"/>
    <w:rsid w:val="001E4CF6"/>
    <w:rsid w:val="001E4F02"/>
    <w:rsid w:val="001E536F"/>
    <w:rsid w:val="001E541B"/>
    <w:rsid w:val="001E551F"/>
    <w:rsid w:val="001E55BB"/>
    <w:rsid w:val="001E55E1"/>
    <w:rsid w:val="001E567D"/>
    <w:rsid w:val="001E598A"/>
    <w:rsid w:val="001E59F6"/>
    <w:rsid w:val="001E5AC9"/>
    <w:rsid w:val="001E5BBC"/>
    <w:rsid w:val="001E5E21"/>
    <w:rsid w:val="001E5EA6"/>
    <w:rsid w:val="001E6136"/>
    <w:rsid w:val="001E61AE"/>
    <w:rsid w:val="001E621C"/>
    <w:rsid w:val="001E63CE"/>
    <w:rsid w:val="001E649F"/>
    <w:rsid w:val="001E678A"/>
    <w:rsid w:val="001E6819"/>
    <w:rsid w:val="001E6B22"/>
    <w:rsid w:val="001E6C21"/>
    <w:rsid w:val="001E6E4D"/>
    <w:rsid w:val="001E6EEA"/>
    <w:rsid w:val="001E6F49"/>
    <w:rsid w:val="001E7335"/>
    <w:rsid w:val="001E739B"/>
    <w:rsid w:val="001E74F8"/>
    <w:rsid w:val="001E75D7"/>
    <w:rsid w:val="001E7617"/>
    <w:rsid w:val="001E76E9"/>
    <w:rsid w:val="001E778C"/>
    <w:rsid w:val="001E77E6"/>
    <w:rsid w:val="001E79CC"/>
    <w:rsid w:val="001E7B93"/>
    <w:rsid w:val="001E7F4A"/>
    <w:rsid w:val="001F02B0"/>
    <w:rsid w:val="001F047F"/>
    <w:rsid w:val="001F04C7"/>
    <w:rsid w:val="001F0502"/>
    <w:rsid w:val="001F0525"/>
    <w:rsid w:val="001F0568"/>
    <w:rsid w:val="001F05BB"/>
    <w:rsid w:val="001F0686"/>
    <w:rsid w:val="001F0695"/>
    <w:rsid w:val="001F06F9"/>
    <w:rsid w:val="001F072A"/>
    <w:rsid w:val="001F08D9"/>
    <w:rsid w:val="001F098C"/>
    <w:rsid w:val="001F0CA9"/>
    <w:rsid w:val="001F0DE9"/>
    <w:rsid w:val="001F0F18"/>
    <w:rsid w:val="001F0F31"/>
    <w:rsid w:val="001F129D"/>
    <w:rsid w:val="001F1334"/>
    <w:rsid w:val="001F14E3"/>
    <w:rsid w:val="001F1539"/>
    <w:rsid w:val="001F165F"/>
    <w:rsid w:val="001F1696"/>
    <w:rsid w:val="001F182A"/>
    <w:rsid w:val="001F1897"/>
    <w:rsid w:val="001F1A1D"/>
    <w:rsid w:val="001F1A1E"/>
    <w:rsid w:val="001F1CE8"/>
    <w:rsid w:val="001F1DC9"/>
    <w:rsid w:val="001F1DDC"/>
    <w:rsid w:val="001F1E24"/>
    <w:rsid w:val="001F228C"/>
    <w:rsid w:val="001F23FC"/>
    <w:rsid w:val="001F24E0"/>
    <w:rsid w:val="001F27A3"/>
    <w:rsid w:val="001F27D1"/>
    <w:rsid w:val="001F2977"/>
    <w:rsid w:val="001F2A01"/>
    <w:rsid w:val="001F2BF4"/>
    <w:rsid w:val="001F2BFB"/>
    <w:rsid w:val="001F2CCD"/>
    <w:rsid w:val="001F2E0F"/>
    <w:rsid w:val="001F2F1A"/>
    <w:rsid w:val="001F2F95"/>
    <w:rsid w:val="001F2F96"/>
    <w:rsid w:val="001F310E"/>
    <w:rsid w:val="001F31C0"/>
    <w:rsid w:val="001F31E4"/>
    <w:rsid w:val="001F323F"/>
    <w:rsid w:val="001F3248"/>
    <w:rsid w:val="001F32BE"/>
    <w:rsid w:val="001F35DE"/>
    <w:rsid w:val="001F3788"/>
    <w:rsid w:val="001F3ADC"/>
    <w:rsid w:val="001F4061"/>
    <w:rsid w:val="001F417C"/>
    <w:rsid w:val="001F41B3"/>
    <w:rsid w:val="001F4373"/>
    <w:rsid w:val="001F43DC"/>
    <w:rsid w:val="001F44B2"/>
    <w:rsid w:val="001F44E9"/>
    <w:rsid w:val="001F47B6"/>
    <w:rsid w:val="001F49FE"/>
    <w:rsid w:val="001F4BBE"/>
    <w:rsid w:val="001F4CB4"/>
    <w:rsid w:val="001F4E33"/>
    <w:rsid w:val="001F4EA2"/>
    <w:rsid w:val="001F4F03"/>
    <w:rsid w:val="001F4FA0"/>
    <w:rsid w:val="001F519A"/>
    <w:rsid w:val="001F5337"/>
    <w:rsid w:val="001F5344"/>
    <w:rsid w:val="001F5B14"/>
    <w:rsid w:val="001F5E01"/>
    <w:rsid w:val="001F5E30"/>
    <w:rsid w:val="001F5E7B"/>
    <w:rsid w:val="001F5FA2"/>
    <w:rsid w:val="001F6041"/>
    <w:rsid w:val="001F60DA"/>
    <w:rsid w:val="001F6112"/>
    <w:rsid w:val="001F6139"/>
    <w:rsid w:val="001F63A4"/>
    <w:rsid w:val="001F64B7"/>
    <w:rsid w:val="001F6575"/>
    <w:rsid w:val="001F68E2"/>
    <w:rsid w:val="001F6E93"/>
    <w:rsid w:val="001F6F27"/>
    <w:rsid w:val="001F749D"/>
    <w:rsid w:val="001F754B"/>
    <w:rsid w:val="001F756B"/>
    <w:rsid w:val="001F7A69"/>
    <w:rsid w:val="001F7BCF"/>
    <w:rsid w:val="001F7C39"/>
    <w:rsid w:val="001F7CD0"/>
    <w:rsid w:val="001F7DAB"/>
    <w:rsid w:val="001F7DB6"/>
    <w:rsid w:val="001F7DF4"/>
    <w:rsid w:val="001F7E41"/>
    <w:rsid w:val="001F7F70"/>
    <w:rsid w:val="0020009D"/>
    <w:rsid w:val="00200324"/>
    <w:rsid w:val="002004E9"/>
    <w:rsid w:val="002008C2"/>
    <w:rsid w:val="00200984"/>
    <w:rsid w:val="002009C9"/>
    <w:rsid w:val="00200C4B"/>
    <w:rsid w:val="00200EAF"/>
    <w:rsid w:val="00200EB7"/>
    <w:rsid w:val="00200F58"/>
    <w:rsid w:val="002010B9"/>
    <w:rsid w:val="002011D5"/>
    <w:rsid w:val="00201285"/>
    <w:rsid w:val="002012B2"/>
    <w:rsid w:val="0020156E"/>
    <w:rsid w:val="002016A0"/>
    <w:rsid w:val="0020193F"/>
    <w:rsid w:val="00201AE2"/>
    <w:rsid w:val="00201CB6"/>
    <w:rsid w:val="00201D0B"/>
    <w:rsid w:val="00201DBD"/>
    <w:rsid w:val="00201DC2"/>
    <w:rsid w:val="00201DCB"/>
    <w:rsid w:val="00201EAC"/>
    <w:rsid w:val="00202122"/>
    <w:rsid w:val="002021E5"/>
    <w:rsid w:val="00202779"/>
    <w:rsid w:val="002027A1"/>
    <w:rsid w:val="002029E4"/>
    <w:rsid w:val="00202C18"/>
    <w:rsid w:val="00202DE0"/>
    <w:rsid w:val="00203874"/>
    <w:rsid w:val="00203B16"/>
    <w:rsid w:val="00203B80"/>
    <w:rsid w:val="00203D6C"/>
    <w:rsid w:val="00203D9F"/>
    <w:rsid w:val="00203E0D"/>
    <w:rsid w:val="00203E6D"/>
    <w:rsid w:val="00203EA5"/>
    <w:rsid w:val="00204222"/>
    <w:rsid w:val="0020425D"/>
    <w:rsid w:val="0020443F"/>
    <w:rsid w:val="0020448F"/>
    <w:rsid w:val="002044D1"/>
    <w:rsid w:val="002045DD"/>
    <w:rsid w:val="002047D7"/>
    <w:rsid w:val="00204832"/>
    <w:rsid w:val="00204A93"/>
    <w:rsid w:val="00204C08"/>
    <w:rsid w:val="00204ED8"/>
    <w:rsid w:val="00204FB5"/>
    <w:rsid w:val="002054C2"/>
    <w:rsid w:val="002054F0"/>
    <w:rsid w:val="0020553D"/>
    <w:rsid w:val="0020554C"/>
    <w:rsid w:val="002055C7"/>
    <w:rsid w:val="002055FC"/>
    <w:rsid w:val="00205664"/>
    <w:rsid w:val="0020572E"/>
    <w:rsid w:val="00205936"/>
    <w:rsid w:val="00205CDB"/>
    <w:rsid w:val="00206484"/>
    <w:rsid w:val="0020656D"/>
    <w:rsid w:val="0020667F"/>
    <w:rsid w:val="00206686"/>
    <w:rsid w:val="00206A03"/>
    <w:rsid w:val="00206A9B"/>
    <w:rsid w:val="00206B1D"/>
    <w:rsid w:val="00206C13"/>
    <w:rsid w:val="00206F72"/>
    <w:rsid w:val="002070C1"/>
    <w:rsid w:val="002072B5"/>
    <w:rsid w:val="00207578"/>
    <w:rsid w:val="0020759C"/>
    <w:rsid w:val="0020774D"/>
    <w:rsid w:val="00207757"/>
    <w:rsid w:val="002078A0"/>
    <w:rsid w:val="00207B21"/>
    <w:rsid w:val="00207B84"/>
    <w:rsid w:val="00207E02"/>
    <w:rsid w:val="00207FB1"/>
    <w:rsid w:val="002102B1"/>
    <w:rsid w:val="0021034D"/>
    <w:rsid w:val="002103F2"/>
    <w:rsid w:val="00210451"/>
    <w:rsid w:val="00210579"/>
    <w:rsid w:val="00210905"/>
    <w:rsid w:val="00210AE3"/>
    <w:rsid w:val="00210F89"/>
    <w:rsid w:val="0021103F"/>
    <w:rsid w:val="002111EB"/>
    <w:rsid w:val="00211409"/>
    <w:rsid w:val="00211578"/>
    <w:rsid w:val="002115D3"/>
    <w:rsid w:val="0021181A"/>
    <w:rsid w:val="00211B34"/>
    <w:rsid w:val="00211B3C"/>
    <w:rsid w:val="00211BB6"/>
    <w:rsid w:val="00211E32"/>
    <w:rsid w:val="00211E98"/>
    <w:rsid w:val="00211F28"/>
    <w:rsid w:val="002121D9"/>
    <w:rsid w:val="0021220F"/>
    <w:rsid w:val="00212235"/>
    <w:rsid w:val="002122C2"/>
    <w:rsid w:val="0021242A"/>
    <w:rsid w:val="002126A4"/>
    <w:rsid w:val="002126C5"/>
    <w:rsid w:val="0021297E"/>
    <w:rsid w:val="002129B2"/>
    <w:rsid w:val="00212B72"/>
    <w:rsid w:val="00212BAD"/>
    <w:rsid w:val="00212CA4"/>
    <w:rsid w:val="00212D1F"/>
    <w:rsid w:val="00212E52"/>
    <w:rsid w:val="00212E59"/>
    <w:rsid w:val="00212F73"/>
    <w:rsid w:val="00213494"/>
    <w:rsid w:val="002134C3"/>
    <w:rsid w:val="002134FA"/>
    <w:rsid w:val="0021359F"/>
    <w:rsid w:val="002135A0"/>
    <w:rsid w:val="00213BA2"/>
    <w:rsid w:val="00213D23"/>
    <w:rsid w:val="00213DD7"/>
    <w:rsid w:val="00213E1B"/>
    <w:rsid w:val="00213F57"/>
    <w:rsid w:val="00214089"/>
    <w:rsid w:val="00214613"/>
    <w:rsid w:val="00214754"/>
    <w:rsid w:val="002149AF"/>
    <w:rsid w:val="00214A4C"/>
    <w:rsid w:val="00214B1B"/>
    <w:rsid w:val="00214E98"/>
    <w:rsid w:val="00214EF9"/>
    <w:rsid w:val="00215172"/>
    <w:rsid w:val="00215315"/>
    <w:rsid w:val="0021536C"/>
    <w:rsid w:val="00215731"/>
    <w:rsid w:val="00215CFB"/>
    <w:rsid w:val="0021617B"/>
    <w:rsid w:val="002161EB"/>
    <w:rsid w:val="00216251"/>
    <w:rsid w:val="002162BF"/>
    <w:rsid w:val="0021635A"/>
    <w:rsid w:val="002163CC"/>
    <w:rsid w:val="002164EE"/>
    <w:rsid w:val="002164F8"/>
    <w:rsid w:val="00216521"/>
    <w:rsid w:val="00216524"/>
    <w:rsid w:val="00216546"/>
    <w:rsid w:val="00216596"/>
    <w:rsid w:val="002165D6"/>
    <w:rsid w:val="002166A3"/>
    <w:rsid w:val="002166A4"/>
    <w:rsid w:val="00216727"/>
    <w:rsid w:val="0021672A"/>
    <w:rsid w:val="002167F2"/>
    <w:rsid w:val="0021681F"/>
    <w:rsid w:val="002170ED"/>
    <w:rsid w:val="00217272"/>
    <w:rsid w:val="002172D9"/>
    <w:rsid w:val="00217312"/>
    <w:rsid w:val="0021737C"/>
    <w:rsid w:val="002175B3"/>
    <w:rsid w:val="002175B6"/>
    <w:rsid w:val="00217A34"/>
    <w:rsid w:val="00217A45"/>
    <w:rsid w:val="00217B54"/>
    <w:rsid w:val="00217C39"/>
    <w:rsid w:val="00220044"/>
    <w:rsid w:val="00220060"/>
    <w:rsid w:val="0022015D"/>
    <w:rsid w:val="002202D2"/>
    <w:rsid w:val="0022030D"/>
    <w:rsid w:val="0022109F"/>
    <w:rsid w:val="00221167"/>
    <w:rsid w:val="002213C3"/>
    <w:rsid w:val="00221767"/>
    <w:rsid w:val="00221781"/>
    <w:rsid w:val="002218E5"/>
    <w:rsid w:val="00221A74"/>
    <w:rsid w:val="00221AC3"/>
    <w:rsid w:val="00221BBA"/>
    <w:rsid w:val="00221DC7"/>
    <w:rsid w:val="00221E74"/>
    <w:rsid w:val="00221F6B"/>
    <w:rsid w:val="00221F97"/>
    <w:rsid w:val="00221FDB"/>
    <w:rsid w:val="00222043"/>
    <w:rsid w:val="002220CB"/>
    <w:rsid w:val="002220EF"/>
    <w:rsid w:val="002222B6"/>
    <w:rsid w:val="0022240D"/>
    <w:rsid w:val="002225A0"/>
    <w:rsid w:val="002225F0"/>
    <w:rsid w:val="00222630"/>
    <w:rsid w:val="00222689"/>
    <w:rsid w:val="00222692"/>
    <w:rsid w:val="002227FF"/>
    <w:rsid w:val="0022296D"/>
    <w:rsid w:val="002229A8"/>
    <w:rsid w:val="00222BB5"/>
    <w:rsid w:val="00222C73"/>
    <w:rsid w:val="00222CA1"/>
    <w:rsid w:val="00222FEF"/>
    <w:rsid w:val="00223050"/>
    <w:rsid w:val="002233D7"/>
    <w:rsid w:val="0022350B"/>
    <w:rsid w:val="00223521"/>
    <w:rsid w:val="002235A2"/>
    <w:rsid w:val="00223AD2"/>
    <w:rsid w:val="00223B22"/>
    <w:rsid w:val="00223D47"/>
    <w:rsid w:val="00223F1F"/>
    <w:rsid w:val="00224177"/>
    <w:rsid w:val="002241C2"/>
    <w:rsid w:val="002242B9"/>
    <w:rsid w:val="0022433C"/>
    <w:rsid w:val="00224574"/>
    <w:rsid w:val="00224B79"/>
    <w:rsid w:val="00224CDC"/>
    <w:rsid w:val="00224DA9"/>
    <w:rsid w:val="00224E9C"/>
    <w:rsid w:val="00225078"/>
    <w:rsid w:val="0022510D"/>
    <w:rsid w:val="002252CB"/>
    <w:rsid w:val="0022541F"/>
    <w:rsid w:val="002255B2"/>
    <w:rsid w:val="002257CA"/>
    <w:rsid w:val="00225903"/>
    <w:rsid w:val="00225B56"/>
    <w:rsid w:val="00225CA8"/>
    <w:rsid w:val="00225FC1"/>
    <w:rsid w:val="0022622E"/>
    <w:rsid w:val="00226285"/>
    <w:rsid w:val="00226563"/>
    <w:rsid w:val="002265D2"/>
    <w:rsid w:val="00226612"/>
    <w:rsid w:val="00226628"/>
    <w:rsid w:val="0022664D"/>
    <w:rsid w:val="002266EE"/>
    <w:rsid w:val="00226955"/>
    <w:rsid w:val="00226A31"/>
    <w:rsid w:val="00226A9C"/>
    <w:rsid w:val="00226AAF"/>
    <w:rsid w:val="00226BFA"/>
    <w:rsid w:val="00226CDA"/>
    <w:rsid w:val="00226CEC"/>
    <w:rsid w:val="00226F3C"/>
    <w:rsid w:val="00226F9B"/>
    <w:rsid w:val="00227081"/>
    <w:rsid w:val="002273DD"/>
    <w:rsid w:val="00227B52"/>
    <w:rsid w:val="00227C3E"/>
    <w:rsid w:val="00227C93"/>
    <w:rsid w:val="00227D4A"/>
    <w:rsid w:val="002300CD"/>
    <w:rsid w:val="002302A0"/>
    <w:rsid w:val="0023045A"/>
    <w:rsid w:val="002304C1"/>
    <w:rsid w:val="002304F4"/>
    <w:rsid w:val="00230563"/>
    <w:rsid w:val="00230750"/>
    <w:rsid w:val="002307E8"/>
    <w:rsid w:val="00230839"/>
    <w:rsid w:val="00230A70"/>
    <w:rsid w:val="00230A7A"/>
    <w:rsid w:val="00230C8C"/>
    <w:rsid w:val="00230DC7"/>
    <w:rsid w:val="00230E1F"/>
    <w:rsid w:val="00231166"/>
    <w:rsid w:val="0023138C"/>
    <w:rsid w:val="002313A4"/>
    <w:rsid w:val="002315CD"/>
    <w:rsid w:val="00231717"/>
    <w:rsid w:val="0023174C"/>
    <w:rsid w:val="002317EF"/>
    <w:rsid w:val="002317FC"/>
    <w:rsid w:val="002319C4"/>
    <w:rsid w:val="00231B2F"/>
    <w:rsid w:val="0023208B"/>
    <w:rsid w:val="00232198"/>
    <w:rsid w:val="0023227E"/>
    <w:rsid w:val="00232287"/>
    <w:rsid w:val="0023244B"/>
    <w:rsid w:val="00232640"/>
    <w:rsid w:val="002329AE"/>
    <w:rsid w:val="00232AD9"/>
    <w:rsid w:val="00232BB4"/>
    <w:rsid w:val="00232C88"/>
    <w:rsid w:val="00232DF7"/>
    <w:rsid w:val="00232E59"/>
    <w:rsid w:val="00232F4C"/>
    <w:rsid w:val="00233056"/>
    <w:rsid w:val="002334A9"/>
    <w:rsid w:val="00233753"/>
    <w:rsid w:val="00233899"/>
    <w:rsid w:val="00233912"/>
    <w:rsid w:val="00233AC2"/>
    <w:rsid w:val="00233CCE"/>
    <w:rsid w:val="00233D95"/>
    <w:rsid w:val="00233E64"/>
    <w:rsid w:val="00233EF2"/>
    <w:rsid w:val="00233F42"/>
    <w:rsid w:val="00233F73"/>
    <w:rsid w:val="00233FF3"/>
    <w:rsid w:val="0023431F"/>
    <w:rsid w:val="002343AD"/>
    <w:rsid w:val="0023476D"/>
    <w:rsid w:val="002347C9"/>
    <w:rsid w:val="00234B96"/>
    <w:rsid w:val="00234BA3"/>
    <w:rsid w:val="00234BC0"/>
    <w:rsid w:val="00234D4A"/>
    <w:rsid w:val="00234ECD"/>
    <w:rsid w:val="00234F0B"/>
    <w:rsid w:val="00234FEC"/>
    <w:rsid w:val="002353E1"/>
    <w:rsid w:val="0023554E"/>
    <w:rsid w:val="00235641"/>
    <w:rsid w:val="0023568E"/>
    <w:rsid w:val="002357C0"/>
    <w:rsid w:val="0023584D"/>
    <w:rsid w:val="00235AE8"/>
    <w:rsid w:val="00235BB4"/>
    <w:rsid w:val="00235EF9"/>
    <w:rsid w:val="00235EFC"/>
    <w:rsid w:val="002360CF"/>
    <w:rsid w:val="00236152"/>
    <w:rsid w:val="002361E4"/>
    <w:rsid w:val="0023699D"/>
    <w:rsid w:val="00236A8D"/>
    <w:rsid w:val="00236D5D"/>
    <w:rsid w:val="00236DD7"/>
    <w:rsid w:val="00236E8D"/>
    <w:rsid w:val="002370C2"/>
    <w:rsid w:val="002371C0"/>
    <w:rsid w:val="00237335"/>
    <w:rsid w:val="0023751E"/>
    <w:rsid w:val="00237644"/>
    <w:rsid w:val="00237696"/>
    <w:rsid w:val="002376FA"/>
    <w:rsid w:val="00237932"/>
    <w:rsid w:val="00237A81"/>
    <w:rsid w:val="00237A9C"/>
    <w:rsid w:val="00237D32"/>
    <w:rsid w:val="0024045C"/>
    <w:rsid w:val="00240CDB"/>
    <w:rsid w:val="00240F17"/>
    <w:rsid w:val="002411BC"/>
    <w:rsid w:val="00241531"/>
    <w:rsid w:val="0024181C"/>
    <w:rsid w:val="002418A8"/>
    <w:rsid w:val="002418B2"/>
    <w:rsid w:val="00241951"/>
    <w:rsid w:val="00241A1A"/>
    <w:rsid w:val="00241A2B"/>
    <w:rsid w:val="00241A46"/>
    <w:rsid w:val="00241B60"/>
    <w:rsid w:val="00241E0A"/>
    <w:rsid w:val="00241FEC"/>
    <w:rsid w:val="002420AF"/>
    <w:rsid w:val="002420B4"/>
    <w:rsid w:val="00242224"/>
    <w:rsid w:val="002422F8"/>
    <w:rsid w:val="002423B0"/>
    <w:rsid w:val="0024246A"/>
    <w:rsid w:val="002424A6"/>
    <w:rsid w:val="002425FF"/>
    <w:rsid w:val="0024278D"/>
    <w:rsid w:val="00242867"/>
    <w:rsid w:val="002428BF"/>
    <w:rsid w:val="00242923"/>
    <w:rsid w:val="00242BD3"/>
    <w:rsid w:val="00242C88"/>
    <w:rsid w:val="00242EFF"/>
    <w:rsid w:val="00242F58"/>
    <w:rsid w:val="002430D0"/>
    <w:rsid w:val="00243108"/>
    <w:rsid w:val="002435C0"/>
    <w:rsid w:val="00243618"/>
    <w:rsid w:val="002436CE"/>
    <w:rsid w:val="00243837"/>
    <w:rsid w:val="00243993"/>
    <w:rsid w:val="00243CAD"/>
    <w:rsid w:val="00243CF0"/>
    <w:rsid w:val="0024493B"/>
    <w:rsid w:val="00244C0E"/>
    <w:rsid w:val="00244C2A"/>
    <w:rsid w:val="00244D27"/>
    <w:rsid w:val="00244D46"/>
    <w:rsid w:val="00244F2E"/>
    <w:rsid w:val="00244F59"/>
    <w:rsid w:val="0024519F"/>
    <w:rsid w:val="002454D2"/>
    <w:rsid w:val="002455C8"/>
    <w:rsid w:val="00245643"/>
    <w:rsid w:val="0024574D"/>
    <w:rsid w:val="0024579D"/>
    <w:rsid w:val="00245908"/>
    <w:rsid w:val="00245A1C"/>
    <w:rsid w:val="00245B4C"/>
    <w:rsid w:val="00245CD8"/>
    <w:rsid w:val="00245CE2"/>
    <w:rsid w:val="00245F1B"/>
    <w:rsid w:val="0024609D"/>
    <w:rsid w:val="0024622D"/>
    <w:rsid w:val="0024626C"/>
    <w:rsid w:val="0024660E"/>
    <w:rsid w:val="00246916"/>
    <w:rsid w:val="00246A2D"/>
    <w:rsid w:val="00246B49"/>
    <w:rsid w:val="00246B96"/>
    <w:rsid w:val="00246CB8"/>
    <w:rsid w:val="00246EE6"/>
    <w:rsid w:val="0024701A"/>
    <w:rsid w:val="0024746F"/>
    <w:rsid w:val="002476D2"/>
    <w:rsid w:val="00247B82"/>
    <w:rsid w:val="00247CCF"/>
    <w:rsid w:val="00247DD3"/>
    <w:rsid w:val="00247E7D"/>
    <w:rsid w:val="00250066"/>
    <w:rsid w:val="002501D0"/>
    <w:rsid w:val="0025038F"/>
    <w:rsid w:val="00250506"/>
    <w:rsid w:val="0025088F"/>
    <w:rsid w:val="00250952"/>
    <w:rsid w:val="00250B02"/>
    <w:rsid w:val="00250B10"/>
    <w:rsid w:val="0025110B"/>
    <w:rsid w:val="0025110E"/>
    <w:rsid w:val="00251390"/>
    <w:rsid w:val="002513F7"/>
    <w:rsid w:val="00251714"/>
    <w:rsid w:val="002518F3"/>
    <w:rsid w:val="002519BE"/>
    <w:rsid w:val="00251C6D"/>
    <w:rsid w:val="00251CEF"/>
    <w:rsid w:val="00251E79"/>
    <w:rsid w:val="00251E7C"/>
    <w:rsid w:val="00251EA3"/>
    <w:rsid w:val="0025200C"/>
    <w:rsid w:val="0025227C"/>
    <w:rsid w:val="002522B2"/>
    <w:rsid w:val="00252312"/>
    <w:rsid w:val="0025234D"/>
    <w:rsid w:val="002523C2"/>
    <w:rsid w:val="002526E5"/>
    <w:rsid w:val="0025292D"/>
    <w:rsid w:val="00252E17"/>
    <w:rsid w:val="00252E20"/>
    <w:rsid w:val="00252EE6"/>
    <w:rsid w:val="002530B8"/>
    <w:rsid w:val="002531DC"/>
    <w:rsid w:val="00253413"/>
    <w:rsid w:val="00253637"/>
    <w:rsid w:val="00253822"/>
    <w:rsid w:val="00253B2B"/>
    <w:rsid w:val="00253B9B"/>
    <w:rsid w:val="00253CD0"/>
    <w:rsid w:val="00253E63"/>
    <w:rsid w:val="0025405B"/>
    <w:rsid w:val="0025406C"/>
    <w:rsid w:val="002540C5"/>
    <w:rsid w:val="002540DC"/>
    <w:rsid w:val="00254531"/>
    <w:rsid w:val="00254580"/>
    <w:rsid w:val="002546FA"/>
    <w:rsid w:val="00254742"/>
    <w:rsid w:val="00254892"/>
    <w:rsid w:val="00254A19"/>
    <w:rsid w:val="00254E00"/>
    <w:rsid w:val="00254E86"/>
    <w:rsid w:val="00254EC9"/>
    <w:rsid w:val="00254EFD"/>
    <w:rsid w:val="00254FA4"/>
    <w:rsid w:val="0025565C"/>
    <w:rsid w:val="0025568F"/>
    <w:rsid w:val="00255707"/>
    <w:rsid w:val="002559B8"/>
    <w:rsid w:val="002559BF"/>
    <w:rsid w:val="00255A2C"/>
    <w:rsid w:val="00255A4B"/>
    <w:rsid w:val="00255BC2"/>
    <w:rsid w:val="00255C2A"/>
    <w:rsid w:val="00255C40"/>
    <w:rsid w:val="00255D57"/>
    <w:rsid w:val="00255FF4"/>
    <w:rsid w:val="00256059"/>
    <w:rsid w:val="0025622A"/>
    <w:rsid w:val="00256303"/>
    <w:rsid w:val="00256502"/>
    <w:rsid w:val="00256526"/>
    <w:rsid w:val="0025674B"/>
    <w:rsid w:val="0025689F"/>
    <w:rsid w:val="00256D33"/>
    <w:rsid w:val="002570B1"/>
    <w:rsid w:val="0025723C"/>
    <w:rsid w:val="0025784A"/>
    <w:rsid w:val="00257BE6"/>
    <w:rsid w:val="00257C13"/>
    <w:rsid w:val="002600FC"/>
    <w:rsid w:val="002601A7"/>
    <w:rsid w:val="002601B5"/>
    <w:rsid w:val="002601F7"/>
    <w:rsid w:val="00260305"/>
    <w:rsid w:val="0026035A"/>
    <w:rsid w:val="00260442"/>
    <w:rsid w:val="0026048D"/>
    <w:rsid w:val="00260570"/>
    <w:rsid w:val="002605B6"/>
    <w:rsid w:val="00260628"/>
    <w:rsid w:val="002606DB"/>
    <w:rsid w:val="002609EB"/>
    <w:rsid w:val="00260CAF"/>
    <w:rsid w:val="00260D97"/>
    <w:rsid w:val="00260E75"/>
    <w:rsid w:val="00260E91"/>
    <w:rsid w:val="00260F79"/>
    <w:rsid w:val="00261514"/>
    <w:rsid w:val="00261547"/>
    <w:rsid w:val="00261793"/>
    <w:rsid w:val="002617A5"/>
    <w:rsid w:val="002618A1"/>
    <w:rsid w:val="00261ADD"/>
    <w:rsid w:val="00261CD1"/>
    <w:rsid w:val="00261F37"/>
    <w:rsid w:val="00261F3D"/>
    <w:rsid w:val="00261FBF"/>
    <w:rsid w:val="00262167"/>
    <w:rsid w:val="00262199"/>
    <w:rsid w:val="00262294"/>
    <w:rsid w:val="00262490"/>
    <w:rsid w:val="002624C1"/>
    <w:rsid w:val="00262557"/>
    <w:rsid w:val="00262664"/>
    <w:rsid w:val="0026271A"/>
    <w:rsid w:val="002628CA"/>
    <w:rsid w:val="00262905"/>
    <w:rsid w:val="00262AFB"/>
    <w:rsid w:val="00262C39"/>
    <w:rsid w:val="00262E69"/>
    <w:rsid w:val="00262EA4"/>
    <w:rsid w:val="00262FCB"/>
    <w:rsid w:val="00262FF4"/>
    <w:rsid w:val="00263006"/>
    <w:rsid w:val="0026312C"/>
    <w:rsid w:val="00263290"/>
    <w:rsid w:val="0026330C"/>
    <w:rsid w:val="00263345"/>
    <w:rsid w:val="00263466"/>
    <w:rsid w:val="00263802"/>
    <w:rsid w:val="002638F2"/>
    <w:rsid w:val="002639D9"/>
    <w:rsid w:val="00263B20"/>
    <w:rsid w:val="00263DA6"/>
    <w:rsid w:val="00264008"/>
    <w:rsid w:val="0026430E"/>
    <w:rsid w:val="0026434D"/>
    <w:rsid w:val="002645E1"/>
    <w:rsid w:val="00264700"/>
    <w:rsid w:val="0026486B"/>
    <w:rsid w:val="002648F5"/>
    <w:rsid w:val="0026491E"/>
    <w:rsid w:val="00264C5C"/>
    <w:rsid w:val="00264E3C"/>
    <w:rsid w:val="00265063"/>
    <w:rsid w:val="002650C8"/>
    <w:rsid w:val="00265264"/>
    <w:rsid w:val="00265454"/>
    <w:rsid w:val="0026569F"/>
    <w:rsid w:val="00265767"/>
    <w:rsid w:val="00265778"/>
    <w:rsid w:val="00265B42"/>
    <w:rsid w:val="00265C9D"/>
    <w:rsid w:val="00265D2B"/>
    <w:rsid w:val="00265EEB"/>
    <w:rsid w:val="00266109"/>
    <w:rsid w:val="00266162"/>
    <w:rsid w:val="0026632B"/>
    <w:rsid w:val="002663DE"/>
    <w:rsid w:val="00266523"/>
    <w:rsid w:val="00266671"/>
    <w:rsid w:val="0026672C"/>
    <w:rsid w:val="0026685A"/>
    <w:rsid w:val="00266B56"/>
    <w:rsid w:val="00266E53"/>
    <w:rsid w:val="00266F5A"/>
    <w:rsid w:val="002670B5"/>
    <w:rsid w:val="00267259"/>
    <w:rsid w:val="00267509"/>
    <w:rsid w:val="002675B2"/>
    <w:rsid w:val="00267641"/>
    <w:rsid w:val="0026766F"/>
    <w:rsid w:val="00267700"/>
    <w:rsid w:val="0026789F"/>
    <w:rsid w:val="002679B3"/>
    <w:rsid w:val="00267C8D"/>
    <w:rsid w:val="00267CD0"/>
    <w:rsid w:val="00267DBE"/>
    <w:rsid w:val="00267F6F"/>
    <w:rsid w:val="002701B0"/>
    <w:rsid w:val="002701E3"/>
    <w:rsid w:val="00270554"/>
    <w:rsid w:val="002706E3"/>
    <w:rsid w:val="00270782"/>
    <w:rsid w:val="00270931"/>
    <w:rsid w:val="00270BB9"/>
    <w:rsid w:val="00270C7C"/>
    <w:rsid w:val="00270EBA"/>
    <w:rsid w:val="00270EEF"/>
    <w:rsid w:val="00270F4A"/>
    <w:rsid w:val="00270F4F"/>
    <w:rsid w:val="00271005"/>
    <w:rsid w:val="00271423"/>
    <w:rsid w:val="00271625"/>
    <w:rsid w:val="002716FF"/>
    <w:rsid w:val="00271791"/>
    <w:rsid w:val="00271846"/>
    <w:rsid w:val="00271995"/>
    <w:rsid w:val="00271BF7"/>
    <w:rsid w:val="00271D43"/>
    <w:rsid w:val="00271FAE"/>
    <w:rsid w:val="0027218A"/>
    <w:rsid w:val="00272415"/>
    <w:rsid w:val="002727ED"/>
    <w:rsid w:val="002729B6"/>
    <w:rsid w:val="00272A56"/>
    <w:rsid w:val="00272C1D"/>
    <w:rsid w:val="00272C4B"/>
    <w:rsid w:val="00272E6C"/>
    <w:rsid w:val="0027356F"/>
    <w:rsid w:val="002735BF"/>
    <w:rsid w:val="00273602"/>
    <w:rsid w:val="00273728"/>
    <w:rsid w:val="00273844"/>
    <w:rsid w:val="00273962"/>
    <w:rsid w:val="002739D8"/>
    <w:rsid w:val="00273A1D"/>
    <w:rsid w:val="00273B41"/>
    <w:rsid w:val="00273EE7"/>
    <w:rsid w:val="00274280"/>
    <w:rsid w:val="0027433F"/>
    <w:rsid w:val="002744E5"/>
    <w:rsid w:val="00274799"/>
    <w:rsid w:val="00274C92"/>
    <w:rsid w:val="00274D57"/>
    <w:rsid w:val="00274E30"/>
    <w:rsid w:val="0027503C"/>
    <w:rsid w:val="00275150"/>
    <w:rsid w:val="002752AA"/>
    <w:rsid w:val="002754F1"/>
    <w:rsid w:val="002755BC"/>
    <w:rsid w:val="0027582F"/>
    <w:rsid w:val="00275932"/>
    <w:rsid w:val="0027598E"/>
    <w:rsid w:val="00275A2D"/>
    <w:rsid w:val="00275C40"/>
    <w:rsid w:val="00275EDD"/>
    <w:rsid w:val="00275F8C"/>
    <w:rsid w:val="0027601E"/>
    <w:rsid w:val="00276199"/>
    <w:rsid w:val="00276316"/>
    <w:rsid w:val="00276372"/>
    <w:rsid w:val="00276373"/>
    <w:rsid w:val="0027640C"/>
    <w:rsid w:val="00276790"/>
    <w:rsid w:val="0027695E"/>
    <w:rsid w:val="00276BB0"/>
    <w:rsid w:val="00276E0B"/>
    <w:rsid w:val="00276E28"/>
    <w:rsid w:val="002770FC"/>
    <w:rsid w:val="00277261"/>
    <w:rsid w:val="002772F0"/>
    <w:rsid w:val="00277400"/>
    <w:rsid w:val="0027743A"/>
    <w:rsid w:val="002774E7"/>
    <w:rsid w:val="002775C5"/>
    <w:rsid w:val="002775DD"/>
    <w:rsid w:val="00277627"/>
    <w:rsid w:val="002779AE"/>
    <w:rsid w:val="00277A3C"/>
    <w:rsid w:val="00277A4C"/>
    <w:rsid w:val="00277B06"/>
    <w:rsid w:val="00277B8C"/>
    <w:rsid w:val="00277DDA"/>
    <w:rsid w:val="00277DDE"/>
    <w:rsid w:val="00277E79"/>
    <w:rsid w:val="00277F07"/>
    <w:rsid w:val="00277F38"/>
    <w:rsid w:val="00277F59"/>
    <w:rsid w:val="00280117"/>
    <w:rsid w:val="0028031C"/>
    <w:rsid w:val="0028062D"/>
    <w:rsid w:val="002808A6"/>
    <w:rsid w:val="002808DC"/>
    <w:rsid w:val="00280A6F"/>
    <w:rsid w:val="00280BA1"/>
    <w:rsid w:val="00280BD6"/>
    <w:rsid w:val="00280C54"/>
    <w:rsid w:val="00280CB8"/>
    <w:rsid w:val="00280DD2"/>
    <w:rsid w:val="00280DEA"/>
    <w:rsid w:val="00280F52"/>
    <w:rsid w:val="00281109"/>
    <w:rsid w:val="0028139C"/>
    <w:rsid w:val="0028164F"/>
    <w:rsid w:val="00281668"/>
    <w:rsid w:val="0028192D"/>
    <w:rsid w:val="0028193E"/>
    <w:rsid w:val="00281A5E"/>
    <w:rsid w:val="00281E73"/>
    <w:rsid w:val="00281FA0"/>
    <w:rsid w:val="0028212E"/>
    <w:rsid w:val="0028228B"/>
    <w:rsid w:val="00282484"/>
    <w:rsid w:val="0028256C"/>
    <w:rsid w:val="00282819"/>
    <w:rsid w:val="002828E9"/>
    <w:rsid w:val="00282B3E"/>
    <w:rsid w:val="00282B90"/>
    <w:rsid w:val="00282CEB"/>
    <w:rsid w:val="0028301B"/>
    <w:rsid w:val="00283024"/>
    <w:rsid w:val="00283190"/>
    <w:rsid w:val="002831D2"/>
    <w:rsid w:val="00283341"/>
    <w:rsid w:val="00283694"/>
    <w:rsid w:val="0028384C"/>
    <w:rsid w:val="002838D7"/>
    <w:rsid w:val="00283A7B"/>
    <w:rsid w:val="00283AB3"/>
    <w:rsid w:val="00283AE6"/>
    <w:rsid w:val="00283D1F"/>
    <w:rsid w:val="0028407D"/>
    <w:rsid w:val="002840F0"/>
    <w:rsid w:val="002842FF"/>
    <w:rsid w:val="00284612"/>
    <w:rsid w:val="00284667"/>
    <w:rsid w:val="0028477A"/>
    <w:rsid w:val="00284A10"/>
    <w:rsid w:val="00284BDF"/>
    <w:rsid w:val="00284D05"/>
    <w:rsid w:val="002851EC"/>
    <w:rsid w:val="0028523B"/>
    <w:rsid w:val="0028542B"/>
    <w:rsid w:val="0028547E"/>
    <w:rsid w:val="002857C1"/>
    <w:rsid w:val="00285D92"/>
    <w:rsid w:val="00285D94"/>
    <w:rsid w:val="00285E4B"/>
    <w:rsid w:val="00285E50"/>
    <w:rsid w:val="00285F1A"/>
    <w:rsid w:val="00285F43"/>
    <w:rsid w:val="00285FE4"/>
    <w:rsid w:val="00286175"/>
    <w:rsid w:val="0028627F"/>
    <w:rsid w:val="002865D2"/>
    <w:rsid w:val="0028673A"/>
    <w:rsid w:val="002867F2"/>
    <w:rsid w:val="00286956"/>
    <w:rsid w:val="00286B86"/>
    <w:rsid w:val="00286C43"/>
    <w:rsid w:val="00286D3F"/>
    <w:rsid w:val="00286E31"/>
    <w:rsid w:val="00286E9A"/>
    <w:rsid w:val="00286F43"/>
    <w:rsid w:val="00286F7A"/>
    <w:rsid w:val="00287189"/>
    <w:rsid w:val="00287279"/>
    <w:rsid w:val="002873C9"/>
    <w:rsid w:val="0028746F"/>
    <w:rsid w:val="0028766B"/>
    <w:rsid w:val="0028767D"/>
    <w:rsid w:val="00287E4A"/>
    <w:rsid w:val="00287E6A"/>
    <w:rsid w:val="00287F75"/>
    <w:rsid w:val="00290044"/>
    <w:rsid w:val="0029014D"/>
    <w:rsid w:val="002901C5"/>
    <w:rsid w:val="002902A5"/>
    <w:rsid w:val="00290319"/>
    <w:rsid w:val="002903A6"/>
    <w:rsid w:val="00290659"/>
    <w:rsid w:val="002906AE"/>
    <w:rsid w:val="0029082C"/>
    <w:rsid w:val="00290E48"/>
    <w:rsid w:val="00290F17"/>
    <w:rsid w:val="00290F55"/>
    <w:rsid w:val="00290FF1"/>
    <w:rsid w:val="002910A1"/>
    <w:rsid w:val="0029134A"/>
    <w:rsid w:val="00291520"/>
    <w:rsid w:val="00291683"/>
    <w:rsid w:val="0029186D"/>
    <w:rsid w:val="00291C1A"/>
    <w:rsid w:val="00291DB9"/>
    <w:rsid w:val="00291E3C"/>
    <w:rsid w:val="00291E81"/>
    <w:rsid w:val="00291E82"/>
    <w:rsid w:val="00291FC0"/>
    <w:rsid w:val="002920B6"/>
    <w:rsid w:val="00292121"/>
    <w:rsid w:val="00292144"/>
    <w:rsid w:val="00292316"/>
    <w:rsid w:val="00292357"/>
    <w:rsid w:val="0029256C"/>
    <w:rsid w:val="00292639"/>
    <w:rsid w:val="002926EF"/>
    <w:rsid w:val="002929C0"/>
    <w:rsid w:val="00292A6C"/>
    <w:rsid w:val="00292BE2"/>
    <w:rsid w:val="00292CAE"/>
    <w:rsid w:val="00292CB1"/>
    <w:rsid w:val="00292F00"/>
    <w:rsid w:val="002934A9"/>
    <w:rsid w:val="0029359F"/>
    <w:rsid w:val="00293896"/>
    <w:rsid w:val="002938CE"/>
    <w:rsid w:val="00293C86"/>
    <w:rsid w:val="0029434A"/>
    <w:rsid w:val="002943A8"/>
    <w:rsid w:val="0029441B"/>
    <w:rsid w:val="0029445C"/>
    <w:rsid w:val="00294765"/>
    <w:rsid w:val="00294795"/>
    <w:rsid w:val="002948F9"/>
    <w:rsid w:val="002949D9"/>
    <w:rsid w:val="002949DF"/>
    <w:rsid w:val="00294B05"/>
    <w:rsid w:val="00294D3B"/>
    <w:rsid w:val="00294EC3"/>
    <w:rsid w:val="00294ECC"/>
    <w:rsid w:val="00295438"/>
    <w:rsid w:val="0029559C"/>
    <w:rsid w:val="00295898"/>
    <w:rsid w:val="00295926"/>
    <w:rsid w:val="002959B9"/>
    <w:rsid w:val="00295A5A"/>
    <w:rsid w:val="00295AA2"/>
    <w:rsid w:val="00295BE9"/>
    <w:rsid w:val="00295C37"/>
    <w:rsid w:val="00295CB2"/>
    <w:rsid w:val="00295CED"/>
    <w:rsid w:val="00295E84"/>
    <w:rsid w:val="00296049"/>
    <w:rsid w:val="0029605C"/>
    <w:rsid w:val="00296262"/>
    <w:rsid w:val="0029630F"/>
    <w:rsid w:val="00296484"/>
    <w:rsid w:val="00296630"/>
    <w:rsid w:val="0029666C"/>
    <w:rsid w:val="0029685D"/>
    <w:rsid w:val="00296942"/>
    <w:rsid w:val="002974B0"/>
    <w:rsid w:val="002974B4"/>
    <w:rsid w:val="002974BD"/>
    <w:rsid w:val="002977ED"/>
    <w:rsid w:val="00297A66"/>
    <w:rsid w:val="00297AB1"/>
    <w:rsid w:val="00297ABF"/>
    <w:rsid w:val="00297BB2"/>
    <w:rsid w:val="00297D98"/>
    <w:rsid w:val="00297ECC"/>
    <w:rsid w:val="00297F2D"/>
    <w:rsid w:val="002A025C"/>
    <w:rsid w:val="002A028E"/>
    <w:rsid w:val="002A05D9"/>
    <w:rsid w:val="002A075C"/>
    <w:rsid w:val="002A0995"/>
    <w:rsid w:val="002A0C41"/>
    <w:rsid w:val="002A0D01"/>
    <w:rsid w:val="002A0ED2"/>
    <w:rsid w:val="002A0EFA"/>
    <w:rsid w:val="002A129C"/>
    <w:rsid w:val="002A153B"/>
    <w:rsid w:val="002A16D9"/>
    <w:rsid w:val="002A191E"/>
    <w:rsid w:val="002A19D0"/>
    <w:rsid w:val="002A1A7E"/>
    <w:rsid w:val="002A1F60"/>
    <w:rsid w:val="002A238D"/>
    <w:rsid w:val="002A2521"/>
    <w:rsid w:val="002A2566"/>
    <w:rsid w:val="002A25FD"/>
    <w:rsid w:val="002A268E"/>
    <w:rsid w:val="002A27C9"/>
    <w:rsid w:val="002A2A94"/>
    <w:rsid w:val="002A2B86"/>
    <w:rsid w:val="002A2EB1"/>
    <w:rsid w:val="002A2F35"/>
    <w:rsid w:val="002A2F36"/>
    <w:rsid w:val="002A2FBE"/>
    <w:rsid w:val="002A302D"/>
    <w:rsid w:val="002A3031"/>
    <w:rsid w:val="002A314F"/>
    <w:rsid w:val="002A3255"/>
    <w:rsid w:val="002A3360"/>
    <w:rsid w:val="002A34A3"/>
    <w:rsid w:val="002A3749"/>
    <w:rsid w:val="002A413C"/>
    <w:rsid w:val="002A45DD"/>
    <w:rsid w:val="002A4600"/>
    <w:rsid w:val="002A4849"/>
    <w:rsid w:val="002A48CA"/>
    <w:rsid w:val="002A49B6"/>
    <w:rsid w:val="002A4B0C"/>
    <w:rsid w:val="002A4DD3"/>
    <w:rsid w:val="002A4E2B"/>
    <w:rsid w:val="002A4E64"/>
    <w:rsid w:val="002A4E6C"/>
    <w:rsid w:val="002A4E8C"/>
    <w:rsid w:val="002A5339"/>
    <w:rsid w:val="002A53BC"/>
    <w:rsid w:val="002A53E6"/>
    <w:rsid w:val="002A5404"/>
    <w:rsid w:val="002A54A0"/>
    <w:rsid w:val="002A552B"/>
    <w:rsid w:val="002A5914"/>
    <w:rsid w:val="002A5AE0"/>
    <w:rsid w:val="002A5C40"/>
    <w:rsid w:val="002A5DF1"/>
    <w:rsid w:val="002A6065"/>
    <w:rsid w:val="002A64E3"/>
    <w:rsid w:val="002A6E1A"/>
    <w:rsid w:val="002A70B0"/>
    <w:rsid w:val="002A7669"/>
    <w:rsid w:val="002A76EC"/>
    <w:rsid w:val="002A7761"/>
    <w:rsid w:val="002A786A"/>
    <w:rsid w:val="002A79D5"/>
    <w:rsid w:val="002A7CAA"/>
    <w:rsid w:val="002A7CCA"/>
    <w:rsid w:val="002B0224"/>
    <w:rsid w:val="002B02F4"/>
    <w:rsid w:val="002B031C"/>
    <w:rsid w:val="002B037A"/>
    <w:rsid w:val="002B03C2"/>
    <w:rsid w:val="002B0401"/>
    <w:rsid w:val="002B0669"/>
    <w:rsid w:val="002B06DA"/>
    <w:rsid w:val="002B07DB"/>
    <w:rsid w:val="002B08DB"/>
    <w:rsid w:val="002B0AE7"/>
    <w:rsid w:val="002B0E04"/>
    <w:rsid w:val="002B0F8B"/>
    <w:rsid w:val="002B1111"/>
    <w:rsid w:val="002B12AF"/>
    <w:rsid w:val="002B15BE"/>
    <w:rsid w:val="002B15F4"/>
    <w:rsid w:val="002B172A"/>
    <w:rsid w:val="002B18E7"/>
    <w:rsid w:val="002B1CE9"/>
    <w:rsid w:val="002B1DED"/>
    <w:rsid w:val="002B23A0"/>
    <w:rsid w:val="002B24B6"/>
    <w:rsid w:val="002B282D"/>
    <w:rsid w:val="002B287D"/>
    <w:rsid w:val="002B2B89"/>
    <w:rsid w:val="002B2CD8"/>
    <w:rsid w:val="002B2D96"/>
    <w:rsid w:val="002B2F92"/>
    <w:rsid w:val="002B3069"/>
    <w:rsid w:val="002B3119"/>
    <w:rsid w:val="002B319E"/>
    <w:rsid w:val="002B330B"/>
    <w:rsid w:val="002B3312"/>
    <w:rsid w:val="002B3377"/>
    <w:rsid w:val="002B33AF"/>
    <w:rsid w:val="002B342C"/>
    <w:rsid w:val="002B35A0"/>
    <w:rsid w:val="002B35E7"/>
    <w:rsid w:val="002B3714"/>
    <w:rsid w:val="002B371F"/>
    <w:rsid w:val="002B3833"/>
    <w:rsid w:val="002B3882"/>
    <w:rsid w:val="002B3D4D"/>
    <w:rsid w:val="002B415F"/>
    <w:rsid w:val="002B4443"/>
    <w:rsid w:val="002B4493"/>
    <w:rsid w:val="002B455C"/>
    <w:rsid w:val="002B465C"/>
    <w:rsid w:val="002B4924"/>
    <w:rsid w:val="002B4B2C"/>
    <w:rsid w:val="002B4DA2"/>
    <w:rsid w:val="002B5005"/>
    <w:rsid w:val="002B519D"/>
    <w:rsid w:val="002B520B"/>
    <w:rsid w:val="002B539A"/>
    <w:rsid w:val="002B5857"/>
    <w:rsid w:val="002B58FA"/>
    <w:rsid w:val="002B5ED3"/>
    <w:rsid w:val="002B604B"/>
    <w:rsid w:val="002B60B1"/>
    <w:rsid w:val="002B6264"/>
    <w:rsid w:val="002B62E5"/>
    <w:rsid w:val="002B6351"/>
    <w:rsid w:val="002B63C5"/>
    <w:rsid w:val="002B6452"/>
    <w:rsid w:val="002B679B"/>
    <w:rsid w:val="002B6AC5"/>
    <w:rsid w:val="002B6BE7"/>
    <w:rsid w:val="002B6BFA"/>
    <w:rsid w:val="002B6C54"/>
    <w:rsid w:val="002B6D53"/>
    <w:rsid w:val="002B6ECD"/>
    <w:rsid w:val="002B6ED5"/>
    <w:rsid w:val="002B704D"/>
    <w:rsid w:val="002B70C2"/>
    <w:rsid w:val="002B7210"/>
    <w:rsid w:val="002B72C4"/>
    <w:rsid w:val="002B73B0"/>
    <w:rsid w:val="002B73F0"/>
    <w:rsid w:val="002B7443"/>
    <w:rsid w:val="002B766E"/>
    <w:rsid w:val="002B783D"/>
    <w:rsid w:val="002B7853"/>
    <w:rsid w:val="002B7887"/>
    <w:rsid w:val="002B78CD"/>
    <w:rsid w:val="002B798F"/>
    <w:rsid w:val="002B7A50"/>
    <w:rsid w:val="002B7B68"/>
    <w:rsid w:val="002B7E95"/>
    <w:rsid w:val="002C0255"/>
    <w:rsid w:val="002C0292"/>
    <w:rsid w:val="002C02A6"/>
    <w:rsid w:val="002C0328"/>
    <w:rsid w:val="002C0330"/>
    <w:rsid w:val="002C0361"/>
    <w:rsid w:val="002C036A"/>
    <w:rsid w:val="002C0381"/>
    <w:rsid w:val="002C0454"/>
    <w:rsid w:val="002C0B0C"/>
    <w:rsid w:val="002C0CC5"/>
    <w:rsid w:val="002C0E66"/>
    <w:rsid w:val="002C0F4A"/>
    <w:rsid w:val="002C0FCE"/>
    <w:rsid w:val="002C1113"/>
    <w:rsid w:val="002C111A"/>
    <w:rsid w:val="002C132F"/>
    <w:rsid w:val="002C147C"/>
    <w:rsid w:val="002C1639"/>
    <w:rsid w:val="002C184E"/>
    <w:rsid w:val="002C19EC"/>
    <w:rsid w:val="002C1A4B"/>
    <w:rsid w:val="002C1B5E"/>
    <w:rsid w:val="002C1C6F"/>
    <w:rsid w:val="002C1D06"/>
    <w:rsid w:val="002C224E"/>
    <w:rsid w:val="002C22FB"/>
    <w:rsid w:val="002C2300"/>
    <w:rsid w:val="002C2437"/>
    <w:rsid w:val="002C244F"/>
    <w:rsid w:val="002C2501"/>
    <w:rsid w:val="002C2590"/>
    <w:rsid w:val="002C27C5"/>
    <w:rsid w:val="002C2A4C"/>
    <w:rsid w:val="002C2AB5"/>
    <w:rsid w:val="002C2B6D"/>
    <w:rsid w:val="002C3022"/>
    <w:rsid w:val="002C336A"/>
    <w:rsid w:val="002C3443"/>
    <w:rsid w:val="002C346C"/>
    <w:rsid w:val="002C36F4"/>
    <w:rsid w:val="002C3736"/>
    <w:rsid w:val="002C3947"/>
    <w:rsid w:val="002C3A45"/>
    <w:rsid w:val="002C3A76"/>
    <w:rsid w:val="002C3AAA"/>
    <w:rsid w:val="002C3E66"/>
    <w:rsid w:val="002C417C"/>
    <w:rsid w:val="002C4189"/>
    <w:rsid w:val="002C41D5"/>
    <w:rsid w:val="002C42DC"/>
    <w:rsid w:val="002C44CB"/>
    <w:rsid w:val="002C46A1"/>
    <w:rsid w:val="002C48D6"/>
    <w:rsid w:val="002C4A23"/>
    <w:rsid w:val="002C4A40"/>
    <w:rsid w:val="002C4A9E"/>
    <w:rsid w:val="002C4B15"/>
    <w:rsid w:val="002C4BC7"/>
    <w:rsid w:val="002C4CA1"/>
    <w:rsid w:val="002C4D91"/>
    <w:rsid w:val="002C4E0D"/>
    <w:rsid w:val="002C4E64"/>
    <w:rsid w:val="002C4F4B"/>
    <w:rsid w:val="002C4FA7"/>
    <w:rsid w:val="002C50B0"/>
    <w:rsid w:val="002C50BF"/>
    <w:rsid w:val="002C52CD"/>
    <w:rsid w:val="002C52DD"/>
    <w:rsid w:val="002C53DF"/>
    <w:rsid w:val="002C566C"/>
    <w:rsid w:val="002C56C3"/>
    <w:rsid w:val="002C56F7"/>
    <w:rsid w:val="002C596D"/>
    <w:rsid w:val="002C59DF"/>
    <w:rsid w:val="002C5A4B"/>
    <w:rsid w:val="002C5CC6"/>
    <w:rsid w:val="002C6011"/>
    <w:rsid w:val="002C6017"/>
    <w:rsid w:val="002C60A4"/>
    <w:rsid w:val="002C614E"/>
    <w:rsid w:val="002C63EB"/>
    <w:rsid w:val="002C6503"/>
    <w:rsid w:val="002C68CB"/>
    <w:rsid w:val="002C699F"/>
    <w:rsid w:val="002C69C9"/>
    <w:rsid w:val="002C6A54"/>
    <w:rsid w:val="002C6A73"/>
    <w:rsid w:val="002C6C5B"/>
    <w:rsid w:val="002C6CB6"/>
    <w:rsid w:val="002C6DBC"/>
    <w:rsid w:val="002C6E84"/>
    <w:rsid w:val="002C6F13"/>
    <w:rsid w:val="002C6F61"/>
    <w:rsid w:val="002C7249"/>
    <w:rsid w:val="002C75B0"/>
    <w:rsid w:val="002C75EB"/>
    <w:rsid w:val="002C7629"/>
    <w:rsid w:val="002C7966"/>
    <w:rsid w:val="002C7B94"/>
    <w:rsid w:val="002D00E6"/>
    <w:rsid w:val="002D0128"/>
    <w:rsid w:val="002D0182"/>
    <w:rsid w:val="002D0292"/>
    <w:rsid w:val="002D035C"/>
    <w:rsid w:val="002D036F"/>
    <w:rsid w:val="002D03A2"/>
    <w:rsid w:val="002D03B1"/>
    <w:rsid w:val="002D06A9"/>
    <w:rsid w:val="002D06EF"/>
    <w:rsid w:val="002D07EF"/>
    <w:rsid w:val="002D0BB3"/>
    <w:rsid w:val="002D0BD1"/>
    <w:rsid w:val="002D0C87"/>
    <w:rsid w:val="002D0D8A"/>
    <w:rsid w:val="002D0E58"/>
    <w:rsid w:val="002D0E7F"/>
    <w:rsid w:val="002D0EF8"/>
    <w:rsid w:val="002D1039"/>
    <w:rsid w:val="002D13C3"/>
    <w:rsid w:val="002D173E"/>
    <w:rsid w:val="002D175E"/>
    <w:rsid w:val="002D1ECD"/>
    <w:rsid w:val="002D1F68"/>
    <w:rsid w:val="002D20EF"/>
    <w:rsid w:val="002D2145"/>
    <w:rsid w:val="002D22FC"/>
    <w:rsid w:val="002D240D"/>
    <w:rsid w:val="002D295D"/>
    <w:rsid w:val="002D2993"/>
    <w:rsid w:val="002D2AE7"/>
    <w:rsid w:val="002D2AF5"/>
    <w:rsid w:val="002D2C0E"/>
    <w:rsid w:val="002D2C79"/>
    <w:rsid w:val="002D2D66"/>
    <w:rsid w:val="002D2F14"/>
    <w:rsid w:val="002D3196"/>
    <w:rsid w:val="002D33C4"/>
    <w:rsid w:val="002D33E1"/>
    <w:rsid w:val="002D3580"/>
    <w:rsid w:val="002D35A0"/>
    <w:rsid w:val="002D38EB"/>
    <w:rsid w:val="002D39C8"/>
    <w:rsid w:val="002D3B86"/>
    <w:rsid w:val="002D3D49"/>
    <w:rsid w:val="002D3E5C"/>
    <w:rsid w:val="002D407C"/>
    <w:rsid w:val="002D42DA"/>
    <w:rsid w:val="002D4356"/>
    <w:rsid w:val="002D43FD"/>
    <w:rsid w:val="002D442A"/>
    <w:rsid w:val="002D4545"/>
    <w:rsid w:val="002D4549"/>
    <w:rsid w:val="002D4567"/>
    <w:rsid w:val="002D46E2"/>
    <w:rsid w:val="002D47B8"/>
    <w:rsid w:val="002D47E2"/>
    <w:rsid w:val="002D49C9"/>
    <w:rsid w:val="002D4DCB"/>
    <w:rsid w:val="002D4E70"/>
    <w:rsid w:val="002D4EC5"/>
    <w:rsid w:val="002D4EEA"/>
    <w:rsid w:val="002D5020"/>
    <w:rsid w:val="002D50BA"/>
    <w:rsid w:val="002D50BD"/>
    <w:rsid w:val="002D537C"/>
    <w:rsid w:val="002D53FD"/>
    <w:rsid w:val="002D5440"/>
    <w:rsid w:val="002D56A2"/>
    <w:rsid w:val="002D574B"/>
    <w:rsid w:val="002D57A9"/>
    <w:rsid w:val="002D58E3"/>
    <w:rsid w:val="002D59FD"/>
    <w:rsid w:val="002D5A54"/>
    <w:rsid w:val="002D5AA8"/>
    <w:rsid w:val="002D5E5B"/>
    <w:rsid w:val="002D5EB3"/>
    <w:rsid w:val="002D5F35"/>
    <w:rsid w:val="002D6177"/>
    <w:rsid w:val="002D6306"/>
    <w:rsid w:val="002D65BF"/>
    <w:rsid w:val="002D6669"/>
    <w:rsid w:val="002D66C2"/>
    <w:rsid w:val="002D6A03"/>
    <w:rsid w:val="002D6AA4"/>
    <w:rsid w:val="002D6B35"/>
    <w:rsid w:val="002D6B3E"/>
    <w:rsid w:val="002D6CCB"/>
    <w:rsid w:val="002D6CE9"/>
    <w:rsid w:val="002D6D69"/>
    <w:rsid w:val="002D6E1B"/>
    <w:rsid w:val="002D6F35"/>
    <w:rsid w:val="002D7093"/>
    <w:rsid w:val="002D74E2"/>
    <w:rsid w:val="002D78E3"/>
    <w:rsid w:val="002D78EA"/>
    <w:rsid w:val="002D79E6"/>
    <w:rsid w:val="002D7A74"/>
    <w:rsid w:val="002D7B67"/>
    <w:rsid w:val="002D7E92"/>
    <w:rsid w:val="002D7EC3"/>
    <w:rsid w:val="002E0008"/>
    <w:rsid w:val="002E00D1"/>
    <w:rsid w:val="002E01EA"/>
    <w:rsid w:val="002E0257"/>
    <w:rsid w:val="002E02A8"/>
    <w:rsid w:val="002E0858"/>
    <w:rsid w:val="002E0A9E"/>
    <w:rsid w:val="002E0CDE"/>
    <w:rsid w:val="002E0EE2"/>
    <w:rsid w:val="002E12AC"/>
    <w:rsid w:val="002E146E"/>
    <w:rsid w:val="002E1570"/>
    <w:rsid w:val="002E18CA"/>
    <w:rsid w:val="002E1AAA"/>
    <w:rsid w:val="002E1AC9"/>
    <w:rsid w:val="002E1B6D"/>
    <w:rsid w:val="002E1C46"/>
    <w:rsid w:val="002E1C8C"/>
    <w:rsid w:val="002E2085"/>
    <w:rsid w:val="002E2167"/>
    <w:rsid w:val="002E2229"/>
    <w:rsid w:val="002E25F7"/>
    <w:rsid w:val="002E26DA"/>
    <w:rsid w:val="002E2850"/>
    <w:rsid w:val="002E2967"/>
    <w:rsid w:val="002E2BD2"/>
    <w:rsid w:val="002E2E69"/>
    <w:rsid w:val="002E2E9C"/>
    <w:rsid w:val="002E2F08"/>
    <w:rsid w:val="002E3124"/>
    <w:rsid w:val="002E3186"/>
    <w:rsid w:val="002E323C"/>
    <w:rsid w:val="002E32CA"/>
    <w:rsid w:val="002E32EF"/>
    <w:rsid w:val="002E336E"/>
    <w:rsid w:val="002E3399"/>
    <w:rsid w:val="002E35E6"/>
    <w:rsid w:val="002E367F"/>
    <w:rsid w:val="002E3848"/>
    <w:rsid w:val="002E3C74"/>
    <w:rsid w:val="002E3CBF"/>
    <w:rsid w:val="002E3EB5"/>
    <w:rsid w:val="002E403F"/>
    <w:rsid w:val="002E44EE"/>
    <w:rsid w:val="002E466E"/>
    <w:rsid w:val="002E4707"/>
    <w:rsid w:val="002E48B9"/>
    <w:rsid w:val="002E4AC1"/>
    <w:rsid w:val="002E4DD8"/>
    <w:rsid w:val="002E4F23"/>
    <w:rsid w:val="002E4F4D"/>
    <w:rsid w:val="002E50B8"/>
    <w:rsid w:val="002E55F2"/>
    <w:rsid w:val="002E5814"/>
    <w:rsid w:val="002E5897"/>
    <w:rsid w:val="002E58E9"/>
    <w:rsid w:val="002E59BC"/>
    <w:rsid w:val="002E5B20"/>
    <w:rsid w:val="002E5CD3"/>
    <w:rsid w:val="002E5D0E"/>
    <w:rsid w:val="002E5D1D"/>
    <w:rsid w:val="002E5D33"/>
    <w:rsid w:val="002E5D4D"/>
    <w:rsid w:val="002E5D55"/>
    <w:rsid w:val="002E5FD1"/>
    <w:rsid w:val="002E674A"/>
    <w:rsid w:val="002E6954"/>
    <w:rsid w:val="002E6B40"/>
    <w:rsid w:val="002E6C20"/>
    <w:rsid w:val="002E6C9F"/>
    <w:rsid w:val="002E6EE3"/>
    <w:rsid w:val="002E7072"/>
    <w:rsid w:val="002E7268"/>
    <w:rsid w:val="002E735F"/>
    <w:rsid w:val="002E78EC"/>
    <w:rsid w:val="002E79D4"/>
    <w:rsid w:val="002E7B14"/>
    <w:rsid w:val="002E7B68"/>
    <w:rsid w:val="002E7E3E"/>
    <w:rsid w:val="002E7F5E"/>
    <w:rsid w:val="002F007A"/>
    <w:rsid w:val="002F0131"/>
    <w:rsid w:val="002F0445"/>
    <w:rsid w:val="002F055A"/>
    <w:rsid w:val="002F05B8"/>
    <w:rsid w:val="002F06C9"/>
    <w:rsid w:val="002F0D45"/>
    <w:rsid w:val="002F0F8A"/>
    <w:rsid w:val="002F1012"/>
    <w:rsid w:val="002F10A7"/>
    <w:rsid w:val="002F10D5"/>
    <w:rsid w:val="002F10EE"/>
    <w:rsid w:val="002F123C"/>
    <w:rsid w:val="002F12B0"/>
    <w:rsid w:val="002F1351"/>
    <w:rsid w:val="002F1684"/>
    <w:rsid w:val="002F16C6"/>
    <w:rsid w:val="002F172C"/>
    <w:rsid w:val="002F176C"/>
    <w:rsid w:val="002F186C"/>
    <w:rsid w:val="002F19C3"/>
    <w:rsid w:val="002F19FA"/>
    <w:rsid w:val="002F1A87"/>
    <w:rsid w:val="002F1AD8"/>
    <w:rsid w:val="002F1B6B"/>
    <w:rsid w:val="002F1B88"/>
    <w:rsid w:val="002F1C14"/>
    <w:rsid w:val="002F207B"/>
    <w:rsid w:val="002F209F"/>
    <w:rsid w:val="002F2183"/>
    <w:rsid w:val="002F23B1"/>
    <w:rsid w:val="002F26E7"/>
    <w:rsid w:val="002F27D0"/>
    <w:rsid w:val="002F2806"/>
    <w:rsid w:val="002F289C"/>
    <w:rsid w:val="002F28F6"/>
    <w:rsid w:val="002F2B4D"/>
    <w:rsid w:val="002F2F1D"/>
    <w:rsid w:val="002F3068"/>
    <w:rsid w:val="002F3311"/>
    <w:rsid w:val="002F338A"/>
    <w:rsid w:val="002F34C7"/>
    <w:rsid w:val="002F34FA"/>
    <w:rsid w:val="002F3646"/>
    <w:rsid w:val="002F3685"/>
    <w:rsid w:val="002F3813"/>
    <w:rsid w:val="002F3975"/>
    <w:rsid w:val="002F39A0"/>
    <w:rsid w:val="002F3CA0"/>
    <w:rsid w:val="002F3D02"/>
    <w:rsid w:val="002F3DB3"/>
    <w:rsid w:val="002F3FA9"/>
    <w:rsid w:val="002F436E"/>
    <w:rsid w:val="002F43C3"/>
    <w:rsid w:val="002F43C5"/>
    <w:rsid w:val="002F45E5"/>
    <w:rsid w:val="002F45EB"/>
    <w:rsid w:val="002F4756"/>
    <w:rsid w:val="002F492D"/>
    <w:rsid w:val="002F4B3B"/>
    <w:rsid w:val="002F5064"/>
    <w:rsid w:val="002F50BC"/>
    <w:rsid w:val="002F5436"/>
    <w:rsid w:val="002F59B7"/>
    <w:rsid w:val="002F5B44"/>
    <w:rsid w:val="002F5BD8"/>
    <w:rsid w:val="002F5D99"/>
    <w:rsid w:val="002F5F95"/>
    <w:rsid w:val="002F6248"/>
    <w:rsid w:val="002F6256"/>
    <w:rsid w:val="002F637A"/>
    <w:rsid w:val="002F64F8"/>
    <w:rsid w:val="002F65D4"/>
    <w:rsid w:val="002F6918"/>
    <w:rsid w:val="002F6BEB"/>
    <w:rsid w:val="002F6D26"/>
    <w:rsid w:val="002F7091"/>
    <w:rsid w:val="002F70BF"/>
    <w:rsid w:val="002F7240"/>
    <w:rsid w:val="002F748C"/>
    <w:rsid w:val="002F74B6"/>
    <w:rsid w:val="002F7664"/>
    <w:rsid w:val="002F7731"/>
    <w:rsid w:val="002F773B"/>
    <w:rsid w:val="002F7778"/>
    <w:rsid w:val="002F799B"/>
    <w:rsid w:val="002F7EC6"/>
    <w:rsid w:val="002F7EDF"/>
    <w:rsid w:val="002F7EE3"/>
    <w:rsid w:val="002F7F77"/>
    <w:rsid w:val="002F7FB2"/>
    <w:rsid w:val="0030007F"/>
    <w:rsid w:val="0030026C"/>
    <w:rsid w:val="003002F9"/>
    <w:rsid w:val="0030070D"/>
    <w:rsid w:val="003008B8"/>
    <w:rsid w:val="003008FD"/>
    <w:rsid w:val="00300B80"/>
    <w:rsid w:val="00300C8F"/>
    <w:rsid w:val="00300D74"/>
    <w:rsid w:val="00300DA1"/>
    <w:rsid w:val="00300DB6"/>
    <w:rsid w:val="00300DF8"/>
    <w:rsid w:val="00300E0B"/>
    <w:rsid w:val="00300EC6"/>
    <w:rsid w:val="00300ECC"/>
    <w:rsid w:val="003011EF"/>
    <w:rsid w:val="003016DF"/>
    <w:rsid w:val="00301905"/>
    <w:rsid w:val="00301919"/>
    <w:rsid w:val="00301BF7"/>
    <w:rsid w:val="00301C3E"/>
    <w:rsid w:val="00301C7F"/>
    <w:rsid w:val="00301D88"/>
    <w:rsid w:val="00301D91"/>
    <w:rsid w:val="00301DB5"/>
    <w:rsid w:val="00301DDB"/>
    <w:rsid w:val="00301F48"/>
    <w:rsid w:val="003025A7"/>
    <w:rsid w:val="0030262C"/>
    <w:rsid w:val="0030263C"/>
    <w:rsid w:val="0030265D"/>
    <w:rsid w:val="0030283E"/>
    <w:rsid w:val="00302B04"/>
    <w:rsid w:val="00302C7D"/>
    <w:rsid w:val="00302CD6"/>
    <w:rsid w:val="00302D70"/>
    <w:rsid w:val="00302D8A"/>
    <w:rsid w:val="00302E48"/>
    <w:rsid w:val="00302F25"/>
    <w:rsid w:val="00303290"/>
    <w:rsid w:val="0030343D"/>
    <w:rsid w:val="003037E6"/>
    <w:rsid w:val="00303825"/>
    <w:rsid w:val="003038EA"/>
    <w:rsid w:val="00303BF7"/>
    <w:rsid w:val="00303DCC"/>
    <w:rsid w:val="00303E09"/>
    <w:rsid w:val="00303EEC"/>
    <w:rsid w:val="00303EFC"/>
    <w:rsid w:val="00304038"/>
    <w:rsid w:val="00304063"/>
    <w:rsid w:val="00304072"/>
    <w:rsid w:val="003043B6"/>
    <w:rsid w:val="0030483A"/>
    <w:rsid w:val="0030484E"/>
    <w:rsid w:val="003048B1"/>
    <w:rsid w:val="00304BDF"/>
    <w:rsid w:val="00305A8F"/>
    <w:rsid w:val="00305AE2"/>
    <w:rsid w:val="00305E07"/>
    <w:rsid w:val="00305E1A"/>
    <w:rsid w:val="00305EAD"/>
    <w:rsid w:val="0030634D"/>
    <w:rsid w:val="00306380"/>
    <w:rsid w:val="003063CE"/>
    <w:rsid w:val="003064FA"/>
    <w:rsid w:val="003065AC"/>
    <w:rsid w:val="003066AF"/>
    <w:rsid w:val="00306744"/>
    <w:rsid w:val="003067B8"/>
    <w:rsid w:val="003067F3"/>
    <w:rsid w:val="00306CE2"/>
    <w:rsid w:val="003073B4"/>
    <w:rsid w:val="0030754F"/>
    <w:rsid w:val="00307557"/>
    <w:rsid w:val="003076FD"/>
    <w:rsid w:val="00307D72"/>
    <w:rsid w:val="00307F96"/>
    <w:rsid w:val="00307FB1"/>
    <w:rsid w:val="00307FE9"/>
    <w:rsid w:val="0031038F"/>
    <w:rsid w:val="003103FD"/>
    <w:rsid w:val="00310473"/>
    <w:rsid w:val="003106A9"/>
    <w:rsid w:val="0031097E"/>
    <w:rsid w:val="00310AEE"/>
    <w:rsid w:val="00310B0B"/>
    <w:rsid w:val="00310B20"/>
    <w:rsid w:val="00310B5E"/>
    <w:rsid w:val="00310BBD"/>
    <w:rsid w:val="00310DCB"/>
    <w:rsid w:val="00310E10"/>
    <w:rsid w:val="003111FB"/>
    <w:rsid w:val="003112CF"/>
    <w:rsid w:val="003112E1"/>
    <w:rsid w:val="003113D1"/>
    <w:rsid w:val="003113F9"/>
    <w:rsid w:val="003118D3"/>
    <w:rsid w:val="00311A2C"/>
    <w:rsid w:val="00311ABE"/>
    <w:rsid w:val="00311B42"/>
    <w:rsid w:val="00311C08"/>
    <w:rsid w:val="00311F17"/>
    <w:rsid w:val="00311FFB"/>
    <w:rsid w:val="003120B1"/>
    <w:rsid w:val="0031213E"/>
    <w:rsid w:val="00312911"/>
    <w:rsid w:val="00312A22"/>
    <w:rsid w:val="00312A73"/>
    <w:rsid w:val="00312C2B"/>
    <w:rsid w:val="00312CE1"/>
    <w:rsid w:val="00312DD5"/>
    <w:rsid w:val="00312F15"/>
    <w:rsid w:val="00312FED"/>
    <w:rsid w:val="0031303A"/>
    <w:rsid w:val="0031310A"/>
    <w:rsid w:val="003131BE"/>
    <w:rsid w:val="003131E5"/>
    <w:rsid w:val="003133B0"/>
    <w:rsid w:val="003134B1"/>
    <w:rsid w:val="0031366D"/>
    <w:rsid w:val="00313718"/>
    <w:rsid w:val="003137DF"/>
    <w:rsid w:val="00313A58"/>
    <w:rsid w:val="00313BCE"/>
    <w:rsid w:val="00313D17"/>
    <w:rsid w:val="00313D37"/>
    <w:rsid w:val="00313EC2"/>
    <w:rsid w:val="00313EE6"/>
    <w:rsid w:val="00314047"/>
    <w:rsid w:val="003140DD"/>
    <w:rsid w:val="003141B6"/>
    <w:rsid w:val="00314233"/>
    <w:rsid w:val="0031436A"/>
    <w:rsid w:val="0031452F"/>
    <w:rsid w:val="0031464C"/>
    <w:rsid w:val="0031476F"/>
    <w:rsid w:val="00314993"/>
    <w:rsid w:val="003149C5"/>
    <w:rsid w:val="00314D74"/>
    <w:rsid w:val="00314DCF"/>
    <w:rsid w:val="00314FD5"/>
    <w:rsid w:val="00314FE3"/>
    <w:rsid w:val="0031513E"/>
    <w:rsid w:val="003154D1"/>
    <w:rsid w:val="00315671"/>
    <w:rsid w:val="00315681"/>
    <w:rsid w:val="0031584F"/>
    <w:rsid w:val="00315AFC"/>
    <w:rsid w:val="00315D71"/>
    <w:rsid w:val="00315D86"/>
    <w:rsid w:val="00315DFB"/>
    <w:rsid w:val="00315F82"/>
    <w:rsid w:val="00315FFC"/>
    <w:rsid w:val="00316004"/>
    <w:rsid w:val="003160FA"/>
    <w:rsid w:val="00316312"/>
    <w:rsid w:val="00316480"/>
    <w:rsid w:val="003166CB"/>
    <w:rsid w:val="00316C20"/>
    <w:rsid w:val="00316C86"/>
    <w:rsid w:val="00316CCF"/>
    <w:rsid w:val="00316E2B"/>
    <w:rsid w:val="00316EBE"/>
    <w:rsid w:val="00316F47"/>
    <w:rsid w:val="00316FC3"/>
    <w:rsid w:val="0031721A"/>
    <w:rsid w:val="003172A9"/>
    <w:rsid w:val="00317311"/>
    <w:rsid w:val="00317315"/>
    <w:rsid w:val="00317339"/>
    <w:rsid w:val="003174B3"/>
    <w:rsid w:val="003174E6"/>
    <w:rsid w:val="00317501"/>
    <w:rsid w:val="0031755D"/>
    <w:rsid w:val="0031770E"/>
    <w:rsid w:val="00317735"/>
    <w:rsid w:val="0031775C"/>
    <w:rsid w:val="003177BD"/>
    <w:rsid w:val="003178E9"/>
    <w:rsid w:val="003179DE"/>
    <w:rsid w:val="00317AF2"/>
    <w:rsid w:val="00317B4F"/>
    <w:rsid w:val="00317BFB"/>
    <w:rsid w:val="00317CF0"/>
    <w:rsid w:val="00320006"/>
    <w:rsid w:val="0032006A"/>
    <w:rsid w:val="00320214"/>
    <w:rsid w:val="0032028A"/>
    <w:rsid w:val="003203A5"/>
    <w:rsid w:val="00320556"/>
    <w:rsid w:val="003207C9"/>
    <w:rsid w:val="003207E3"/>
    <w:rsid w:val="003208C2"/>
    <w:rsid w:val="00320939"/>
    <w:rsid w:val="0032096A"/>
    <w:rsid w:val="003209B2"/>
    <w:rsid w:val="00320A7E"/>
    <w:rsid w:val="00320AD1"/>
    <w:rsid w:val="003211E3"/>
    <w:rsid w:val="003212AF"/>
    <w:rsid w:val="003212E2"/>
    <w:rsid w:val="0032138D"/>
    <w:rsid w:val="003214C7"/>
    <w:rsid w:val="003215D9"/>
    <w:rsid w:val="00321A94"/>
    <w:rsid w:val="00321AFB"/>
    <w:rsid w:val="003223E8"/>
    <w:rsid w:val="003224E2"/>
    <w:rsid w:val="003224E6"/>
    <w:rsid w:val="003224FD"/>
    <w:rsid w:val="003226D5"/>
    <w:rsid w:val="00322879"/>
    <w:rsid w:val="003228E3"/>
    <w:rsid w:val="00322AA5"/>
    <w:rsid w:val="00322B4F"/>
    <w:rsid w:val="00322C87"/>
    <w:rsid w:val="00322D56"/>
    <w:rsid w:val="00322DD6"/>
    <w:rsid w:val="00322DEF"/>
    <w:rsid w:val="00322E19"/>
    <w:rsid w:val="00322F8A"/>
    <w:rsid w:val="0032304B"/>
    <w:rsid w:val="00323150"/>
    <w:rsid w:val="0032315B"/>
    <w:rsid w:val="003232D1"/>
    <w:rsid w:val="00323364"/>
    <w:rsid w:val="0032349D"/>
    <w:rsid w:val="003234C2"/>
    <w:rsid w:val="00323565"/>
    <w:rsid w:val="00323CF2"/>
    <w:rsid w:val="00323D2F"/>
    <w:rsid w:val="00323E1B"/>
    <w:rsid w:val="003245DC"/>
    <w:rsid w:val="0032476E"/>
    <w:rsid w:val="003247BF"/>
    <w:rsid w:val="003248A8"/>
    <w:rsid w:val="0032495B"/>
    <w:rsid w:val="003249D1"/>
    <w:rsid w:val="00324C13"/>
    <w:rsid w:val="00324CE7"/>
    <w:rsid w:val="00324DA7"/>
    <w:rsid w:val="00324DC6"/>
    <w:rsid w:val="00324E2A"/>
    <w:rsid w:val="00324E61"/>
    <w:rsid w:val="00324F63"/>
    <w:rsid w:val="003251D1"/>
    <w:rsid w:val="003253CA"/>
    <w:rsid w:val="003254B4"/>
    <w:rsid w:val="0032550B"/>
    <w:rsid w:val="0032594F"/>
    <w:rsid w:val="00325A47"/>
    <w:rsid w:val="00325B8F"/>
    <w:rsid w:val="00325BF9"/>
    <w:rsid w:val="00325C21"/>
    <w:rsid w:val="00326195"/>
    <w:rsid w:val="003263A0"/>
    <w:rsid w:val="00326454"/>
    <w:rsid w:val="003264B8"/>
    <w:rsid w:val="003264E9"/>
    <w:rsid w:val="00326782"/>
    <w:rsid w:val="0032689B"/>
    <w:rsid w:val="00326B99"/>
    <w:rsid w:val="00326C0C"/>
    <w:rsid w:val="00326E04"/>
    <w:rsid w:val="00326FD1"/>
    <w:rsid w:val="0032731B"/>
    <w:rsid w:val="0032744D"/>
    <w:rsid w:val="0032750A"/>
    <w:rsid w:val="0032759F"/>
    <w:rsid w:val="003275C9"/>
    <w:rsid w:val="00327DB2"/>
    <w:rsid w:val="00327E56"/>
    <w:rsid w:val="00327F01"/>
    <w:rsid w:val="0033023E"/>
    <w:rsid w:val="00330282"/>
    <w:rsid w:val="00330529"/>
    <w:rsid w:val="00330604"/>
    <w:rsid w:val="00330AEF"/>
    <w:rsid w:val="00330C20"/>
    <w:rsid w:val="00330CEF"/>
    <w:rsid w:val="00330E2B"/>
    <w:rsid w:val="003311CC"/>
    <w:rsid w:val="003314B9"/>
    <w:rsid w:val="003314BC"/>
    <w:rsid w:val="00331593"/>
    <w:rsid w:val="00331C8A"/>
    <w:rsid w:val="00331F2C"/>
    <w:rsid w:val="00331F76"/>
    <w:rsid w:val="00332135"/>
    <w:rsid w:val="003321FA"/>
    <w:rsid w:val="003324EC"/>
    <w:rsid w:val="003325CE"/>
    <w:rsid w:val="0033267C"/>
    <w:rsid w:val="003328AD"/>
    <w:rsid w:val="00332B86"/>
    <w:rsid w:val="00332BA9"/>
    <w:rsid w:val="00332CB0"/>
    <w:rsid w:val="00332EF4"/>
    <w:rsid w:val="0033310D"/>
    <w:rsid w:val="003333DF"/>
    <w:rsid w:val="003333FD"/>
    <w:rsid w:val="00333407"/>
    <w:rsid w:val="003334B0"/>
    <w:rsid w:val="003334E4"/>
    <w:rsid w:val="00333A3B"/>
    <w:rsid w:val="00333ADF"/>
    <w:rsid w:val="00333B98"/>
    <w:rsid w:val="00333C4E"/>
    <w:rsid w:val="00333CB2"/>
    <w:rsid w:val="00333E77"/>
    <w:rsid w:val="00333EF6"/>
    <w:rsid w:val="00333F77"/>
    <w:rsid w:val="003342B5"/>
    <w:rsid w:val="0033438B"/>
    <w:rsid w:val="003344B5"/>
    <w:rsid w:val="00334524"/>
    <w:rsid w:val="00334589"/>
    <w:rsid w:val="0033459D"/>
    <w:rsid w:val="003347C4"/>
    <w:rsid w:val="0033487F"/>
    <w:rsid w:val="00334C63"/>
    <w:rsid w:val="00334D03"/>
    <w:rsid w:val="00334DD8"/>
    <w:rsid w:val="00334E48"/>
    <w:rsid w:val="003350C0"/>
    <w:rsid w:val="003358A9"/>
    <w:rsid w:val="00335A72"/>
    <w:rsid w:val="00335AB1"/>
    <w:rsid w:val="00335D3A"/>
    <w:rsid w:val="00335D40"/>
    <w:rsid w:val="00335ED5"/>
    <w:rsid w:val="00336087"/>
    <w:rsid w:val="00336111"/>
    <w:rsid w:val="00336221"/>
    <w:rsid w:val="003362A4"/>
    <w:rsid w:val="00336426"/>
    <w:rsid w:val="00336453"/>
    <w:rsid w:val="003364AF"/>
    <w:rsid w:val="003365D1"/>
    <w:rsid w:val="0033674A"/>
    <w:rsid w:val="003368D3"/>
    <w:rsid w:val="00336C15"/>
    <w:rsid w:val="00336F62"/>
    <w:rsid w:val="003370AF"/>
    <w:rsid w:val="0033723E"/>
    <w:rsid w:val="003376DD"/>
    <w:rsid w:val="00337719"/>
    <w:rsid w:val="00337735"/>
    <w:rsid w:val="00337833"/>
    <w:rsid w:val="00337A37"/>
    <w:rsid w:val="00337C83"/>
    <w:rsid w:val="00337CAD"/>
    <w:rsid w:val="003400FC"/>
    <w:rsid w:val="0034021A"/>
    <w:rsid w:val="003402C8"/>
    <w:rsid w:val="00340316"/>
    <w:rsid w:val="00340485"/>
    <w:rsid w:val="0034072E"/>
    <w:rsid w:val="0034078C"/>
    <w:rsid w:val="00340826"/>
    <w:rsid w:val="003408FB"/>
    <w:rsid w:val="003409D0"/>
    <w:rsid w:val="00340A1C"/>
    <w:rsid w:val="00340C71"/>
    <w:rsid w:val="00340DCE"/>
    <w:rsid w:val="00340E95"/>
    <w:rsid w:val="00340EBB"/>
    <w:rsid w:val="00340F31"/>
    <w:rsid w:val="003410A0"/>
    <w:rsid w:val="0034111A"/>
    <w:rsid w:val="003412A1"/>
    <w:rsid w:val="00341319"/>
    <w:rsid w:val="00341486"/>
    <w:rsid w:val="00341647"/>
    <w:rsid w:val="003417FC"/>
    <w:rsid w:val="00341A9D"/>
    <w:rsid w:val="00341AD4"/>
    <w:rsid w:val="00341B70"/>
    <w:rsid w:val="00341BF0"/>
    <w:rsid w:val="00341E87"/>
    <w:rsid w:val="00341EBB"/>
    <w:rsid w:val="00341EEA"/>
    <w:rsid w:val="00341F5B"/>
    <w:rsid w:val="00342096"/>
    <w:rsid w:val="00342122"/>
    <w:rsid w:val="003421A6"/>
    <w:rsid w:val="00342245"/>
    <w:rsid w:val="00342253"/>
    <w:rsid w:val="0034244F"/>
    <w:rsid w:val="00342473"/>
    <w:rsid w:val="00342677"/>
    <w:rsid w:val="00342787"/>
    <w:rsid w:val="00342B1E"/>
    <w:rsid w:val="00342E67"/>
    <w:rsid w:val="00342F39"/>
    <w:rsid w:val="00342F61"/>
    <w:rsid w:val="00342F92"/>
    <w:rsid w:val="00342F9B"/>
    <w:rsid w:val="003434A2"/>
    <w:rsid w:val="003436B4"/>
    <w:rsid w:val="00343700"/>
    <w:rsid w:val="00343AD8"/>
    <w:rsid w:val="00343C71"/>
    <w:rsid w:val="00343F69"/>
    <w:rsid w:val="00344166"/>
    <w:rsid w:val="00344288"/>
    <w:rsid w:val="00344642"/>
    <w:rsid w:val="0034464C"/>
    <w:rsid w:val="00344929"/>
    <w:rsid w:val="00344AFE"/>
    <w:rsid w:val="00344B3C"/>
    <w:rsid w:val="00344CA6"/>
    <w:rsid w:val="00344E6E"/>
    <w:rsid w:val="00344E9F"/>
    <w:rsid w:val="00344EFC"/>
    <w:rsid w:val="00344F6A"/>
    <w:rsid w:val="00344FE4"/>
    <w:rsid w:val="0034502D"/>
    <w:rsid w:val="00345156"/>
    <w:rsid w:val="003454BC"/>
    <w:rsid w:val="00345658"/>
    <w:rsid w:val="003456A5"/>
    <w:rsid w:val="00345BC7"/>
    <w:rsid w:val="00345CAA"/>
    <w:rsid w:val="00345D1E"/>
    <w:rsid w:val="00345E6B"/>
    <w:rsid w:val="00345EB3"/>
    <w:rsid w:val="00346341"/>
    <w:rsid w:val="00346561"/>
    <w:rsid w:val="003465A2"/>
    <w:rsid w:val="00346626"/>
    <w:rsid w:val="003467FF"/>
    <w:rsid w:val="00346933"/>
    <w:rsid w:val="00346A3A"/>
    <w:rsid w:val="00346B59"/>
    <w:rsid w:val="00346B5E"/>
    <w:rsid w:val="00346CC9"/>
    <w:rsid w:val="00346D7B"/>
    <w:rsid w:val="00346EB4"/>
    <w:rsid w:val="0034729A"/>
    <w:rsid w:val="003472FA"/>
    <w:rsid w:val="00347535"/>
    <w:rsid w:val="00347895"/>
    <w:rsid w:val="00347A65"/>
    <w:rsid w:val="00347B61"/>
    <w:rsid w:val="00350036"/>
    <w:rsid w:val="003502C6"/>
    <w:rsid w:val="00350309"/>
    <w:rsid w:val="00350486"/>
    <w:rsid w:val="0035050E"/>
    <w:rsid w:val="0035066E"/>
    <w:rsid w:val="0035090A"/>
    <w:rsid w:val="00350912"/>
    <w:rsid w:val="00350A12"/>
    <w:rsid w:val="00350AFC"/>
    <w:rsid w:val="00350E92"/>
    <w:rsid w:val="00350F35"/>
    <w:rsid w:val="00350F37"/>
    <w:rsid w:val="00350FCC"/>
    <w:rsid w:val="00351235"/>
    <w:rsid w:val="00351280"/>
    <w:rsid w:val="003515FD"/>
    <w:rsid w:val="003516F4"/>
    <w:rsid w:val="00351BEF"/>
    <w:rsid w:val="003523A2"/>
    <w:rsid w:val="00352DB4"/>
    <w:rsid w:val="00352DF6"/>
    <w:rsid w:val="00352F72"/>
    <w:rsid w:val="00353090"/>
    <w:rsid w:val="00353138"/>
    <w:rsid w:val="00353235"/>
    <w:rsid w:val="00353369"/>
    <w:rsid w:val="0035379E"/>
    <w:rsid w:val="003537E8"/>
    <w:rsid w:val="0035384C"/>
    <w:rsid w:val="003538F0"/>
    <w:rsid w:val="00353F5C"/>
    <w:rsid w:val="00354083"/>
    <w:rsid w:val="0035415C"/>
    <w:rsid w:val="00354237"/>
    <w:rsid w:val="00354242"/>
    <w:rsid w:val="00354386"/>
    <w:rsid w:val="00354850"/>
    <w:rsid w:val="0035486A"/>
    <w:rsid w:val="00354D02"/>
    <w:rsid w:val="00354D5E"/>
    <w:rsid w:val="00354D78"/>
    <w:rsid w:val="00354E30"/>
    <w:rsid w:val="00354FB5"/>
    <w:rsid w:val="003551A7"/>
    <w:rsid w:val="0035522B"/>
    <w:rsid w:val="0035530F"/>
    <w:rsid w:val="0035581E"/>
    <w:rsid w:val="00355A02"/>
    <w:rsid w:val="00355B53"/>
    <w:rsid w:val="00355CE1"/>
    <w:rsid w:val="00355D24"/>
    <w:rsid w:val="00355DC0"/>
    <w:rsid w:val="00355EC2"/>
    <w:rsid w:val="00355FAE"/>
    <w:rsid w:val="00356044"/>
    <w:rsid w:val="00356322"/>
    <w:rsid w:val="00356B0D"/>
    <w:rsid w:val="00356BA9"/>
    <w:rsid w:val="00356C69"/>
    <w:rsid w:val="00356D1C"/>
    <w:rsid w:val="00356D60"/>
    <w:rsid w:val="00356E76"/>
    <w:rsid w:val="00357029"/>
    <w:rsid w:val="0035710E"/>
    <w:rsid w:val="00357128"/>
    <w:rsid w:val="0035738A"/>
    <w:rsid w:val="00357715"/>
    <w:rsid w:val="00357841"/>
    <w:rsid w:val="003579C4"/>
    <w:rsid w:val="00357A97"/>
    <w:rsid w:val="00357CC1"/>
    <w:rsid w:val="00357D1A"/>
    <w:rsid w:val="00357D8A"/>
    <w:rsid w:val="00357FD1"/>
    <w:rsid w:val="0036006B"/>
    <w:rsid w:val="003600FC"/>
    <w:rsid w:val="00360139"/>
    <w:rsid w:val="0036013A"/>
    <w:rsid w:val="003605FF"/>
    <w:rsid w:val="003606F8"/>
    <w:rsid w:val="00360730"/>
    <w:rsid w:val="003609E8"/>
    <w:rsid w:val="00360B86"/>
    <w:rsid w:val="00360DCF"/>
    <w:rsid w:val="00360E80"/>
    <w:rsid w:val="00360EC7"/>
    <w:rsid w:val="00360F33"/>
    <w:rsid w:val="00361190"/>
    <w:rsid w:val="00361283"/>
    <w:rsid w:val="00361621"/>
    <w:rsid w:val="00361767"/>
    <w:rsid w:val="0036197D"/>
    <w:rsid w:val="00361993"/>
    <w:rsid w:val="00361A41"/>
    <w:rsid w:val="00361AE9"/>
    <w:rsid w:val="00361F22"/>
    <w:rsid w:val="0036201C"/>
    <w:rsid w:val="0036202F"/>
    <w:rsid w:val="00362098"/>
    <w:rsid w:val="00362125"/>
    <w:rsid w:val="003622A7"/>
    <w:rsid w:val="0036240C"/>
    <w:rsid w:val="0036260E"/>
    <w:rsid w:val="003626BD"/>
    <w:rsid w:val="00362828"/>
    <w:rsid w:val="00362879"/>
    <w:rsid w:val="003629A1"/>
    <w:rsid w:val="003629BC"/>
    <w:rsid w:val="003629C8"/>
    <w:rsid w:val="00362BD0"/>
    <w:rsid w:val="00362BF7"/>
    <w:rsid w:val="00362CE3"/>
    <w:rsid w:val="00362D54"/>
    <w:rsid w:val="00362DD5"/>
    <w:rsid w:val="0036331F"/>
    <w:rsid w:val="00363484"/>
    <w:rsid w:val="00363690"/>
    <w:rsid w:val="003636FF"/>
    <w:rsid w:val="0036373E"/>
    <w:rsid w:val="0036374E"/>
    <w:rsid w:val="00363923"/>
    <w:rsid w:val="00363A11"/>
    <w:rsid w:val="00363B61"/>
    <w:rsid w:val="00363D35"/>
    <w:rsid w:val="00363D59"/>
    <w:rsid w:val="00363D7C"/>
    <w:rsid w:val="00363D8B"/>
    <w:rsid w:val="00363DBE"/>
    <w:rsid w:val="00363EBF"/>
    <w:rsid w:val="00363F4B"/>
    <w:rsid w:val="00364215"/>
    <w:rsid w:val="00364338"/>
    <w:rsid w:val="0036439C"/>
    <w:rsid w:val="00364510"/>
    <w:rsid w:val="0036457A"/>
    <w:rsid w:val="0036467E"/>
    <w:rsid w:val="0036470B"/>
    <w:rsid w:val="00364A69"/>
    <w:rsid w:val="00364A8D"/>
    <w:rsid w:val="00364ADA"/>
    <w:rsid w:val="00364B1F"/>
    <w:rsid w:val="00364C25"/>
    <w:rsid w:val="00364CC2"/>
    <w:rsid w:val="00364F10"/>
    <w:rsid w:val="00364FCA"/>
    <w:rsid w:val="00365288"/>
    <w:rsid w:val="003652BC"/>
    <w:rsid w:val="00365377"/>
    <w:rsid w:val="0036548E"/>
    <w:rsid w:val="003654D7"/>
    <w:rsid w:val="00365567"/>
    <w:rsid w:val="003656CF"/>
    <w:rsid w:val="00365828"/>
    <w:rsid w:val="003658A1"/>
    <w:rsid w:val="0036595B"/>
    <w:rsid w:val="003659B7"/>
    <w:rsid w:val="003659F3"/>
    <w:rsid w:val="00365CAD"/>
    <w:rsid w:val="00365DA2"/>
    <w:rsid w:val="00365E12"/>
    <w:rsid w:val="00365E33"/>
    <w:rsid w:val="00365F1A"/>
    <w:rsid w:val="00365F2E"/>
    <w:rsid w:val="00365F9B"/>
    <w:rsid w:val="00366019"/>
    <w:rsid w:val="003661FE"/>
    <w:rsid w:val="003662C4"/>
    <w:rsid w:val="00366472"/>
    <w:rsid w:val="003665B5"/>
    <w:rsid w:val="003666B1"/>
    <w:rsid w:val="00366854"/>
    <w:rsid w:val="003668F0"/>
    <w:rsid w:val="00366A7F"/>
    <w:rsid w:val="00366AB4"/>
    <w:rsid w:val="00366B6B"/>
    <w:rsid w:val="00366E00"/>
    <w:rsid w:val="00367024"/>
    <w:rsid w:val="00367098"/>
    <w:rsid w:val="0036723B"/>
    <w:rsid w:val="0036736A"/>
    <w:rsid w:val="003674B1"/>
    <w:rsid w:val="003674C8"/>
    <w:rsid w:val="00367646"/>
    <w:rsid w:val="003679E7"/>
    <w:rsid w:val="00367A88"/>
    <w:rsid w:val="00367E8C"/>
    <w:rsid w:val="003702BD"/>
    <w:rsid w:val="0037043F"/>
    <w:rsid w:val="00370918"/>
    <w:rsid w:val="00370B0A"/>
    <w:rsid w:val="00370B14"/>
    <w:rsid w:val="00370C25"/>
    <w:rsid w:val="00370D28"/>
    <w:rsid w:val="00370D64"/>
    <w:rsid w:val="00370EA2"/>
    <w:rsid w:val="003710D0"/>
    <w:rsid w:val="00371155"/>
    <w:rsid w:val="0037164C"/>
    <w:rsid w:val="0037182A"/>
    <w:rsid w:val="00371A18"/>
    <w:rsid w:val="00371CE7"/>
    <w:rsid w:val="00371D4C"/>
    <w:rsid w:val="00371FAF"/>
    <w:rsid w:val="00371FB0"/>
    <w:rsid w:val="00372500"/>
    <w:rsid w:val="003725B5"/>
    <w:rsid w:val="00372AD1"/>
    <w:rsid w:val="00372CEC"/>
    <w:rsid w:val="00372D72"/>
    <w:rsid w:val="00372DB5"/>
    <w:rsid w:val="00372DC6"/>
    <w:rsid w:val="00372E4C"/>
    <w:rsid w:val="00372F85"/>
    <w:rsid w:val="0037317C"/>
    <w:rsid w:val="00373301"/>
    <w:rsid w:val="0037361D"/>
    <w:rsid w:val="003736F2"/>
    <w:rsid w:val="0037386A"/>
    <w:rsid w:val="00373900"/>
    <w:rsid w:val="00373924"/>
    <w:rsid w:val="003739C2"/>
    <w:rsid w:val="00373A87"/>
    <w:rsid w:val="00373E06"/>
    <w:rsid w:val="00374609"/>
    <w:rsid w:val="00374658"/>
    <w:rsid w:val="00374D3A"/>
    <w:rsid w:val="00374E36"/>
    <w:rsid w:val="00374E3E"/>
    <w:rsid w:val="00374E96"/>
    <w:rsid w:val="00374F7B"/>
    <w:rsid w:val="00375024"/>
    <w:rsid w:val="00375108"/>
    <w:rsid w:val="00375110"/>
    <w:rsid w:val="0037519B"/>
    <w:rsid w:val="0037535C"/>
    <w:rsid w:val="003757BF"/>
    <w:rsid w:val="00375931"/>
    <w:rsid w:val="00375AC2"/>
    <w:rsid w:val="00375BB8"/>
    <w:rsid w:val="003760DC"/>
    <w:rsid w:val="003760DF"/>
    <w:rsid w:val="003760F3"/>
    <w:rsid w:val="003761AD"/>
    <w:rsid w:val="003763DF"/>
    <w:rsid w:val="00376650"/>
    <w:rsid w:val="00376774"/>
    <w:rsid w:val="003767A3"/>
    <w:rsid w:val="00376A09"/>
    <w:rsid w:val="00376AF4"/>
    <w:rsid w:val="00376F52"/>
    <w:rsid w:val="0037701E"/>
    <w:rsid w:val="0037717C"/>
    <w:rsid w:val="003772FF"/>
    <w:rsid w:val="003773DB"/>
    <w:rsid w:val="00377452"/>
    <w:rsid w:val="003774C4"/>
    <w:rsid w:val="0037753A"/>
    <w:rsid w:val="003776E5"/>
    <w:rsid w:val="0037780F"/>
    <w:rsid w:val="00377840"/>
    <w:rsid w:val="0037788F"/>
    <w:rsid w:val="0037791A"/>
    <w:rsid w:val="00377C4E"/>
    <w:rsid w:val="00377CF5"/>
    <w:rsid w:val="00377EDE"/>
    <w:rsid w:val="00380486"/>
    <w:rsid w:val="003806C4"/>
    <w:rsid w:val="00380953"/>
    <w:rsid w:val="003809A3"/>
    <w:rsid w:val="00380ADE"/>
    <w:rsid w:val="00380F2D"/>
    <w:rsid w:val="0038115A"/>
    <w:rsid w:val="00381548"/>
    <w:rsid w:val="0038181B"/>
    <w:rsid w:val="0038195E"/>
    <w:rsid w:val="003819CE"/>
    <w:rsid w:val="00381B37"/>
    <w:rsid w:val="00381C72"/>
    <w:rsid w:val="00381E6F"/>
    <w:rsid w:val="00381F69"/>
    <w:rsid w:val="00382287"/>
    <w:rsid w:val="003822AE"/>
    <w:rsid w:val="003823F5"/>
    <w:rsid w:val="003824CC"/>
    <w:rsid w:val="00382650"/>
    <w:rsid w:val="003826BD"/>
    <w:rsid w:val="003827CF"/>
    <w:rsid w:val="00382948"/>
    <w:rsid w:val="00382CD5"/>
    <w:rsid w:val="0038300B"/>
    <w:rsid w:val="00383021"/>
    <w:rsid w:val="003831B2"/>
    <w:rsid w:val="00383222"/>
    <w:rsid w:val="0038332A"/>
    <w:rsid w:val="0038342F"/>
    <w:rsid w:val="00383434"/>
    <w:rsid w:val="00383556"/>
    <w:rsid w:val="00383737"/>
    <w:rsid w:val="003838A9"/>
    <w:rsid w:val="00383982"/>
    <w:rsid w:val="003839C1"/>
    <w:rsid w:val="00383AA5"/>
    <w:rsid w:val="00383B77"/>
    <w:rsid w:val="00383CB2"/>
    <w:rsid w:val="00383E95"/>
    <w:rsid w:val="0038447A"/>
    <w:rsid w:val="00384995"/>
    <w:rsid w:val="00384AEF"/>
    <w:rsid w:val="00384B91"/>
    <w:rsid w:val="00384B94"/>
    <w:rsid w:val="00384C4B"/>
    <w:rsid w:val="00384C57"/>
    <w:rsid w:val="00384D02"/>
    <w:rsid w:val="00384D3C"/>
    <w:rsid w:val="00384D5F"/>
    <w:rsid w:val="00384E80"/>
    <w:rsid w:val="00384F3F"/>
    <w:rsid w:val="00384FA3"/>
    <w:rsid w:val="00385033"/>
    <w:rsid w:val="0038522B"/>
    <w:rsid w:val="00385238"/>
    <w:rsid w:val="00385252"/>
    <w:rsid w:val="0038532E"/>
    <w:rsid w:val="0038532F"/>
    <w:rsid w:val="0038557A"/>
    <w:rsid w:val="003855A9"/>
    <w:rsid w:val="003856FA"/>
    <w:rsid w:val="00385AA3"/>
    <w:rsid w:val="00385AAC"/>
    <w:rsid w:val="00385C3E"/>
    <w:rsid w:val="00385C85"/>
    <w:rsid w:val="00385D55"/>
    <w:rsid w:val="00385E15"/>
    <w:rsid w:val="00385E4C"/>
    <w:rsid w:val="00386061"/>
    <w:rsid w:val="003860C5"/>
    <w:rsid w:val="00386121"/>
    <w:rsid w:val="0038614C"/>
    <w:rsid w:val="00386167"/>
    <w:rsid w:val="00386246"/>
    <w:rsid w:val="00386342"/>
    <w:rsid w:val="003864E0"/>
    <w:rsid w:val="0038682F"/>
    <w:rsid w:val="00386839"/>
    <w:rsid w:val="0038683E"/>
    <w:rsid w:val="003868C3"/>
    <w:rsid w:val="00386A32"/>
    <w:rsid w:val="00386B01"/>
    <w:rsid w:val="00386C53"/>
    <w:rsid w:val="00387351"/>
    <w:rsid w:val="0038735E"/>
    <w:rsid w:val="0038739D"/>
    <w:rsid w:val="0038750F"/>
    <w:rsid w:val="003875AF"/>
    <w:rsid w:val="0038769C"/>
    <w:rsid w:val="00387786"/>
    <w:rsid w:val="00387832"/>
    <w:rsid w:val="00387A2C"/>
    <w:rsid w:val="00387A6B"/>
    <w:rsid w:val="00387AF5"/>
    <w:rsid w:val="00387CD9"/>
    <w:rsid w:val="0039008E"/>
    <w:rsid w:val="0039021B"/>
    <w:rsid w:val="003903A0"/>
    <w:rsid w:val="00390440"/>
    <w:rsid w:val="003905FE"/>
    <w:rsid w:val="00390663"/>
    <w:rsid w:val="003907D0"/>
    <w:rsid w:val="003908FF"/>
    <w:rsid w:val="00390B22"/>
    <w:rsid w:val="00390DE6"/>
    <w:rsid w:val="00391001"/>
    <w:rsid w:val="00391053"/>
    <w:rsid w:val="00391075"/>
    <w:rsid w:val="0039115C"/>
    <w:rsid w:val="00391472"/>
    <w:rsid w:val="00391513"/>
    <w:rsid w:val="003919EE"/>
    <w:rsid w:val="00391A82"/>
    <w:rsid w:val="00391AAE"/>
    <w:rsid w:val="00391B15"/>
    <w:rsid w:val="00391CEC"/>
    <w:rsid w:val="00391D28"/>
    <w:rsid w:val="00391E58"/>
    <w:rsid w:val="00391F3B"/>
    <w:rsid w:val="00392206"/>
    <w:rsid w:val="003922B5"/>
    <w:rsid w:val="003926A2"/>
    <w:rsid w:val="00392A7A"/>
    <w:rsid w:val="00392BBB"/>
    <w:rsid w:val="00392D44"/>
    <w:rsid w:val="00392E59"/>
    <w:rsid w:val="00393237"/>
    <w:rsid w:val="0039383C"/>
    <w:rsid w:val="00393B40"/>
    <w:rsid w:val="00393DA5"/>
    <w:rsid w:val="00393E59"/>
    <w:rsid w:val="00393EC6"/>
    <w:rsid w:val="0039435B"/>
    <w:rsid w:val="003945C9"/>
    <w:rsid w:val="003946E1"/>
    <w:rsid w:val="003947C8"/>
    <w:rsid w:val="00394A7D"/>
    <w:rsid w:val="00394BB8"/>
    <w:rsid w:val="00394C15"/>
    <w:rsid w:val="00394C2A"/>
    <w:rsid w:val="00394C97"/>
    <w:rsid w:val="00394DBB"/>
    <w:rsid w:val="00395043"/>
    <w:rsid w:val="00395095"/>
    <w:rsid w:val="0039563F"/>
    <w:rsid w:val="00395810"/>
    <w:rsid w:val="003959F3"/>
    <w:rsid w:val="00395B13"/>
    <w:rsid w:val="00395BCB"/>
    <w:rsid w:val="00395BFA"/>
    <w:rsid w:val="00395FC1"/>
    <w:rsid w:val="0039639B"/>
    <w:rsid w:val="00396482"/>
    <w:rsid w:val="00396658"/>
    <w:rsid w:val="00396985"/>
    <w:rsid w:val="003969DC"/>
    <w:rsid w:val="00396B66"/>
    <w:rsid w:val="00396C3E"/>
    <w:rsid w:val="00396E90"/>
    <w:rsid w:val="00396F96"/>
    <w:rsid w:val="00397166"/>
    <w:rsid w:val="00397344"/>
    <w:rsid w:val="00397504"/>
    <w:rsid w:val="003975BE"/>
    <w:rsid w:val="003975E5"/>
    <w:rsid w:val="0039782D"/>
    <w:rsid w:val="00397846"/>
    <w:rsid w:val="003978C6"/>
    <w:rsid w:val="00397A8E"/>
    <w:rsid w:val="00397CFD"/>
    <w:rsid w:val="00397E5D"/>
    <w:rsid w:val="00397FF5"/>
    <w:rsid w:val="003A0023"/>
    <w:rsid w:val="003A0336"/>
    <w:rsid w:val="003A0385"/>
    <w:rsid w:val="003A0682"/>
    <w:rsid w:val="003A0B11"/>
    <w:rsid w:val="003A0B8B"/>
    <w:rsid w:val="003A0E5E"/>
    <w:rsid w:val="003A0F84"/>
    <w:rsid w:val="003A14E7"/>
    <w:rsid w:val="003A1580"/>
    <w:rsid w:val="003A161F"/>
    <w:rsid w:val="003A16FF"/>
    <w:rsid w:val="003A1714"/>
    <w:rsid w:val="003A17FB"/>
    <w:rsid w:val="003A18F6"/>
    <w:rsid w:val="003A19F1"/>
    <w:rsid w:val="003A1AB4"/>
    <w:rsid w:val="003A1AEE"/>
    <w:rsid w:val="003A1B16"/>
    <w:rsid w:val="003A1C3F"/>
    <w:rsid w:val="003A1CC5"/>
    <w:rsid w:val="003A1E6B"/>
    <w:rsid w:val="003A1EA3"/>
    <w:rsid w:val="003A1F48"/>
    <w:rsid w:val="003A232C"/>
    <w:rsid w:val="003A24B9"/>
    <w:rsid w:val="003A2A6D"/>
    <w:rsid w:val="003A2B61"/>
    <w:rsid w:val="003A2E6B"/>
    <w:rsid w:val="003A2EE9"/>
    <w:rsid w:val="003A2F4C"/>
    <w:rsid w:val="003A2FBA"/>
    <w:rsid w:val="003A3007"/>
    <w:rsid w:val="003A3165"/>
    <w:rsid w:val="003A31BD"/>
    <w:rsid w:val="003A39C1"/>
    <w:rsid w:val="003A3FC2"/>
    <w:rsid w:val="003A41B6"/>
    <w:rsid w:val="003A4228"/>
    <w:rsid w:val="003A42A2"/>
    <w:rsid w:val="003A4381"/>
    <w:rsid w:val="003A43EF"/>
    <w:rsid w:val="003A440E"/>
    <w:rsid w:val="003A45F2"/>
    <w:rsid w:val="003A4681"/>
    <w:rsid w:val="003A4686"/>
    <w:rsid w:val="003A4B78"/>
    <w:rsid w:val="003A4D97"/>
    <w:rsid w:val="003A4E69"/>
    <w:rsid w:val="003A50C6"/>
    <w:rsid w:val="003A522B"/>
    <w:rsid w:val="003A52E1"/>
    <w:rsid w:val="003A541B"/>
    <w:rsid w:val="003A54E8"/>
    <w:rsid w:val="003A565A"/>
    <w:rsid w:val="003A595E"/>
    <w:rsid w:val="003A5AAA"/>
    <w:rsid w:val="003A5C55"/>
    <w:rsid w:val="003A5D03"/>
    <w:rsid w:val="003A5D61"/>
    <w:rsid w:val="003A5DFE"/>
    <w:rsid w:val="003A61F2"/>
    <w:rsid w:val="003A6233"/>
    <w:rsid w:val="003A6747"/>
    <w:rsid w:val="003A68A8"/>
    <w:rsid w:val="003A6959"/>
    <w:rsid w:val="003A6D9D"/>
    <w:rsid w:val="003A700C"/>
    <w:rsid w:val="003A7044"/>
    <w:rsid w:val="003A7085"/>
    <w:rsid w:val="003A732C"/>
    <w:rsid w:val="003A73A6"/>
    <w:rsid w:val="003A78DD"/>
    <w:rsid w:val="003A7A0A"/>
    <w:rsid w:val="003A7AE2"/>
    <w:rsid w:val="003A7F96"/>
    <w:rsid w:val="003B038E"/>
    <w:rsid w:val="003B075E"/>
    <w:rsid w:val="003B080A"/>
    <w:rsid w:val="003B081E"/>
    <w:rsid w:val="003B0827"/>
    <w:rsid w:val="003B0886"/>
    <w:rsid w:val="003B0A4C"/>
    <w:rsid w:val="003B0A7F"/>
    <w:rsid w:val="003B0B8F"/>
    <w:rsid w:val="003B0D51"/>
    <w:rsid w:val="003B0D76"/>
    <w:rsid w:val="003B0F19"/>
    <w:rsid w:val="003B0F70"/>
    <w:rsid w:val="003B100A"/>
    <w:rsid w:val="003B11DC"/>
    <w:rsid w:val="003B131C"/>
    <w:rsid w:val="003B14BC"/>
    <w:rsid w:val="003B15AA"/>
    <w:rsid w:val="003B15C5"/>
    <w:rsid w:val="003B1620"/>
    <w:rsid w:val="003B1705"/>
    <w:rsid w:val="003B177B"/>
    <w:rsid w:val="003B17D1"/>
    <w:rsid w:val="003B1827"/>
    <w:rsid w:val="003B1954"/>
    <w:rsid w:val="003B1E02"/>
    <w:rsid w:val="003B1FEF"/>
    <w:rsid w:val="003B24F9"/>
    <w:rsid w:val="003B26AD"/>
    <w:rsid w:val="003B271A"/>
    <w:rsid w:val="003B2860"/>
    <w:rsid w:val="003B2A77"/>
    <w:rsid w:val="003B2CA6"/>
    <w:rsid w:val="003B301F"/>
    <w:rsid w:val="003B3035"/>
    <w:rsid w:val="003B3386"/>
    <w:rsid w:val="003B34CF"/>
    <w:rsid w:val="003B3645"/>
    <w:rsid w:val="003B37EE"/>
    <w:rsid w:val="003B3847"/>
    <w:rsid w:val="003B3934"/>
    <w:rsid w:val="003B3973"/>
    <w:rsid w:val="003B3A50"/>
    <w:rsid w:val="003B3D83"/>
    <w:rsid w:val="003B3DA6"/>
    <w:rsid w:val="003B3F97"/>
    <w:rsid w:val="003B428E"/>
    <w:rsid w:val="003B4300"/>
    <w:rsid w:val="003B4421"/>
    <w:rsid w:val="003B44C7"/>
    <w:rsid w:val="003B4623"/>
    <w:rsid w:val="003B47F4"/>
    <w:rsid w:val="003B4825"/>
    <w:rsid w:val="003B4905"/>
    <w:rsid w:val="003B4A63"/>
    <w:rsid w:val="003B4D4B"/>
    <w:rsid w:val="003B508B"/>
    <w:rsid w:val="003B5149"/>
    <w:rsid w:val="003B520C"/>
    <w:rsid w:val="003B5317"/>
    <w:rsid w:val="003B53E5"/>
    <w:rsid w:val="003B5522"/>
    <w:rsid w:val="003B598C"/>
    <w:rsid w:val="003B5A37"/>
    <w:rsid w:val="003B5BCC"/>
    <w:rsid w:val="003B5C33"/>
    <w:rsid w:val="003B5C5C"/>
    <w:rsid w:val="003B5EFE"/>
    <w:rsid w:val="003B6143"/>
    <w:rsid w:val="003B62FD"/>
    <w:rsid w:val="003B6439"/>
    <w:rsid w:val="003B6464"/>
    <w:rsid w:val="003B6486"/>
    <w:rsid w:val="003B64F2"/>
    <w:rsid w:val="003B6565"/>
    <w:rsid w:val="003B65C7"/>
    <w:rsid w:val="003B6660"/>
    <w:rsid w:val="003B66DD"/>
    <w:rsid w:val="003B6771"/>
    <w:rsid w:val="003B67A9"/>
    <w:rsid w:val="003B6898"/>
    <w:rsid w:val="003B68F3"/>
    <w:rsid w:val="003B6B29"/>
    <w:rsid w:val="003B6C25"/>
    <w:rsid w:val="003B6E46"/>
    <w:rsid w:val="003B6F29"/>
    <w:rsid w:val="003B70CF"/>
    <w:rsid w:val="003B7114"/>
    <w:rsid w:val="003B7152"/>
    <w:rsid w:val="003B717F"/>
    <w:rsid w:val="003B7180"/>
    <w:rsid w:val="003B72D4"/>
    <w:rsid w:val="003B750C"/>
    <w:rsid w:val="003B7765"/>
    <w:rsid w:val="003B777E"/>
    <w:rsid w:val="003B77AF"/>
    <w:rsid w:val="003B77FF"/>
    <w:rsid w:val="003B7988"/>
    <w:rsid w:val="003B7A41"/>
    <w:rsid w:val="003B7CC5"/>
    <w:rsid w:val="003B7CC9"/>
    <w:rsid w:val="003B7DA3"/>
    <w:rsid w:val="003B7EED"/>
    <w:rsid w:val="003B7FF2"/>
    <w:rsid w:val="003C004C"/>
    <w:rsid w:val="003C02DC"/>
    <w:rsid w:val="003C0332"/>
    <w:rsid w:val="003C03BC"/>
    <w:rsid w:val="003C04D5"/>
    <w:rsid w:val="003C0608"/>
    <w:rsid w:val="003C07CA"/>
    <w:rsid w:val="003C081B"/>
    <w:rsid w:val="003C088A"/>
    <w:rsid w:val="003C08FF"/>
    <w:rsid w:val="003C0AA0"/>
    <w:rsid w:val="003C0AD4"/>
    <w:rsid w:val="003C0D5B"/>
    <w:rsid w:val="003C0D85"/>
    <w:rsid w:val="003C0DF0"/>
    <w:rsid w:val="003C0E01"/>
    <w:rsid w:val="003C114F"/>
    <w:rsid w:val="003C1256"/>
    <w:rsid w:val="003C12F2"/>
    <w:rsid w:val="003C165F"/>
    <w:rsid w:val="003C1804"/>
    <w:rsid w:val="003C195E"/>
    <w:rsid w:val="003C1B1F"/>
    <w:rsid w:val="003C1CE4"/>
    <w:rsid w:val="003C1D0B"/>
    <w:rsid w:val="003C1F5F"/>
    <w:rsid w:val="003C21AC"/>
    <w:rsid w:val="003C2314"/>
    <w:rsid w:val="003C232B"/>
    <w:rsid w:val="003C233B"/>
    <w:rsid w:val="003C233E"/>
    <w:rsid w:val="003C2342"/>
    <w:rsid w:val="003C248C"/>
    <w:rsid w:val="003C2637"/>
    <w:rsid w:val="003C275C"/>
    <w:rsid w:val="003C292D"/>
    <w:rsid w:val="003C29B3"/>
    <w:rsid w:val="003C2A05"/>
    <w:rsid w:val="003C2ACD"/>
    <w:rsid w:val="003C2CAF"/>
    <w:rsid w:val="003C300A"/>
    <w:rsid w:val="003C3295"/>
    <w:rsid w:val="003C3350"/>
    <w:rsid w:val="003C34D5"/>
    <w:rsid w:val="003C366A"/>
    <w:rsid w:val="003C384D"/>
    <w:rsid w:val="003C391E"/>
    <w:rsid w:val="003C3964"/>
    <w:rsid w:val="003C3975"/>
    <w:rsid w:val="003C3B59"/>
    <w:rsid w:val="003C3C3F"/>
    <w:rsid w:val="003C3C8F"/>
    <w:rsid w:val="003C3CC6"/>
    <w:rsid w:val="003C3F26"/>
    <w:rsid w:val="003C3F55"/>
    <w:rsid w:val="003C438C"/>
    <w:rsid w:val="003C44E1"/>
    <w:rsid w:val="003C44E8"/>
    <w:rsid w:val="003C4684"/>
    <w:rsid w:val="003C4751"/>
    <w:rsid w:val="003C47CD"/>
    <w:rsid w:val="003C4929"/>
    <w:rsid w:val="003C4C31"/>
    <w:rsid w:val="003C4C9C"/>
    <w:rsid w:val="003C4D37"/>
    <w:rsid w:val="003C4DAD"/>
    <w:rsid w:val="003C4FE2"/>
    <w:rsid w:val="003C53CE"/>
    <w:rsid w:val="003C545B"/>
    <w:rsid w:val="003C5561"/>
    <w:rsid w:val="003C569B"/>
    <w:rsid w:val="003C56D4"/>
    <w:rsid w:val="003C59C8"/>
    <w:rsid w:val="003C5AC8"/>
    <w:rsid w:val="003C5C65"/>
    <w:rsid w:val="003C5DFA"/>
    <w:rsid w:val="003C5E33"/>
    <w:rsid w:val="003C5E4C"/>
    <w:rsid w:val="003C5EB3"/>
    <w:rsid w:val="003C6320"/>
    <w:rsid w:val="003C6342"/>
    <w:rsid w:val="003C6369"/>
    <w:rsid w:val="003C636A"/>
    <w:rsid w:val="003C63C6"/>
    <w:rsid w:val="003C6633"/>
    <w:rsid w:val="003C66B1"/>
    <w:rsid w:val="003C6930"/>
    <w:rsid w:val="003C6978"/>
    <w:rsid w:val="003C6AFB"/>
    <w:rsid w:val="003C6E6A"/>
    <w:rsid w:val="003C6EDC"/>
    <w:rsid w:val="003C6F0C"/>
    <w:rsid w:val="003C6F22"/>
    <w:rsid w:val="003C6F46"/>
    <w:rsid w:val="003C6F61"/>
    <w:rsid w:val="003C727B"/>
    <w:rsid w:val="003C73C7"/>
    <w:rsid w:val="003C76AC"/>
    <w:rsid w:val="003C79B6"/>
    <w:rsid w:val="003C7A16"/>
    <w:rsid w:val="003C7B63"/>
    <w:rsid w:val="003C7D70"/>
    <w:rsid w:val="003C7E10"/>
    <w:rsid w:val="003D01BD"/>
    <w:rsid w:val="003D046C"/>
    <w:rsid w:val="003D04ED"/>
    <w:rsid w:val="003D0682"/>
    <w:rsid w:val="003D0738"/>
    <w:rsid w:val="003D08DF"/>
    <w:rsid w:val="003D0915"/>
    <w:rsid w:val="003D0A10"/>
    <w:rsid w:val="003D0BD1"/>
    <w:rsid w:val="003D0C09"/>
    <w:rsid w:val="003D0C9E"/>
    <w:rsid w:val="003D0D34"/>
    <w:rsid w:val="003D0DDE"/>
    <w:rsid w:val="003D0E31"/>
    <w:rsid w:val="003D0FD3"/>
    <w:rsid w:val="003D1114"/>
    <w:rsid w:val="003D11B0"/>
    <w:rsid w:val="003D154B"/>
    <w:rsid w:val="003D1563"/>
    <w:rsid w:val="003D1687"/>
    <w:rsid w:val="003D1B7C"/>
    <w:rsid w:val="003D1FD6"/>
    <w:rsid w:val="003D21D0"/>
    <w:rsid w:val="003D265D"/>
    <w:rsid w:val="003D2860"/>
    <w:rsid w:val="003D28DF"/>
    <w:rsid w:val="003D29AD"/>
    <w:rsid w:val="003D2B2E"/>
    <w:rsid w:val="003D2BC5"/>
    <w:rsid w:val="003D2E72"/>
    <w:rsid w:val="003D339F"/>
    <w:rsid w:val="003D350B"/>
    <w:rsid w:val="003D3770"/>
    <w:rsid w:val="003D38D5"/>
    <w:rsid w:val="003D3982"/>
    <w:rsid w:val="003D3B19"/>
    <w:rsid w:val="003D3C90"/>
    <w:rsid w:val="003D3CBF"/>
    <w:rsid w:val="003D3D69"/>
    <w:rsid w:val="003D4111"/>
    <w:rsid w:val="003D41CE"/>
    <w:rsid w:val="003D4287"/>
    <w:rsid w:val="003D42D7"/>
    <w:rsid w:val="003D42E8"/>
    <w:rsid w:val="003D435F"/>
    <w:rsid w:val="003D4408"/>
    <w:rsid w:val="003D44B4"/>
    <w:rsid w:val="003D4536"/>
    <w:rsid w:val="003D45CB"/>
    <w:rsid w:val="003D477E"/>
    <w:rsid w:val="003D48E6"/>
    <w:rsid w:val="003D490D"/>
    <w:rsid w:val="003D49E8"/>
    <w:rsid w:val="003D4AA6"/>
    <w:rsid w:val="003D4B07"/>
    <w:rsid w:val="003D4E26"/>
    <w:rsid w:val="003D50D7"/>
    <w:rsid w:val="003D5267"/>
    <w:rsid w:val="003D54BD"/>
    <w:rsid w:val="003D5503"/>
    <w:rsid w:val="003D55D6"/>
    <w:rsid w:val="003D5676"/>
    <w:rsid w:val="003D576D"/>
    <w:rsid w:val="003D5B50"/>
    <w:rsid w:val="003D5B5E"/>
    <w:rsid w:val="003D5DE5"/>
    <w:rsid w:val="003D5E33"/>
    <w:rsid w:val="003D5E3C"/>
    <w:rsid w:val="003D5F04"/>
    <w:rsid w:val="003D5FB6"/>
    <w:rsid w:val="003D6222"/>
    <w:rsid w:val="003D6268"/>
    <w:rsid w:val="003D62A8"/>
    <w:rsid w:val="003D639D"/>
    <w:rsid w:val="003D642E"/>
    <w:rsid w:val="003D662A"/>
    <w:rsid w:val="003D6757"/>
    <w:rsid w:val="003D67C7"/>
    <w:rsid w:val="003D6981"/>
    <w:rsid w:val="003D69A7"/>
    <w:rsid w:val="003D6AA2"/>
    <w:rsid w:val="003D6C3C"/>
    <w:rsid w:val="003D6E6C"/>
    <w:rsid w:val="003D6F46"/>
    <w:rsid w:val="003D6F7E"/>
    <w:rsid w:val="003D7154"/>
    <w:rsid w:val="003D722F"/>
    <w:rsid w:val="003D73A8"/>
    <w:rsid w:val="003D73DD"/>
    <w:rsid w:val="003D7497"/>
    <w:rsid w:val="003D75E6"/>
    <w:rsid w:val="003D776B"/>
    <w:rsid w:val="003D7A0A"/>
    <w:rsid w:val="003D7A6E"/>
    <w:rsid w:val="003D7A90"/>
    <w:rsid w:val="003D7A91"/>
    <w:rsid w:val="003D7DB7"/>
    <w:rsid w:val="003D7DC6"/>
    <w:rsid w:val="003E01EF"/>
    <w:rsid w:val="003E0552"/>
    <w:rsid w:val="003E05C8"/>
    <w:rsid w:val="003E0819"/>
    <w:rsid w:val="003E0CEC"/>
    <w:rsid w:val="003E0D34"/>
    <w:rsid w:val="003E0F01"/>
    <w:rsid w:val="003E0FD6"/>
    <w:rsid w:val="003E11A4"/>
    <w:rsid w:val="003E1676"/>
    <w:rsid w:val="003E17D4"/>
    <w:rsid w:val="003E1979"/>
    <w:rsid w:val="003E1C04"/>
    <w:rsid w:val="003E1D94"/>
    <w:rsid w:val="003E1E18"/>
    <w:rsid w:val="003E2259"/>
    <w:rsid w:val="003E250A"/>
    <w:rsid w:val="003E27D0"/>
    <w:rsid w:val="003E2819"/>
    <w:rsid w:val="003E2841"/>
    <w:rsid w:val="003E29A3"/>
    <w:rsid w:val="003E2C69"/>
    <w:rsid w:val="003E2ED2"/>
    <w:rsid w:val="003E3058"/>
    <w:rsid w:val="003E3084"/>
    <w:rsid w:val="003E323C"/>
    <w:rsid w:val="003E34C8"/>
    <w:rsid w:val="003E3784"/>
    <w:rsid w:val="003E3AA5"/>
    <w:rsid w:val="003E3BC9"/>
    <w:rsid w:val="003E3D3B"/>
    <w:rsid w:val="003E4000"/>
    <w:rsid w:val="003E4269"/>
    <w:rsid w:val="003E439E"/>
    <w:rsid w:val="003E457E"/>
    <w:rsid w:val="003E4626"/>
    <w:rsid w:val="003E46C0"/>
    <w:rsid w:val="003E495C"/>
    <w:rsid w:val="003E4B3A"/>
    <w:rsid w:val="003E4E9F"/>
    <w:rsid w:val="003E5011"/>
    <w:rsid w:val="003E504B"/>
    <w:rsid w:val="003E522B"/>
    <w:rsid w:val="003E5306"/>
    <w:rsid w:val="003E531C"/>
    <w:rsid w:val="003E54E7"/>
    <w:rsid w:val="003E5A0C"/>
    <w:rsid w:val="003E5ABF"/>
    <w:rsid w:val="003E5B5E"/>
    <w:rsid w:val="003E5FEE"/>
    <w:rsid w:val="003E6205"/>
    <w:rsid w:val="003E6249"/>
    <w:rsid w:val="003E62EE"/>
    <w:rsid w:val="003E6358"/>
    <w:rsid w:val="003E63EE"/>
    <w:rsid w:val="003E644F"/>
    <w:rsid w:val="003E6804"/>
    <w:rsid w:val="003E683D"/>
    <w:rsid w:val="003E6976"/>
    <w:rsid w:val="003E6B9C"/>
    <w:rsid w:val="003E753A"/>
    <w:rsid w:val="003E7976"/>
    <w:rsid w:val="003E7C18"/>
    <w:rsid w:val="003E7C8D"/>
    <w:rsid w:val="003E7F54"/>
    <w:rsid w:val="003F0066"/>
    <w:rsid w:val="003F0098"/>
    <w:rsid w:val="003F00D6"/>
    <w:rsid w:val="003F0125"/>
    <w:rsid w:val="003F01AD"/>
    <w:rsid w:val="003F01E5"/>
    <w:rsid w:val="003F0390"/>
    <w:rsid w:val="003F0883"/>
    <w:rsid w:val="003F08E0"/>
    <w:rsid w:val="003F0A67"/>
    <w:rsid w:val="003F1141"/>
    <w:rsid w:val="003F1281"/>
    <w:rsid w:val="003F1583"/>
    <w:rsid w:val="003F1637"/>
    <w:rsid w:val="003F18C6"/>
    <w:rsid w:val="003F1BF9"/>
    <w:rsid w:val="003F1E59"/>
    <w:rsid w:val="003F1F87"/>
    <w:rsid w:val="003F1FF6"/>
    <w:rsid w:val="003F2076"/>
    <w:rsid w:val="003F20A5"/>
    <w:rsid w:val="003F20B7"/>
    <w:rsid w:val="003F237D"/>
    <w:rsid w:val="003F2567"/>
    <w:rsid w:val="003F2766"/>
    <w:rsid w:val="003F2854"/>
    <w:rsid w:val="003F28BE"/>
    <w:rsid w:val="003F2A8C"/>
    <w:rsid w:val="003F2AF1"/>
    <w:rsid w:val="003F2B9E"/>
    <w:rsid w:val="003F2BD7"/>
    <w:rsid w:val="003F2BFB"/>
    <w:rsid w:val="003F2C56"/>
    <w:rsid w:val="003F2CE3"/>
    <w:rsid w:val="003F2D22"/>
    <w:rsid w:val="003F2F0B"/>
    <w:rsid w:val="003F30B3"/>
    <w:rsid w:val="003F312D"/>
    <w:rsid w:val="003F315E"/>
    <w:rsid w:val="003F329A"/>
    <w:rsid w:val="003F336E"/>
    <w:rsid w:val="003F3768"/>
    <w:rsid w:val="003F3B2D"/>
    <w:rsid w:val="003F3B5A"/>
    <w:rsid w:val="003F3C26"/>
    <w:rsid w:val="003F3D4F"/>
    <w:rsid w:val="003F3DFD"/>
    <w:rsid w:val="003F3F96"/>
    <w:rsid w:val="003F40FE"/>
    <w:rsid w:val="003F4269"/>
    <w:rsid w:val="003F4417"/>
    <w:rsid w:val="003F450B"/>
    <w:rsid w:val="003F4519"/>
    <w:rsid w:val="003F4597"/>
    <w:rsid w:val="003F47EF"/>
    <w:rsid w:val="003F482B"/>
    <w:rsid w:val="003F4A71"/>
    <w:rsid w:val="003F4AE6"/>
    <w:rsid w:val="003F4C9A"/>
    <w:rsid w:val="003F4CA7"/>
    <w:rsid w:val="003F4CD8"/>
    <w:rsid w:val="003F4DED"/>
    <w:rsid w:val="003F4F0B"/>
    <w:rsid w:val="003F5003"/>
    <w:rsid w:val="003F5123"/>
    <w:rsid w:val="003F517E"/>
    <w:rsid w:val="003F5345"/>
    <w:rsid w:val="003F5442"/>
    <w:rsid w:val="003F567E"/>
    <w:rsid w:val="003F5A3D"/>
    <w:rsid w:val="003F5AA7"/>
    <w:rsid w:val="003F5C80"/>
    <w:rsid w:val="003F5E2E"/>
    <w:rsid w:val="003F600A"/>
    <w:rsid w:val="003F60F2"/>
    <w:rsid w:val="003F61CC"/>
    <w:rsid w:val="003F6242"/>
    <w:rsid w:val="003F6254"/>
    <w:rsid w:val="003F625B"/>
    <w:rsid w:val="003F6371"/>
    <w:rsid w:val="003F645A"/>
    <w:rsid w:val="003F6479"/>
    <w:rsid w:val="003F64F4"/>
    <w:rsid w:val="003F65EC"/>
    <w:rsid w:val="003F663B"/>
    <w:rsid w:val="003F66B8"/>
    <w:rsid w:val="003F6931"/>
    <w:rsid w:val="003F6AFE"/>
    <w:rsid w:val="003F6E49"/>
    <w:rsid w:val="003F7029"/>
    <w:rsid w:val="003F711B"/>
    <w:rsid w:val="003F71BC"/>
    <w:rsid w:val="003F72F0"/>
    <w:rsid w:val="003F737E"/>
    <w:rsid w:val="003F7412"/>
    <w:rsid w:val="003F75F7"/>
    <w:rsid w:val="003F776E"/>
    <w:rsid w:val="003F77E4"/>
    <w:rsid w:val="003F78CB"/>
    <w:rsid w:val="003F7970"/>
    <w:rsid w:val="003F79EB"/>
    <w:rsid w:val="003F7D64"/>
    <w:rsid w:val="003F7FA3"/>
    <w:rsid w:val="004000D7"/>
    <w:rsid w:val="00400486"/>
    <w:rsid w:val="00400A46"/>
    <w:rsid w:val="00400CBF"/>
    <w:rsid w:val="00400DBF"/>
    <w:rsid w:val="00400E83"/>
    <w:rsid w:val="00400F5B"/>
    <w:rsid w:val="00400FDD"/>
    <w:rsid w:val="0040117F"/>
    <w:rsid w:val="004011CC"/>
    <w:rsid w:val="004014B5"/>
    <w:rsid w:val="00401537"/>
    <w:rsid w:val="004016B7"/>
    <w:rsid w:val="00401C13"/>
    <w:rsid w:val="00401CB0"/>
    <w:rsid w:val="00401D20"/>
    <w:rsid w:val="00401D5C"/>
    <w:rsid w:val="00401DC9"/>
    <w:rsid w:val="00402178"/>
    <w:rsid w:val="00402212"/>
    <w:rsid w:val="00402239"/>
    <w:rsid w:val="004023CB"/>
    <w:rsid w:val="0040244B"/>
    <w:rsid w:val="00402460"/>
    <w:rsid w:val="0040262D"/>
    <w:rsid w:val="004026E9"/>
    <w:rsid w:val="0040271E"/>
    <w:rsid w:val="0040284C"/>
    <w:rsid w:val="004029FE"/>
    <w:rsid w:val="00402AB8"/>
    <w:rsid w:val="00402B05"/>
    <w:rsid w:val="00402C26"/>
    <w:rsid w:val="00402E5B"/>
    <w:rsid w:val="00402EB0"/>
    <w:rsid w:val="00402F0F"/>
    <w:rsid w:val="004030F8"/>
    <w:rsid w:val="00403110"/>
    <w:rsid w:val="00403223"/>
    <w:rsid w:val="00403457"/>
    <w:rsid w:val="0040366E"/>
    <w:rsid w:val="004037D2"/>
    <w:rsid w:val="0040391B"/>
    <w:rsid w:val="00403A16"/>
    <w:rsid w:val="00403AA5"/>
    <w:rsid w:val="00403B43"/>
    <w:rsid w:val="00403B8D"/>
    <w:rsid w:val="00403CA4"/>
    <w:rsid w:val="00403D1A"/>
    <w:rsid w:val="0040408E"/>
    <w:rsid w:val="004040E3"/>
    <w:rsid w:val="004040E8"/>
    <w:rsid w:val="0040414F"/>
    <w:rsid w:val="0040426F"/>
    <w:rsid w:val="0040428D"/>
    <w:rsid w:val="004043C0"/>
    <w:rsid w:val="004045EE"/>
    <w:rsid w:val="00404622"/>
    <w:rsid w:val="00404784"/>
    <w:rsid w:val="00404A21"/>
    <w:rsid w:val="00404D3A"/>
    <w:rsid w:val="00404D76"/>
    <w:rsid w:val="00404E7D"/>
    <w:rsid w:val="00404EEF"/>
    <w:rsid w:val="00404F1E"/>
    <w:rsid w:val="00404F47"/>
    <w:rsid w:val="00404F69"/>
    <w:rsid w:val="00405006"/>
    <w:rsid w:val="004052B6"/>
    <w:rsid w:val="004052E5"/>
    <w:rsid w:val="004054AE"/>
    <w:rsid w:val="00405513"/>
    <w:rsid w:val="0040576E"/>
    <w:rsid w:val="00405C4D"/>
    <w:rsid w:val="00405CB9"/>
    <w:rsid w:val="00405D01"/>
    <w:rsid w:val="00405DF3"/>
    <w:rsid w:val="00405FE8"/>
    <w:rsid w:val="0040640A"/>
    <w:rsid w:val="004064DB"/>
    <w:rsid w:val="004064E4"/>
    <w:rsid w:val="0040650B"/>
    <w:rsid w:val="004067F8"/>
    <w:rsid w:val="00406A51"/>
    <w:rsid w:val="00406AB9"/>
    <w:rsid w:val="00406B01"/>
    <w:rsid w:val="00406BEB"/>
    <w:rsid w:val="00406DC2"/>
    <w:rsid w:val="00406E17"/>
    <w:rsid w:val="00406EEB"/>
    <w:rsid w:val="00406F71"/>
    <w:rsid w:val="00407175"/>
    <w:rsid w:val="004071D9"/>
    <w:rsid w:val="004072A8"/>
    <w:rsid w:val="0040739B"/>
    <w:rsid w:val="004073DA"/>
    <w:rsid w:val="0040751D"/>
    <w:rsid w:val="0040754E"/>
    <w:rsid w:val="00407638"/>
    <w:rsid w:val="00407EA7"/>
    <w:rsid w:val="004102D6"/>
    <w:rsid w:val="0041045C"/>
    <w:rsid w:val="0041047E"/>
    <w:rsid w:val="004105D7"/>
    <w:rsid w:val="004105EE"/>
    <w:rsid w:val="0041092C"/>
    <w:rsid w:val="00410983"/>
    <w:rsid w:val="00410A55"/>
    <w:rsid w:val="00410B3F"/>
    <w:rsid w:val="00410DE2"/>
    <w:rsid w:val="00410E09"/>
    <w:rsid w:val="00410E64"/>
    <w:rsid w:val="00411097"/>
    <w:rsid w:val="004111F0"/>
    <w:rsid w:val="00411467"/>
    <w:rsid w:val="004115E2"/>
    <w:rsid w:val="00411634"/>
    <w:rsid w:val="004117CD"/>
    <w:rsid w:val="0041196F"/>
    <w:rsid w:val="00411A19"/>
    <w:rsid w:val="00411BC0"/>
    <w:rsid w:val="00411BC2"/>
    <w:rsid w:val="00411C2E"/>
    <w:rsid w:val="00411DB5"/>
    <w:rsid w:val="00411E1A"/>
    <w:rsid w:val="00411F56"/>
    <w:rsid w:val="00412181"/>
    <w:rsid w:val="00412496"/>
    <w:rsid w:val="00412575"/>
    <w:rsid w:val="0041287E"/>
    <w:rsid w:val="004128F2"/>
    <w:rsid w:val="00412AB2"/>
    <w:rsid w:val="00412AE8"/>
    <w:rsid w:val="00412C53"/>
    <w:rsid w:val="00412C86"/>
    <w:rsid w:val="0041324C"/>
    <w:rsid w:val="00413311"/>
    <w:rsid w:val="0041338B"/>
    <w:rsid w:val="004135A5"/>
    <w:rsid w:val="0041362D"/>
    <w:rsid w:val="00413678"/>
    <w:rsid w:val="00413A2A"/>
    <w:rsid w:val="00413D68"/>
    <w:rsid w:val="00413EEF"/>
    <w:rsid w:val="00413F12"/>
    <w:rsid w:val="00413F4E"/>
    <w:rsid w:val="00414237"/>
    <w:rsid w:val="0041424C"/>
    <w:rsid w:val="004143DC"/>
    <w:rsid w:val="00414418"/>
    <w:rsid w:val="004144AC"/>
    <w:rsid w:val="00414507"/>
    <w:rsid w:val="00414584"/>
    <w:rsid w:val="00414655"/>
    <w:rsid w:val="00414872"/>
    <w:rsid w:val="00414A73"/>
    <w:rsid w:val="00414AF0"/>
    <w:rsid w:val="00414C99"/>
    <w:rsid w:val="00414CAB"/>
    <w:rsid w:val="00414DAE"/>
    <w:rsid w:val="00414EAA"/>
    <w:rsid w:val="00414EDD"/>
    <w:rsid w:val="004156F9"/>
    <w:rsid w:val="004159B0"/>
    <w:rsid w:val="00415A28"/>
    <w:rsid w:val="00415AD5"/>
    <w:rsid w:val="00415B0A"/>
    <w:rsid w:val="00415C77"/>
    <w:rsid w:val="00415F66"/>
    <w:rsid w:val="00416222"/>
    <w:rsid w:val="004163D0"/>
    <w:rsid w:val="00416495"/>
    <w:rsid w:val="00416522"/>
    <w:rsid w:val="00416561"/>
    <w:rsid w:val="00416667"/>
    <w:rsid w:val="004166DB"/>
    <w:rsid w:val="00416798"/>
    <w:rsid w:val="004168A9"/>
    <w:rsid w:val="00416E4C"/>
    <w:rsid w:val="00416F4B"/>
    <w:rsid w:val="00416F97"/>
    <w:rsid w:val="00416FFB"/>
    <w:rsid w:val="00417018"/>
    <w:rsid w:val="00417266"/>
    <w:rsid w:val="0041731A"/>
    <w:rsid w:val="00417386"/>
    <w:rsid w:val="004173C9"/>
    <w:rsid w:val="004176AC"/>
    <w:rsid w:val="004176B3"/>
    <w:rsid w:val="004176C8"/>
    <w:rsid w:val="004179FA"/>
    <w:rsid w:val="00417B89"/>
    <w:rsid w:val="00417B91"/>
    <w:rsid w:val="00417BDE"/>
    <w:rsid w:val="00417C22"/>
    <w:rsid w:val="00417D2E"/>
    <w:rsid w:val="00417D4A"/>
    <w:rsid w:val="00417D68"/>
    <w:rsid w:val="00417F35"/>
    <w:rsid w:val="00417FA6"/>
    <w:rsid w:val="004201B6"/>
    <w:rsid w:val="004201E1"/>
    <w:rsid w:val="00420241"/>
    <w:rsid w:val="004202B2"/>
    <w:rsid w:val="00420A7F"/>
    <w:rsid w:val="00420ADF"/>
    <w:rsid w:val="00420C30"/>
    <w:rsid w:val="00420CF6"/>
    <w:rsid w:val="00420E22"/>
    <w:rsid w:val="00420E4D"/>
    <w:rsid w:val="0042141F"/>
    <w:rsid w:val="0042157E"/>
    <w:rsid w:val="0042164B"/>
    <w:rsid w:val="00421BA4"/>
    <w:rsid w:val="00421DD2"/>
    <w:rsid w:val="00421E43"/>
    <w:rsid w:val="00421EE4"/>
    <w:rsid w:val="00421FCC"/>
    <w:rsid w:val="00421FD5"/>
    <w:rsid w:val="00421FF7"/>
    <w:rsid w:val="00422222"/>
    <w:rsid w:val="0042228B"/>
    <w:rsid w:val="00422319"/>
    <w:rsid w:val="004224A0"/>
    <w:rsid w:val="0042262B"/>
    <w:rsid w:val="00422673"/>
    <w:rsid w:val="0042297D"/>
    <w:rsid w:val="00422A2E"/>
    <w:rsid w:val="00422A60"/>
    <w:rsid w:val="00422A91"/>
    <w:rsid w:val="00422B25"/>
    <w:rsid w:val="00422D13"/>
    <w:rsid w:val="00422D40"/>
    <w:rsid w:val="004231AC"/>
    <w:rsid w:val="004231BA"/>
    <w:rsid w:val="004232C3"/>
    <w:rsid w:val="004232F9"/>
    <w:rsid w:val="004234B3"/>
    <w:rsid w:val="004234F6"/>
    <w:rsid w:val="0042355A"/>
    <w:rsid w:val="0042373F"/>
    <w:rsid w:val="004237EA"/>
    <w:rsid w:val="00423807"/>
    <w:rsid w:val="004238EF"/>
    <w:rsid w:val="0042395C"/>
    <w:rsid w:val="00423F69"/>
    <w:rsid w:val="00424187"/>
    <w:rsid w:val="004241CE"/>
    <w:rsid w:val="004245ED"/>
    <w:rsid w:val="0042460B"/>
    <w:rsid w:val="0042475B"/>
    <w:rsid w:val="004247CD"/>
    <w:rsid w:val="0042484F"/>
    <w:rsid w:val="004248E1"/>
    <w:rsid w:val="00424A80"/>
    <w:rsid w:val="00424BCB"/>
    <w:rsid w:val="00424FB7"/>
    <w:rsid w:val="004250C4"/>
    <w:rsid w:val="004253C8"/>
    <w:rsid w:val="00425420"/>
    <w:rsid w:val="0042552A"/>
    <w:rsid w:val="00425537"/>
    <w:rsid w:val="00425575"/>
    <w:rsid w:val="0042557E"/>
    <w:rsid w:val="004255D5"/>
    <w:rsid w:val="0042565E"/>
    <w:rsid w:val="0042570B"/>
    <w:rsid w:val="00425792"/>
    <w:rsid w:val="0042593B"/>
    <w:rsid w:val="0042597C"/>
    <w:rsid w:val="004259BB"/>
    <w:rsid w:val="00425B63"/>
    <w:rsid w:val="00425B6B"/>
    <w:rsid w:val="00425C8B"/>
    <w:rsid w:val="00425FB6"/>
    <w:rsid w:val="0042605E"/>
    <w:rsid w:val="004261EC"/>
    <w:rsid w:val="00426249"/>
    <w:rsid w:val="004265E6"/>
    <w:rsid w:val="00426802"/>
    <w:rsid w:val="00426967"/>
    <w:rsid w:val="004269E9"/>
    <w:rsid w:val="00426D0C"/>
    <w:rsid w:val="00426D50"/>
    <w:rsid w:val="00426DFA"/>
    <w:rsid w:val="004273AE"/>
    <w:rsid w:val="004278AB"/>
    <w:rsid w:val="00427A6A"/>
    <w:rsid w:val="00427CAB"/>
    <w:rsid w:val="00427D18"/>
    <w:rsid w:val="00427F63"/>
    <w:rsid w:val="00427F8E"/>
    <w:rsid w:val="0043001B"/>
    <w:rsid w:val="004300A8"/>
    <w:rsid w:val="0043010D"/>
    <w:rsid w:val="00430116"/>
    <w:rsid w:val="00430133"/>
    <w:rsid w:val="00430270"/>
    <w:rsid w:val="00430372"/>
    <w:rsid w:val="00430484"/>
    <w:rsid w:val="0043055E"/>
    <w:rsid w:val="004306AC"/>
    <w:rsid w:val="004308F0"/>
    <w:rsid w:val="004309CD"/>
    <w:rsid w:val="00430B12"/>
    <w:rsid w:val="00430C15"/>
    <w:rsid w:val="00430D88"/>
    <w:rsid w:val="00430EC2"/>
    <w:rsid w:val="00430F91"/>
    <w:rsid w:val="004310F2"/>
    <w:rsid w:val="004311F4"/>
    <w:rsid w:val="0043132A"/>
    <w:rsid w:val="004314DE"/>
    <w:rsid w:val="004316A6"/>
    <w:rsid w:val="004319CA"/>
    <w:rsid w:val="00431A27"/>
    <w:rsid w:val="00431A8C"/>
    <w:rsid w:val="00431BF4"/>
    <w:rsid w:val="00431D9A"/>
    <w:rsid w:val="00431E8F"/>
    <w:rsid w:val="004323B5"/>
    <w:rsid w:val="004324FC"/>
    <w:rsid w:val="00432519"/>
    <w:rsid w:val="00432A32"/>
    <w:rsid w:val="00432C05"/>
    <w:rsid w:val="00432E47"/>
    <w:rsid w:val="00432FC8"/>
    <w:rsid w:val="00432FF5"/>
    <w:rsid w:val="00433227"/>
    <w:rsid w:val="004333B6"/>
    <w:rsid w:val="004334D6"/>
    <w:rsid w:val="00433639"/>
    <w:rsid w:val="0043366C"/>
    <w:rsid w:val="004337F0"/>
    <w:rsid w:val="00433865"/>
    <w:rsid w:val="00433A3D"/>
    <w:rsid w:val="00433A70"/>
    <w:rsid w:val="00433B22"/>
    <w:rsid w:val="00433B6A"/>
    <w:rsid w:val="00433B7E"/>
    <w:rsid w:val="00433BE7"/>
    <w:rsid w:val="00433EAD"/>
    <w:rsid w:val="004340C5"/>
    <w:rsid w:val="00434155"/>
    <w:rsid w:val="00434326"/>
    <w:rsid w:val="0043443D"/>
    <w:rsid w:val="00434694"/>
    <w:rsid w:val="00434982"/>
    <w:rsid w:val="00434A80"/>
    <w:rsid w:val="00434AB0"/>
    <w:rsid w:val="00434D8C"/>
    <w:rsid w:val="00434E03"/>
    <w:rsid w:val="00434E8E"/>
    <w:rsid w:val="004352D4"/>
    <w:rsid w:val="00435335"/>
    <w:rsid w:val="004354AF"/>
    <w:rsid w:val="004354FF"/>
    <w:rsid w:val="004357F8"/>
    <w:rsid w:val="0043585A"/>
    <w:rsid w:val="004359B5"/>
    <w:rsid w:val="004359B9"/>
    <w:rsid w:val="00435DC3"/>
    <w:rsid w:val="00435E0F"/>
    <w:rsid w:val="00435F09"/>
    <w:rsid w:val="0043604B"/>
    <w:rsid w:val="004361A8"/>
    <w:rsid w:val="00436363"/>
    <w:rsid w:val="00436367"/>
    <w:rsid w:val="0043637A"/>
    <w:rsid w:val="00436659"/>
    <w:rsid w:val="0043685F"/>
    <w:rsid w:val="00436979"/>
    <w:rsid w:val="00436C24"/>
    <w:rsid w:val="00436E37"/>
    <w:rsid w:val="00436FFC"/>
    <w:rsid w:val="00437145"/>
    <w:rsid w:val="004371BB"/>
    <w:rsid w:val="00437465"/>
    <w:rsid w:val="00437A70"/>
    <w:rsid w:val="00437A72"/>
    <w:rsid w:val="00437BD8"/>
    <w:rsid w:val="00437C85"/>
    <w:rsid w:val="00437CEC"/>
    <w:rsid w:val="0044015B"/>
    <w:rsid w:val="0044063F"/>
    <w:rsid w:val="0044077F"/>
    <w:rsid w:val="004407DA"/>
    <w:rsid w:val="00440908"/>
    <w:rsid w:val="004409C5"/>
    <w:rsid w:val="00440A7F"/>
    <w:rsid w:val="00440B59"/>
    <w:rsid w:val="00440D5B"/>
    <w:rsid w:val="00440F05"/>
    <w:rsid w:val="00440F58"/>
    <w:rsid w:val="00440FB0"/>
    <w:rsid w:val="0044115D"/>
    <w:rsid w:val="004411C1"/>
    <w:rsid w:val="004411E3"/>
    <w:rsid w:val="004412CD"/>
    <w:rsid w:val="00441657"/>
    <w:rsid w:val="004417C7"/>
    <w:rsid w:val="004417D3"/>
    <w:rsid w:val="004418F2"/>
    <w:rsid w:val="00441909"/>
    <w:rsid w:val="0044196C"/>
    <w:rsid w:val="00441A99"/>
    <w:rsid w:val="00441ACA"/>
    <w:rsid w:val="00441ADE"/>
    <w:rsid w:val="00441B39"/>
    <w:rsid w:val="00441B67"/>
    <w:rsid w:val="00441D0B"/>
    <w:rsid w:val="00441D2B"/>
    <w:rsid w:val="00441E99"/>
    <w:rsid w:val="00441FAF"/>
    <w:rsid w:val="00442030"/>
    <w:rsid w:val="00442046"/>
    <w:rsid w:val="00442129"/>
    <w:rsid w:val="0044227D"/>
    <w:rsid w:val="004425D8"/>
    <w:rsid w:val="004427FE"/>
    <w:rsid w:val="004428DB"/>
    <w:rsid w:val="00442AC5"/>
    <w:rsid w:val="00442B6A"/>
    <w:rsid w:val="00442C24"/>
    <w:rsid w:val="00442E50"/>
    <w:rsid w:val="004430FC"/>
    <w:rsid w:val="004431EB"/>
    <w:rsid w:val="00443491"/>
    <w:rsid w:val="004436A2"/>
    <w:rsid w:val="00443CF7"/>
    <w:rsid w:val="004440BC"/>
    <w:rsid w:val="00444431"/>
    <w:rsid w:val="0044453C"/>
    <w:rsid w:val="0044461D"/>
    <w:rsid w:val="004446F6"/>
    <w:rsid w:val="00444712"/>
    <w:rsid w:val="0044483D"/>
    <w:rsid w:val="004448CE"/>
    <w:rsid w:val="00444DBA"/>
    <w:rsid w:val="00444ED5"/>
    <w:rsid w:val="00444F97"/>
    <w:rsid w:val="004450FF"/>
    <w:rsid w:val="004451DA"/>
    <w:rsid w:val="004451DF"/>
    <w:rsid w:val="00445372"/>
    <w:rsid w:val="004453D8"/>
    <w:rsid w:val="00445438"/>
    <w:rsid w:val="00445593"/>
    <w:rsid w:val="0044595D"/>
    <w:rsid w:val="004459B2"/>
    <w:rsid w:val="00445DD0"/>
    <w:rsid w:val="004460B2"/>
    <w:rsid w:val="0044639E"/>
    <w:rsid w:val="00446651"/>
    <w:rsid w:val="004466AF"/>
    <w:rsid w:val="004466FD"/>
    <w:rsid w:val="004467CE"/>
    <w:rsid w:val="004467D0"/>
    <w:rsid w:val="004467DA"/>
    <w:rsid w:val="0044681E"/>
    <w:rsid w:val="00446846"/>
    <w:rsid w:val="004468F6"/>
    <w:rsid w:val="00446BA6"/>
    <w:rsid w:val="00446CB3"/>
    <w:rsid w:val="00446D7F"/>
    <w:rsid w:val="00446D85"/>
    <w:rsid w:val="00447363"/>
    <w:rsid w:val="00447557"/>
    <w:rsid w:val="0044757D"/>
    <w:rsid w:val="004477A1"/>
    <w:rsid w:val="0044794C"/>
    <w:rsid w:val="00447D96"/>
    <w:rsid w:val="00447F3F"/>
    <w:rsid w:val="00450022"/>
    <w:rsid w:val="00450054"/>
    <w:rsid w:val="004500C9"/>
    <w:rsid w:val="00450193"/>
    <w:rsid w:val="004501D0"/>
    <w:rsid w:val="0045022A"/>
    <w:rsid w:val="0045043D"/>
    <w:rsid w:val="004504DF"/>
    <w:rsid w:val="00450575"/>
    <w:rsid w:val="00450578"/>
    <w:rsid w:val="00450936"/>
    <w:rsid w:val="00450AF0"/>
    <w:rsid w:val="00450B72"/>
    <w:rsid w:val="00450DBC"/>
    <w:rsid w:val="00450FA9"/>
    <w:rsid w:val="00450FC8"/>
    <w:rsid w:val="00451266"/>
    <w:rsid w:val="00451321"/>
    <w:rsid w:val="004514B8"/>
    <w:rsid w:val="004515B9"/>
    <w:rsid w:val="0045175F"/>
    <w:rsid w:val="00451A5D"/>
    <w:rsid w:val="00451AF3"/>
    <w:rsid w:val="00451D21"/>
    <w:rsid w:val="00451E59"/>
    <w:rsid w:val="00451F53"/>
    <w:rsid w:val="004520E3"/>
    <w:rsid w:val="0045245A"/>
    <w:rsid w:val="0045292E"/>
    <w:rsid w:val="0045293E"/>
    <w:rsid w:val="004529CF"/>
    <w:rsid w:val="004529DE"/>
    <w:rsid w:val="00452AC8"/>
    <w:rsid w:val="00452AE9"/>
    <w:rsid w:val="00452B4A"/>
    <w:rsid w:val="00452C6F"/>
    <w:rsid w:val="00452DF7"/>
    <w:rsid w:val="00452EA5"/>
    <w:rsid w:val="00452EAE"/>
    <w:rsid w:val="00453055"/>
    <w:rsid w:val="00453080"/>
    <w:rsid w:val="004530B8"/>
    <w:rsid w:val="0045312D"/>
    <w:rsid w:val="00453176"/>
    <w:rsid w:val="00453181"/>
    <w:rsid w:val="004531D3"/>
    <w:rsid w:val="0045328A"/>
    <w:rsid w:val="00453363"/>
    <w:rsid w:val="00453611"/>
    <w:rsid w:val="004536D4"/>
    <w:rsid w:val="00453B06"/>
    <w:rsid w:val="00453BAF"/>
    <w:rsid w:val="00453CC9"/>
    <w:rsid w:val="00453FCD"/>
    <w:rsid w:val="00454089"/>
    <w:rsid w:val="00454121"/>
    <w:rsid w:val="00454334"/>
    <w:rsid w:val="004543FF"/>
    <w:rsid w:val="00454520"/>
    <w:rsid w:val="004545E9"/>
    <w:rsid w:val="00454662"/>
    <w:rsid w:val="00454721"/>
    <w:rsid w:val="00454834"/>
    <w:rsid w:val="0045493E"/>
    <w:rsid w:val="0045497F"/>
    <w:rsid w:val="00454A9C"/>
    <w:rsid w:val="00454BB3"/>
    <w:rsid w:val="00454FBF"/>
    <w:rsid w:val="004550F3"/>
    <w:rsid w:val="0045527E"/>
    <w:rsid w:val="0045554D"/>
    <w:rsid w:val="00455557"/>
    <w:rsid w:val="004557B1"/>
    <w:rsid w:val="00455882"/>
    <w:rsid w:val="004559BE"/>
    <w:rsid w:val="004559CE"/>
    <w:rsid w:val="00455B04"/>
    <w:rsid w:val="00455CC6"/>
    <w:rsid w:val="00455D54"/>
    <w:rsid w:val="00455D99"/>
    <w:rsid w:val="00455F38"/>
    <w:rsid w:val="00456327"/>
    <w:rsid w:val="00456549"/>
    <w:rsid w:val="00456D3D"/>
    <w:rsid w:val="00456F31"/>
    <w:rsid w:val="00456F8C"/>
    <w:rsid w:val="00456FF6"/>
    <w:rsid w:val="00457044"/>
    <w:rsid w:val="0045708E"/>
    <w:rsid w:val="0045712C"/>
    <w:rsid w:val="00457195"/>
    <w:rsid w:val="004571C5"/>
    <w:rsid w:val="004572DD"/>
    <w:rsid w:val="0045776C"/>
    <w:rsid w:val="0045785F"/>
    <w:rsid w:val="00457922"/>
    <w:rsid w:val="004601C9"/>
    <w:rsid w:val="004603DE"/>
    <w:rsid w:val="0046045D"/>
    <w:rsid w:val="004605B9"/>
    <w:rsid w:val="0046073E"/>
    <w:rsid w:val="00460777"/>
    <w:rsid w:val="004609FF"/>
    <w:rsid w:val="00460A85"/>
    <w:rsid w:val="00460A8B"/>
    <w:rsid w:val="00460CC7"/>
    <w:rsid w:val="00460DFF"/>
    <w:rsid w:val="00460E9F"/>
    <w:rsid w:val="00460FD3"/>
    <w:rsid w:val="0046120C"/>
    <w:rsid w:val="0046127D"/>
    <w:rsid w:val="004613D1"/>
    <w:rsid w:val="00461AFA"/>
    <w:rsid w:val="00461C1D"/>
    <w:rsid w:val="00461C7A"/>
    <w:rsid w:val="00461CFF"/>
    <w:rsid w:val="00461E10"/>
    <w:rsid w:val="004622DA"/>
    <w:rsid w:val="0046259F"/>
    <w:rsid w:val="004625A4"/>
    <w:rsid w:val="004625FF"/>
    <w:rsid w:val="00462782"/>
    <w:rsid w:val="00462796"/>
    <w:rsid w:val="00462843"/>
    <w:rsid w:val="00462B02"/>
    <w:rsid w:val="00462C3D"/>
    <w:rsid w:val="00462C97"/>
    <w:rsid w:val="00462CC9"/>
    <w:rsid w:val="00462CFB"/>
    <w:rsid w:val="00462DB3"/>
    <w:rsid w:val="00462DC4"/>
    <w:rsid w:val="00462E22"/>
    <w:rsid w:val="00463344"/>
    <w:rsid w:val="00463376"/>
    <w:rsid w:val="004636F4"/>
    <w:rsid w:val="00463810"/>
    <w:rsid w:val="00463957"/>
    <w:rsid w:val="00463A13"/>
    <w:rsid w:val="00463BC4"/>
    <w:rsid w:val="00463D1D"/>
    <w:rsid w:val="00463DAA"/>
    <w:rsid w:val="00463E4C"/>
    <w:rsid w:val="00464195"/>
    <w:rsid w:val="004642AC"/>
    <w:rsid w:val="00464309"/>
    <w:rsid w:val="0046434A"/>
    <w:rsid w:val="0046435E"/>
    <w:rsid w:val="004646D3"/>
    <w:rsid w:val="004647A5"/>
    <w:rsid w:val="00464C41"/>
    <w:rsid w:val="00464EE5"/>
    <w:rsid w:val="00465054"/>
    <w:rsid w:val="004651B7"/>
    <w:rsid w:val="0046547A"/>
    <w:rsid w:val="004654C2"/>
    <w:rsid w:val="004657CD"/>
    <w:rsid w:val="0046585D"/>
    <w:rsid w:val="0046588D"/>
    <w:rsid w:val="00465902"/>
    <w:rsid w:val="004659F4"/>
    <w:rsid w:val="00465A88"/>
    <w:rsid w:val="00465F6B"/>
    <w:rsid w:val="004660D4"/>
    <w:rsid w:val="00466132"/>
    <w:rsid w:val="00466193"/>
    <w:rsid w:val="0046631D"/>
    <w:rsid w:val="004664D1"/>
    <w:rsid w:val="004667CC"/>
    <w:rsid w:val="00466996"/>
    <w:rsid w:val="00466A0D"/>
    <w:rsid w:val="00466E47"/>
    <w:rsid w:val="00466EF7"/>
    <w:rsid w:val="0046724E"/>
    <w:rsid w:val="00467360"/>
    <w:rsid w:val="004674F6"/>
    <w:rsid w:val="0046753F"/>
    <w:rsid w:val="004677A0"/>
    <w:rsid w:val="00467B47"/>
    <w:rsid w:val="00467DE6"/>
    <w:rsid w:val="00467E41"/>
    <w:rsid w:val="00467E82"/>
    <w:rsid w:val="00467EDD"/>
    <w:rsid w:val="00467FF7"/>
    <w:rsid w:val="004700C0"/>
    <w:rsid w:val="00470132"/>
    <w:rsid w:val="004704C3"/>
    <w:rsid w:val="004705E0"/>
    <w:rsid w:val="004706B4"/>
    <w:rsid w:val="004707A8"/>
    <w:rsid w:val="00470849"/>
    <w:rsid w:val="00470B91"/>
    <w:rsid w:val="00470D53"/>
    <w:rsid w:val="00470D9E"/>
    <w:rsid w:val="00470EDA"/>
    <w:rsid w:val="0047164C"/>
    <w:rsid w:val="0047168D"/>
    <w:rsid w:val="00471AC5"/>
    <w:rsid w:val="00471B31"/>
    <w:rsid w:val="00471C78"/>
    <w:rsid w:val="00471C7C"/>
    <w:rsid w:val="00471D54"/>
    <w:rsid w:val="00471F3B"/>
    <w:rsid w:val="004720D9"/>
    <w:rsid w:val="00472114"/>
    <w:rsid w:val="0047229C"/>
    <w:rsid w:val="004722C5"/>
    <w:rsid w:val="004724AC"/>
    <w:rsid w:val="004724B6"/>
    <w:rsid w:val="0047258B"/>
    <w:rsid w:val="004727A7"/>
    <w:rsid w:val="00472825"/>
    <w:rsid w:val="00472898"/>
    <w:rsid w:val="004728C3"/>
    <w:rsid w:val="00472A97"/>
    <w:rsid w:val="00472A9E"/>
    <w:rsid w:val="00472B16"/>
    <w:rsid w:val="00472D97"/>
    <w:rsid w:val="00472DD2"/>
    <w:rsid w:val="00472E3B"/>
    <w:rsid w:val="00472F77"/>
    <w:rsid w:val="004735BB"/>
    <w:rsid w:val="004735DF"/>
    <w:rsid w:val="0047362A"/>
    <w:rsid w:val="00473840"/>
    <w:rsid w:val="00473880"/>
    <w:rsid w:val="00473A2F"/>
    <w:rsid w:val="00473C61"/>
    <w:rsid w:val="00473DC9"/>
    <w:rsid w:val="00473DE7"/>
    <w:rsid w:val="00473F94"/>
    <w:rsid w:val="00473FD9"/>
    <w:rsid w:val="00473FF5"/>
    <w:rsid w:val="0047420C"/>
    <w:rsid w:val="0047427B"/>
    <w:rsid w:val="0047443F"/>
    <w:rsid w:val="0047463C"/>
    <w:rsid w:val="0047463D"/>
    <w:rsid w:val="0047476A"/>
    <w:rsid w:val="0047485E"/>
    <w:rsid w:val="00474AC6"/>
    <w:rsid w:val="00474E80"/>
    <w:rsid w:val="00474F45"/>
    <w:rsid w:val="00475056"/>
    <w:rsid w:val="004750FA"/>
    <w:rsid w:val="00475280"/>
    <w:rsid w:val="00475338"/>
    <w:rsid w:val="004753EC"/>
    <w:rsid w:val="004754CC"/>
    <w:rsid w:val="004758F0"/>
    <w:rsid w:val="0047592C"/>
    <w:rsid w:val="0047598D"/>
    <w:rsid w:val="004759A7"/>
    <w:rsid w:val="00475B1F"/>
    <w:rsid w:val="00475B2A"/>
    <w:rsid w:val="00475C27"/>
    <w:rsid w:val="00475C35"/>
    <w:rsid w:val="00475D22"/>
    <w:rsid w:val="00475DA8"/>
    <w:rsid w:val="004760B0"/>
    <w:rsid w:val="00476117"/>
    <w:rsid w:val="0047619A"/>
    <w:rsid w:val="00476262"/>
    <w:rsid w:val="0047646D"/>
    <w:rsid w:val="00476582"/>
    <w:rsid w:val="00476674"/>
    <w:rsid w:val="00476726"/>
    <w:rsid w:val="0047690A"/>
    <w:rsid w:val="00476A8D"/>
    <w:rsid w:val="00476A98"/>
    <w:rsid w:val="00476AA2"/>
    <w:rsid w:val="00476CB2"/>
    <w:rsid w:val="00477170"/>
    <w:rsid w:val="004771A7"/>
    <w:rsid w:val="004771DF"/>
    <w:rsid w:val="0047722E"/>
    <w:rsid w:val="0047723A"/>
    <w:rsid w:val="00477883"/>
    <w:rsid w:val="00477D55"/>
    <w:rsid w:val="00477DB4"/>
    <w:rsid w:val="00477E0F"/>
    <w:rsid w:val="00477FDA"/>
    <w:rsid w:val="00480005"/>
    <w:rsid w:val="00480299"/>
    <w:rsid w:val="0048050D"/>
    <w:rsid w:val="00480AA0"/>
    <w:rsid w:val="00480C1A"/>
    <w:rsid w:val="00480C8E"/>
    <w:rsid w:val="00480D9B"/>
    <w:rsid w:val="0048114F"/>
    <w:rsid w:val="00481231"/>
    <w:rsid w:val="0048129F"/>
    <w:rsid w:val="004813F8"/>
    <w:rsid w:val="00481411"/>
    <w:rsid w:val="00481445"/>
    <w:rsid w:val="00481710"/>
    <w:rsid w:val="004817DE"/>
    <w:rsid w:val="004819E8"/>
    <w:rsid w:val="004819F1"/>
    <w:rsid w:val="00481A45"/>
    <w:rsid w:val="0048208B"/>
    <w:rsid w:val="0048208E"/>
    <w:rsid w:val="00482104"/>
    <w:rsid w:val="0048224D"/>
    <w:rsid w:val="00482313"/>
    <w:rsid w:val="004824E7"/>
    <w:rsid w:val="00482521"/>
    <w:rsid w:val="00482604"/>
    <w:rsid w:val="00482657"/>
    <w:rsid w:val="004827DE"/>
    <w:rsid w:val="0048298E"/>
    <w:rsid w:val="00482AB0"/>
    <w:rsid w:val="00482AFB"/>
    <w:rsid w:val="00482B17"/>
    <w:rsid w:val="00482B8D"/>
    <w:rsid w:val="00482C5A"/>
    <w:rsid w:val="00482CA2"/>
    <w:rsid w:val="00482DA3"/>
    <w:rsid w:val="00482F34"/>
    <w:rsid w:val="00482FEE"/>
    <w:rsid w:val="0048303D"/>
    <w:rsid w:val="0048308B"/>
    <w:rsid w:val="004830C2"/>
    <w:rsid w:val="00483208"/>
    <w:rsid w:val="00483549"/>
    <w:rsid w:val="004835C2"/>
    <w:rsid w:val="00483631"/>
    <w:rsid w:val="0048364F"/>
    <w:rsid w:val="00483678"/>
    <w:rsid w:val="0048383F"/>
    <w:rsid w:val="004838DB"/>
    <w:rsid w:val="0048392E"/>
    <w:rsid w:val="004839EE"/>
    <w:rsid w:val="00483DE5"/>
    <w:rsid w:val="00483E9B"/>
    <w:rsid w:val="00483F4B"/>
    <w:rsid w:val="004840F0"/>
    <w:rsid w:val="0048414E"/>
    <w:rsid w:val="004842ED"/>
    <w:rsid w:val="00484379"/>
    <w:rsid w:val="0048449A"/>
    <w:rsid w:val="004844A4"/>
    <w:rsid w:val="004845E7"/>
    <w:rsid w:val="0048463B"/>
    <w:rsid w:val="00484673"/>
    <w:rsid w:val="00484718"/>
    <w:rsid w:val="00484761"/>
    <w:rsid w:val="0048498A"/>
    <w:rsid w:val="00484A6F"/>
    <w:rsid w:val="00484C41"/>
    <w:rsid w:val="00484CBF"/>
    <w:rsid w:val="00484E31"/>
    <w:rsid w:val="00484FD9"/>
    <w:rsid w:val="00484FE5"/>
    <w:rsid w:val="004853F5"/>
    <w:rsid w:val="004855DE"/>
    <w:rsid w:val="00485778"/>
    <w:rsid w:val="004859EC"/>
    <w:rsid w:val="004859FA"/>
    <w:rsid w:val="00485B58"/>
    <w:rsid w:val="00485BB9"/>
    <w:rsid w:val="00485BEF"/>
    <w:rsid w:val="00485E00"/>
    <w:rsid w:val="0048605A"/>
    <w:rsid w:val="0048633F"/>
    <w:rsid w:val="004864A9"/>
    <w:rsid w:val="004864DE"/>
    <w:rsid w:val="004864EF"/>
    <w:rsid w:val="004865E7"/>
    <w:rsid w:val="00486665"/>
    <w:rsid w:val="00486694"/>
    <w:rsid w:val="0048681D"/>
    <w:rsid w:val="004869FF"/>
    <w:rsid w:val="00486A6E"/>
    <w:rsid w:val="00486B79"/>
    <w:rsid w:val="00486BB1"/>
    <w:rsid w:val="00486C24"/>
    <w:rsid w:val="00486CA5"/>
    <w:rsid w:val="00486FBE"/>
    <w:rsid w:val="0048742F"/>
    <w:rsid w:val="00487453"/>
    <w:rsid w:val="004875EF"/>
    <w:rsid w:val="0048762F"/>
    <w:rsid w:val="004876F7"/>
    <w:rsid w:val="004878B6"/>
    <w:rsid w:val="00487904"/>
    <w:rsid w:val="00487B75"/>
    <w:rsid w:val="00487DD2"/>
    <w:rsid w:val="00487EE7"/>
    <w:rsid w:val="004903D4"/>
    <w:rsid w:val="00490465"/>
    <w:rsid w:val="00490496"/>
    <w:rsid w:val="0049080C"/>
    <w:rsid w:val="00490B36"/>
    <w:rsid w:val="00490B69"/>
    <w:rsid w:val="00490C6D"/>
    <w:rsid w:val="00490D1E"/>
    <w:rsid w:val="00490FF0"/>
    <w:rsid w:val="00491001"/>
    <w:rsid w:val="004912E3"/>
    <w:rsid w:val="00491C1B"/>
    <w:rsid w:val="00491D36"/>
    <w:rsid w:val="00491D96"/>
    <w:rsid w:val="00491E99"/>
    <w:rsid w:val="00491EAD"/>
    <w:rsid w:val="00492146"/>
    <w:rsid w:val="0049292E"/>
    <w:rsid w:val="00492A97"/>
    <w:rsid w:val="00492B73"/>
    <w:rsid w:val="00492C72"/>
    <w:rsid w:val="00492CDF"/>
    <w:rsid w:val="00492DFB"/>
    <w:rsid w:val="004932F5"/>
    <w:rsid w:val="004935FF"/>
    <w:rsid w:val="00493616"/>
    <w:rsid w:val="00493693"/>
    <w:rsid w:val="004938F5"/>
    <w:rsid w:val="0049398B"/>
    <w:rsid w:val="00493A97"/>
    <w:rsid w:val="00493BA8"/>
    <w:rsid w:val="00493C5C"/>
    <w:rsid w:val="00493EAE"/>
    <w:rsid w:val="00493FA0"/>
    <w:rsid w:val="00494030"/>
    <w:rsid w:val="004941BB"/>
    <w:rsid w:val="004943AD"/>
    <w:rsid w:val="00494CAC"/>
    <w:rsid w:val="00494E19"/>
    <w:rsid w:val="00495006"/>
    <w:rsid w:val="004950B8"/>
    <w:rsid w:val="004950FA"/>
    <w:rsid w:val="004956AE"/>
    <w:rsid w:val="00495710"/>
    <w:rsid w:val="0049582D"/>
    <w:rsid w:val="00495894"/>
    <w:rsid w:val="00495B53"/>
    <w:rsid w:val="00495C9A"/>
    <w:rsid w:val="00495CC3"/>
    <w:rsid w:val="00495D38"/>
    <w:rsid w:val="00496097"/>
    <w:rsid w:val="00496175"/>
    <w:rsid w:val="00496401"/>
    <w:rsid w:val="004965F7"/>
    <w:rsid w:val="004965FC"/>
    <w:rsid w:val="00496617"/>
    <w:rsid w:val="0049663E"/>
    <w:rsid w:val="004968C0"/>
    <w:rsid w:val="00496B49"/>
    <w:rsid w:val="00496C20"/>
    <w:rsid w:val="00496C58"/>
    <w:rsid w:val="00496C91"/>
    <w:rsid w:val="00496FA0"/>
    <w:rsid w:val="004970B5"/>
    <w:rsid w:val="004971D6"/>
    <w:rsid w:val="00497270"/>
    <w:rsid w:val="004972DB"/>
    <w:rsid w:val="004973A1"/>
    <w:rsid w:val="004973A3"/>
    <w:rsid w:val="004973BF"/>
    <w:rsid w:val="00497557"/>
    <w:rsid w:val="004978C9"/>
    <w:rsid w:val="004979F9"/>
    <w:rsid w:val="00497DCE"/>
    <w:rsid w:val="004A004F"/>
    <w:rsid w:val="004A0323"/>
    <w:rsid w:val="004A03AA"/>
    <w:rsid w:val="004A03C2"/>
    <w:rsid w:val="004A06B7"/>
    <w:rsid w:val="004A0737"/>
    <w:rsid w:val="004A07D9"/>
    <w:rsid w:val="004A098D"/>
    <w:rsid w:val="004A0A9E"/>
    <w:rsid w:val="004A0BCD"/>
    <w:rsid w:val="004A0DBD"/>
    <w:rsid w:val="004A0F1A"/>
    <w:rsid w:val="004A1056"/>
    <w:rsid w:val="004A1288"/>
    <w:rsid w:val="004A16DF"/>
    <w:rsid w:val="004A179A"/>
    <w:rsid w:val="004A17A6"/>
    <w:rsid w:val="004A1802"/>
    <w:rsid w:val="004A1839"/>
    <w:rsid w:val="004A18AA"/>
    <w:rsid w:val="004A1933"/>
    <w:rsid w:val="004A2046"/>
    <w:rsid w:val="004A2119"/>
    <w:rsid w:val="004A2180"/>
    <w:rsid w:val="004A221B"/>
    <w:rsid w:val="004A258E"/>
    <w:rsid w:val="004A26B3"/>
    <w:rsid w:val="004A26F3"/>
    <w:rsid w:val="004A2A28"/>
    <w:rsid w:val="004A2AA3"/>
    <w:rsid w:val="004A2CC0"/>
    <w:rsid w:val="004A2FCB"/>
    <w:rsid w:val="004A3129"/>
    <w:rsid w:val="004A3185"/>
    <w:rsid w:val="004A3632"/>
    <w:rsid w:val="004A3707"/>
    <w:rsid w:val="004A3709"/>
    <w:rsid w:val="004A37FA"/>
    <w:rsid w:val="004A38A5"/>
    <w:rsid w:val="004A3B87"/>
    <w:rsid w:val="004A3B99"/>
    <w:rsid w:val="004A3C9A"/>
    <w:rsid w:val="004A3D59"/>
    <w:rsid w:val="004A3E6B"/>
    <w:rsid w:val="004A3F62"/>
    <w:rsid w:val="004A413B"/>
    <w:rsid w:val="004A42D8"/>
    <w:rsid w:val="004A4332"/>
    <w:rsid w:val="004A455F"/>
    <w:rsid w:val="004A460F"/>
    <w:rsid w:val="004A484F"/>
    <w:rsid w:val="004A496B"/>
    <w:rsid w:val="004A4A5E"/>
    <w:rsid w:val="004A4CF6"/>
    <w:rsid w:val="004A4D52"/>
    <w:rsid w:val="004A4D67"/>
    <w:rsid w:val="004A4D9D"/>
    <w:rsid w:val="004A4DD9"/>
    <w:rsid w:val="004A4E0B"/>
    <w:rsid w:val="004A5004"/>
    <w:rsid w:val="004A5027"/>
    <w:rsid w:val="004A513B"/>
    <w:rsid w:val="004A5589"/>
    <w:rsid w:val="004A5864"/>
    <w:rsid w:val="004A5AB7"/>
    <w:rsid w:val="004A5C6D"/>
    <w:rsid w:val="004A5DCC"/>
    <w:rsid w:val="004A5F1D"/>
    <w:rsid w:val="004A6008"/>
    <w:rsid w:val="004A61BB"/>
    <w:rsid w:val="004A624E"/>
    <w:rsid w:val="004A63F2"/>
    <w:rsid w:val="004A6A12"/>
    <w:rsid w:val="004A6D6A"/>
    <w:rsid w:val="004A6FB9"/>
    <w:rsid w:val="004A71A2"/>
    <w:rsid w:val="004A7260"/>
    <w:rsid w:val="004A73A8"/>
    <w:rsid w:val="004A741B"/>
    <w:rsid w:val="004A7557"/>
    <w:rsid w:val="004A7763"/>
    <w:rsid w:val="004A7789"/>
    <w:rsid w:val="004A7845"/>
    <w:rsid w:val="004A7883"/>
    <w:rsid w:val="004A7927"/>
    <w:rsid w:val="004A7A3F"/>
    <w:rsid w:val="004A7B4F"/>
    <w:rsid w:val="004A7C34"/>
    <w:rsid w:val="004A7D73"/>
    <w:rsid w:val="004A7D9A"/>
    <w:rsid w:val="004A7E60"/>
    <w:rsid w:val="004A7F5F"/>
    <w:rsid w:val="004A7FAB"/>
    <w:rsid w:val="004B0082"/>
    <w:rsid w:val="004B0252"/>
    <w:rsid w:val="004B0369"/>
    <w:rsid w:val="004B039F"/>
    <w:rsid w:val="004B0964"/>
    <w:rsid w:val="004B0A83"/>
    <w:rsid w:val="004B0B1E"/>
    <w:rsid w:val="004B0E0D"/>
    <w:rsid w:val="004B0F80"/>
    <w:rsid w:val="004B1002"/>
    <w:rsid w:val="004B11DD"/>
    <w:rsid w:val="004B11E9"/>
    <w:rsid w:val="004B1339"/>
    <w:rsid w:val="004B16B0"/>
    <w:rsid w:val="004B1706"/>
    <w:rsid w:val="004B172D"/>
    <w:rsid w:val="004B1920"/>
    <w:rsid w:val="004B1A61"/>
    <w:rsid w:val="004B1B31"/>
    <w:rsid w:val="004B1B7D"/>
    <w:rsid w:val="004B1CBC"/>
    <w:rsid w:val="004B1CC0"/>
    <w:rsid w:val="004B1E58"/>
    <w:rsid w:val="004B1FBF"/>
    <w:rsid w:val="004B2149"/>
    <w:rsid w:val="004B2172"/>
    <w:rsid w:val="004B2392"/>
    <w:rsid w:val="004B23EC"/>
    <w:rsid w:val="004B2475"/>
    <w:rsid w:val="004B2593"/>
    <w:rsid w:val="004B2775"/>
    <w:rsid w:val="004B2873"/>
    <w:rsid w:val="004B29DB"/>
    <w:rsid w:val="004B2A4A"/>
    <w:rsid w:val="004B2B44"/>
    <w:rsid w:val="004B2DB0"/>
    <w:rsid w:val="004B30B1"/>
    <w:rsid w:val="004B362D"/>
    <w:rsid w:val="004B385C"/>
    <w:rsid w:val="004B389F"/>
    <w:rsid w:val="004B3998"/>
    <w:rsid w:val="004B3C41"/>
    <w:rsid w:val="004B3EEA"/>
    <w:rsid w:val="004B3FCF"/>
    <w:rsid w:val="004B4117"/>
    <w:rsid w:val="004B4185"/>
    <w:rsid w:val="004B4270"/>
    <w:rsid w:val="004B42AE"/>
    <w:rsid w:val="004B430D"/>
    <w:rsid w:val="004B4700"/>
    <w:rsid w:val="004B4701"/>
    <w:rsid w:val="004B48BD"/>
    <w:rsid w:val="004B48E2"/>
    <w:rsid w:val="004B4BD3"/>
    <w:rsid w:val="004B4E46"/>
    <w:rsid w:val="004B50C2"/>
    <w:rsid w:val="004B525A"/>
    <w:rsid w:val="004B53DC"/>
    <w:rsid w:val="004B5409"/>
    <w:rsid w:val="004B541F"/>
    <w:rsid w:val="004B54BC"/>
    <w:rsid w:val="004B54E9"/>
    <w:rsid w:val="004B54EE"/>
    <w:rsid w:val="004B57CF"/>
    <w:rsid w:val="004B59B8"/>
    <w:rsid w:val="004B5BA1"/>
    <w:rsid w:val="004B5C1E"/>
    <w:rsid w:val="004B5C58"/>
    <w:rsid w:val="004B5E01"/>
    <w:rsid w:val="004B60A5"/>
    <w:rsid w:val="004B6122"/>
    <w:rsid w:val="004B6351"/>
    <w:rsid w:val="004B63F8"/>
    <w:rsid w:val="004B64B6"/>
    <w:rsid w:val="004B6502"/>
    <w:rsid w:val="004B6627"/>
    <w:rsid w:val="004B6700"/>
    <w:rsid w:val="004B6816"/>
    <w:rsid w:val="004B696F"/>
    <w:rsid w:val="004B698D"/>
    <w:rsid w:val="004B6D32"/>
    <w:rsid w:val="004B6FDB"/>
    <w:rsid w:val="004B6FE5"/>
    <w:rsid w:val="004B720D"/>
    <w:rsid w:val="004B7236"/>
    <w:rsid w:val="004B746A"/>
    <w:rsid w:val="004B74F1"/>
    <w:rsid w:val="004B75A3"/>
    <w:rsid w:val="004B7617"/>
    <w:rsid w:val="004B7778"/>
    <w:rsid w:val="004B77D3"/>
    <w:rsid w:val="004B7877"/>
    <w:rsid w:val="004B78E3"/>
    <w:rsid w:val="004B7A0C"/>
    <w:rsid w:val="004B7A1D"/>
    <w:rsid w:val="004B7B1E"/>
    <w:rsid w:val="004B7CBC"/>
    <w:rsid w:val="004B7CC9"/>
    <w:rsid w:val="004B7D77"/>
    <w:rsid w:val="004B7DCC"/>
    <w:rsid w:val="004B7F06"/>
    <w:rsid w:val="004C011E"/>
    <w:rsid w:val="004C013D"/>
    <w:rsid w:val="004C0200"/>
    <w:rsid w:val="004C0289"/>
    <w:rsid w:val="004C040B"/>
    <w:rsid w:val="004C04F3"/>
    <w:rsid w:val="004C088E"/>
    <w:rsid w:val="004C0E10"/>
    <w:rsid w:val="004C1020"/>
    <w:rsid w:val="004C13C4"/>
    <w:rsid w:val="004C13FC"/>
    <w:rsid w:val="004C16CB"/>
    <w:rsid w:val="004C19E2"/>
    <w:rsid w:val="004C1B5C"/>
    <w:rsid w:val="004C1C0F"/>
    <w:rsid w:val="004C1C63"/>
    <w:rsid w:val="004C1CE4"/>
    <w:rsid w:val="004C1EFE"/>
    <w:rsid w:val="004C1FE1"/>
    <w:rsid w:val="004C2133"/>
    <w:rsid w:val="004C216C"/>
    <w:rsid w:val="004C2222"/>
    <w:rsid w:val="004C25FB"/>
    <w:rsid w:val="004C28F5"/>
    <w:rsid w:val="004C29A5"/>
    <w:rsid w:val="004C2BAA"/>
    <w:rsid w:val="004C2C04"/>
    <w:rsid w:val="004C2E2A"/>
    <w:rsid w:val="004C2F97"/>
    <w:rsid w:val="004C3355"/>
    <w:rsid w:val="004C361A"/>
    <w:rsid w:val="004C366F"/>
    <w:rsid w:val="004C3768"/>
    <w:rsid w:val="004C377F"/>
    <w:rsid w:val="004C39DF"/>
    <w:rsid w:val="004C3B9B"/>
    <w:rsid w:val="004C3C3F"/>
    <w:rsid w:val="004C3EFB"/>
    <w:rsid w:val="004C3FBA"/>
    <w:rsid w:val="004C3FD9"/>
    <w:rsid w:val="004C4071"/>
    <w:rsid w:val="004C433D"/>
    <w:rsid w:val="004C460F"/>
    <w:rsid w:val="004C4693"/>
    <w:rsid w:val="004C46CB"/>
    <w:rsid w:val="004C470C"/>
    <w:rsid w:val="004C475E"/>
    <w:rsid w:val="004C488F"/>
    <w:rsid w:val="004C4977"/>
    <w:rsid w:val="004C4A19"/>
    <w:rsid w:val="004C4B28"/>
    <w:rsid w:val="004C4D5F"/>
    <w:rsid w:val="004C4E92"/>
    <w:rsid w:val="004C4F26"/>
    <w:rsid w:val="004C503B"/>
    <w:rsid w:val="004C51E5"/>
    <w:rsid w:val="004C522C"/>
    <w:rsid w:val="004C539C"/>
    <w:rsid w:val="004C53B0"/>
    <w:rsid w:val="004C5462"/>
    <w:rsid w:val="004C558F"/>
    <w:rsid w:val="004C5621"/>
    <w:rsid w:val="004C5827"/>
    <w:rsid w:val="004C5967"/>
    <w:rsid w:val="004C5A38"/>
    <w:rsid w:val="004C5D99"/>
    <w:rsid w:val="004C620D"/>
    <w:rsid w:val="004C6261"/>
    <w:rsid w:val="004C6289"/>
    <w:rsid w:val="004C63D5"/>
    <w:rsid w:val="004C6534"/>
    <w:rsid w:val="004C6818"/>
    <w:rsid w:val="004C6842"/>
    <w:rsid w:val="004C6847"/>
    <w:rsid w:val="004C6883"/>
    <w:rsid w:val="004C6989"/>
    <w:rsid w:val="004C6A50"/>
    <w:rsid w:val="004C6B25"/>
    <w:rsid w:val="004C6B52"/>
    <w:rsid w:val="004C6F11"/>
    <w:rsid w:val="004C6FBF"/>
    <w:rsid w:val="004C701D"/>
    <w:rsid w:val="004C7038"/>
    <w:rsid w:val="004C7263"/>
    <w:rsid w:val="004C73B5"/>
    <w:rsid w:val="004C7642"/>
    <w:rsid w:val="004C76CD"/>
    <w:rsid w:val="004C7872"/>
    <w:rsid w:val="004C7A6C"/>
    <w:rsid w:val="004C7A75"/>
    <w:rsid w:val="004C7CF7"/>
    <w:rsid w:val="004C7D62"/>
    <w:rsid w:val="004C7E32"/>
    <w:rsid w:val="004C7FC5"/>
    <w:rsid w:val="004D0099"/>
    <w:rsid w:val="004D07F4"/>
    <w:rsid w:val="004D08F7"/>
    <w:rsid w:val="004D0911"/>
    <w:rsid w:val="004D0975"/>
    <w:rsid w:val="004D09E9"/>
    <w:rsid w:val="004D0F8E"/>
    <w:rsid w:val="004D1039"/>
    <w:rsid w:val="004D1105"/>
    <w:rsid w:val="004D13E4"/>
    <w:rsid w:val="004D17BA"/>
    <w:rsid w:val="004D1853"/>
    <w:rsid w:val="004D1AA8"/>
    <w:rsid w:val="004D1AE2"/>
    <w:rsid w:val="004D1CCC"/>
    <w:rsid w:val="004D1E6D"/>
    <w:rsid w:val="004D1EAC"/>
    <w:rsid w:val="004D20D9"/>
    <w:rsid w:val="004D21C9"/>
    <w:rsid w:val="004D21FE"/>
    <w:rsid w:val="004D23C2"/>
    <w:rsid w:val="004D2426"/>
    <w:rsid w:val="004D246D"/>
    <w:rsid w:val="004D24D0"/>
    <w:rsid w:val="004D24FD"/>
    <w:rsid w:val="004D2779"/>
    <w:rsid w:val="004D2BEA"/>
    <w:rsid w:val="004D2CE1"/>
    <w:rsid w:val="004D2DC0"/>
    <w:rsid w:val="004D2FBE"/>
    <w:rsid w:val="004D31C3"/>
    <w:rsid w:val="004D336A"/>
    <w:rsid w:val="004D3387"/>
    <w:rsid w:val="004D33BB"/>
    <w:rsid w:val="004D34C5"/>
    <w:rsid w:val="004D3545"/>
    <w:rsid w:val="004D3596"/>
    <w:rsid w:val="004D35D1"/>
    <w:rsid w:val="004D3633"/>
    <w:rsid w:val="004D364B"/>
    <w:rsid w:val="004D37D4"/>
    <w:rsid w:val="004D392E"/>
    <w:rsid w:val="004D3A05"/>
    <w:rsid w:val="004D3B7B"/>
    <w:rsid w:val="004D42BC"/>
    <w:rsid w:val="004D45DA"/>
    <w:rsid w:val="004D4624"/>
    <w:rsid w:val="004D49BB"/>
    <w:rsid w:val="004D4B78"/>
    <w:rsid w:val="004D4C86"/>
    <w:rsid w:val="004D4D78"/>
    <w:rsid w:val="004D4F63"/>
    <w:rsid w:val="004D5009"/>
    <w:rsid w:val="004D51DE"/>
    <w:rsid w:val="004D5224"/>
    <w:rsid w:val="004D528A"/>
    <w:rsid w:val="004D5441"/>
    <w:rsid w:val="004D54A0"/>
    <w:rsid w:val="004D564F"/>
    <w:rsid w:val="004D5748"/>
    <w:rsid w:val="004D57DD"/>
    <w:rsid w:val="004D5909"/>
    <w:rsid w:val="004D5CEA"/>
    <w:rsid w:val="004D5E17"/>
    <w:rsid w:val="004D5ED8"/>
    <w:rsid w:val="004D6210"/>
    <w:rsid w:val="004D62A7"/>
    <w:rsid w:val="004D6363"/>
    <w:rsid w:val="004D65DF"/>
    <w:rsid w:val="004D661A"/>
    <w:rsid w:val="004D6828"/>
    <w:rsid w:val="004D6847"/>
    <w:rsid w:val="004D6C1D"/>
    <w:rsid w:val="004D6CD3"/>
    <w:rsid w:val="004D6DC9"/>
    <w:rsid w:val="004D6E4E"/>
    <w:rsid w:val="004D6F94"/>
    <w:rsid w:val="004D708C"/>
    <w:rsid w:val="004D7647"/>
    <w:rsid w:val="004D7760"/>
    <w:rsid w:val="004D78BB"/>
    <w:rsid w:val="004D7B59"/>
    <w:rsid w:val="004D7BA1"/>
    <w:rsid w:val="004D7D6D"/>
    <w:rsid w:val="004D7E0C"/>
    <w:rsid w:val="004E027D"/>
    <w:rsid w:val="004E02B0"/>
    <w:rsid w:val="004E02FB"/>
    <w:rsid w:val="004E03FB"/>
    <w:rsid w:val="004E040C"/>
    <w:rsid w:val="004E0674"/>
    <w:rsid w:val="004E081D"/>
    <w:rsid w:val="004E0911"/>
    <w:rsid w:val="004E0A62"/>
    <w:rsid w:val="004E0A9A"/>
    <w:rsid w:val="004E0D44"/>
    <w:rsid w:val="004E0E9A"/>
    <w:rsid w:val="004E0F52"/>
    <w:rsid w:val="004E0FF1"/>
    <w:rsid w:val="004E112D"/>
    <w:rsid w:val="004E1252"/>
    <w:rsid w:val="004E134D"/>
    <w:rsid w:val="004E1353"/>
    <w:rsid w:val="004E1372"/>
    <w:rsid w:val="004E13E1"/>
    <w:rsid w:val="004E1416"/>
    <w:rsid w:val="004E16D8"/>
    <w:rsid w:val="004E1771"/>
    <w:rsid w:val="004E19E5"/>
    <w:rsid w:val="004E1CC5"/>
    <w:rsid w:val="004E2067"/>
    <w:rsid w:val="004E214A"/>
    <w:rsid w:val="004E2534"/>
    <w:rsid w:val="004E256F"/>
    <w:rsid w:val="004E2652"/>
    <w:rsid w:val="004E2703"/>
    <w:rsid w:val="004E2A49"/>
    <w:rsid w:val="004E2B13"/>
    <w:rsid w:val="004E2C18"/>
    <w:rsid w:val="004E2CD2"/>
    <w:rsid w:val="004E2F30"/>
    <w:rsid w:val="004E2FD8"/>
    <w:rsid w:val="004E3002"/>
    <w:rsid w:val="004E31DA"/>
    <w:rsid w:val="004E32C6"/>
    <w:rsid w:val="004E334D"/>
    <w:rsid w:val="004E3634"/>
    <w:rsid w:val="004E3876"/>
    <w:rsid w:val="004E38B9"/>
    <w:rsid w:val="004E38C2"/>
    <w:rsid w:val="004E3A6E"/>
    <w:rsid w:val="004E404F"/>
    <w:rsid w:val="004E4076"/>
    <w:rsid w:val="004E40C1"/>
    <w:rsid w:val="004E40E4"/>
    <w:rsid w:val="004E4201"/>
    <w:rsid w:val="004E43C4"/>
    <w:rsid w:val="004E4400"/>
    <w:rsid w:val="004E4422"/>
    <w:rsid w:val="004E488F"/>
    <w:rsid w:val="004E498D"/>
    <w:rsid w:val="004E4B4B"/>
    <w:rsid w:val="004E4C40"/>
    <w:rsid w:val="004E4C4B"/>
    <w:rsid w:val="004E5033"/>
    <w:rsid w:val="004E526C"/>
    <w:rsid w:val="004E5343"/>
    <w:rsid w:val="004E5666"/>
    <w:rsid w:val="004E5797"/>
    <w:rsid w:val="004E5915"/>
    <w:rsid w:val="004E5964"/>
    <w:rsid w:val="004E5ACF"/>
    <w:rsid w:val="004E5CEB"/>
    <w:rsid w:val="004E5F37"/>
    <w:rsid w:val="004E5FF5"/>
    <w:rsid w:val="004E6165"/>
    <w:rsid w:val="004E63CD"/>
    <w:rsid w:val="004E6436"/>
    <w:rsid w:val="004E644B"/>
    <w:rsid w:val="004E6619"/>
    <w:rsid w:val="004E67BD"/>
    <w:rsid w:val="004E6A9B"/>
    <w:rsid w:val="004E6ADD"/>
    <w:rsid w:val="004E6C1E"/>
    <w:rsid w:val="004E6C4C"/>
    <w:rsid w:val="004E6DA6"/>
    <w:rsid w:val="004E71A9"/>
    <w:rsid w:val="004E71E4"/>
    <w:rsid w:val="004E7463"/>
    <w:rsid w:val="004E747A"/>
    <w:rsid w:val="004E748A"/>
    <w:rsid w:val="004E7490"/>
    <w:rsid w:val="004E79F4"/>
    <w:rsid w:val="004E7AF3"/>
    <w:rsid w:val="004E7B33"/>
    <w:rsid w:val="004E7B77"/>
    <w:rsid w:val="004E7C61"/>
    <w:rsid w:val="004E7D5F"/>
    <w:rsid w:val="004E7D60"/>
    <w:rsid w:val="004E7FE4"/>
    <w:rsid w:val="004E7FFD"/>
    <w:rsid w:val="004F00B5"/>
    <w:rsid w:val="004F020B"/>
    <w:rsid w:val="004F0279"/>
    <w:rsid w:val="004F0518"/>
    <w:rsid w:val="004F05EC"/>
    <w:rsid w:val="004F0A6C"/>
    <w:rsid w:val="004F0FCA"/>
    <w:rsid w:val="004F103E"/>
    <w:rsid w:val="004F113A"/>
    <w:rsid w:val="004F11D3"/>
    <w:rsid w:val="004F12D2"/>
    <w:rsid w:val="004F12F3"/>
    <w:rsid w:val="004F1301"/>
    <w:rsid w:val="004F1662"/>
    <w:rsid w:val="004F1810"/>
    <w:rsid w:val="004F1B54"/>
    <w:rsid w:val="004F1BF8"/>
    <w:rsid w:val="004F1DD9"/>
    <w:rsid w:val="004F1F12"/>
    <w:rsid w:val="004F1FBD"/>
    <w:rsid w:val="004F2169"/>
    <w:rsid w:val="004F22C3"/>
    <w:rsid w:val="004F2464"/>
    <w:rsid w:val="004F247A"/>
    <w:rsid w:val="004F24AC"/>
    <w:rsid w:val="004F24C9"/>
    <w:rsid w:val="004F2545"/>
    <w:rsid w:val="004F2672"/>
    <w:rsid w:val="004F277A"/>
    <w:rsid w:val="004F2A83"/>
    <w:rsid w:val="004F2C00"/>
    <w:rsid w:val="004F2C38"/>
    <w:rsid w:val="004F2D16"/>
    <w:rsid w:val="004F2D5D"/>
    <w:rsid w:val="004F2FC8"/>
    <w:rsid w:val="004F3257"/>
    <w:rsid w:val="004F32C8"/>
    <w:rsid w:val="004F3428"/>
    <w:rsid w:val="004F3554"/>
    <w:rsid w:val="004F36AC"/>
    <w:rsid w:val="004F3897"/>
    <w:rsid w:val="004F3A22"/>
    <w:rsid w:val="004F3F1E"/>
    <w:rsid w:val="004F4004"/>
    <w:rsid w:val="004F4375"/>
    <w:rsid w:val="004F46BB"/>
    <w:rsid w:val="004F4C68"/>
    <w:rsid w:val="004F4DCC"/>
    <w:rsid w:val="004F506B"/>
    <w:rsid w:val="004F52E5"/>
    <w:rsid w:val="004F5476"/>
    <w:rsid w:val="004F585C"/>
    <w:rsid w:val="004F5875"/>
    <w:rsid w:val="004F5B9A"/>
    <w:rsid w:val="004F5D31"/>
    <w:rsid w:val="004F5E2E"/>
    <w:rsid w:val="004F6064"/>
    <w:rsid w:val="004F60ED"/>
    <w:rsid w:val="004F619A"/>
    <w:rsid w:val="004F620D"/>
    <w:rsid w:val="004F64D4"/>
    <w:rsid w:val="004F65B0"/>
    <w:rsid w:val="004F66D9"/>
    <w:rsid w:val="004F675F"/>
    <w:rsid w:val="004F67CD"/>
    <w:rsid w:val="004F67D7"/>
    <w:rsid w:val="004F68DB"/>
    <w:rsid w:val="004F6957"/>
    <w:rsid w:val="004F6970"/>
    <w:rsid w:val="004F6A23"/>
    <w:rsid w:val="004F6B00"/>
    <w:rsid w:val="004F6B8A"/>
    <w:rsid w:val="004F6F59"/>
    <w:rsid w:val="004F6F75"/>
    <w:rsid w:val="004F70AE"/>
    <w:rsid w:val="004F7333"/>
    <w:rsid w:val="004F74BD"/>
    <w:rsid w:val="004F75C6"/>
    <w:rsid w:val="004F76E7"/>
    <w:rsid w:val="004F77DF"/>
    <w:rsid w:val="004F79EC"/>
    <w:rsid w:val="004F7AB0"/>
    <w:rsid w:val="004F7B34"/>
    <w:rsid w:val="004F7C2A"/>
    <w:rsid w:val="004F7C41"/>
    <w:rsid w:val="004F7D58"/>
    <w:rsid w:val="004F7DAA"/>
    <w:rsid w:val="004F7E10"/>
    <w:rsid w:val="004F7E15"/>
    <w:rsid w:val="004F7F41"/>
    <w:rsid w:val="004F7F5F"/>
    <w:rsid w:val="004F7FBB"/>
    <w:rsid w:val="00500085"/>
    <w:rsid w:val="00500092"/>
    <w:rsid w:val="005000D0"/>
    <w:rsid w:val="005001B4"/>
    <w:rsid w:val="00500283"/>
    <w:rsid w:val="00500292"/>
    <w:rsid w:val="00500297"/>
    <w:rsid w:val="005002CF"/>
    <w:rsid w:val="00500531"/>
    <w:rsid w:val="00500599"/>
    <w:rsid w:val="005005B8"/>
    <w:rsid w:val="005008AD"/>
    <w:rsid w:val="005008E8"/>
    <w:rsid w:val="00500913"/>
    <w:rsid w:val="005009E7"/>
    <w:rsid w:val="00500ABB"/>
    <w:rsid w:val="00500DDB"/>
    <w:rsid w:val="00500F53"/>
    <w:rsid w:val="0050113E"/>
    <w:rsid w:val="0050120C"/>
    <w:rsid w:val="00501510"/>
    <w:rsid w:val="0050154F"/>
    <w:rsid w:val="00501674"/>
    <w:rsid w:val="00501684"/>
    <w:rsid w:val="005016E5"/>
    <w:rsid w:val="0050178F"/>
    <w:rsid w:val="0050189A"/>
    <w:rsid w:val="00501A63"/>
    <w:rsid w:val="00501AB8"/>
    <w:rsid w:val="00501AC5"/>
    <w:rsid w:val="00501BDA"/>
    <w:rsid w:val="00501C4D"/>
    <w:rsid w:val="00501C5C"/>
    <w:rsid w:val="00501D2A"/>
    <w:rsid w:val="00501E95"/>
    <w:rsid w:val="00501FD7"/>
    <w:rsid w:val="00502487"/>
    <w:rsid w:val="005024D8"/>
    <w:rsid w:val="005024E9"/>
    <w:rsid w:val="0050256A"/>
    <w:rsid w:val="00502689"/>
    <w:rsid w:val="005026AD"/>
    <w:rsid w:val="005026FB"/>
    <w:rsid w:val="005029B2"/>
    <w:rsid w:val="00502B13"/>
    <w:rsid w:val="00502BBD"/>
    <w:rsid w:val="0050300A"/>
    <w:rsid w:val="005030E3"/>
    <w:rsid w:val="0050352A"/>
    <w:rsid w:val="00503741"/>
    <w:rsid w:val="00503794"/>
    <w:rsid w:val="00503797"/>
    <w:rsid w:val="005037F4"/>
    <w:rsid w:val="005039AA"/>
    <w:rsid w:val="00503A13"/>
    <w:rsid w:val="00503B55"/>
    <w:rsid w:val="00503B6D"/>
    <w:rsid w:val="00503CAD"/>
    <w:rsid w:val="00503DC0"/>
    <w:rsid w:val="00503FAB"/>
    <w:rsid w:val="00503FCC"/>
    <w:rsid w:val="00504137"/>
    <w:rsid w:val="0050416E"/>
    <w:rsid w:val="005041A7"/>
    <w:rsid w:val="005042E4"/>
    <w:rsid w:val="00504323"/>
    <w:rsid w:val="00504414"/>
    <w:rsid w:val="00504574"/>
    <w:rsid w:val="0050470B"/>
    <w:rsid w:val="0050471A"/>
    <w:rsid w:val="00504738"/>
    <w:rsid w:val="00504803"/>
    <w:rsid w:val="00504B9E"/>
    <w:rsid w:val="00504D89"/>
    <w:rsid w:val="005051A4"/>
    <w:rsid w:val="005053BF"/>
    <w:rsid w:val="0050543D"/>
    <w:rsid w:val="00505465"/>
    <w:rsid w:val="00505470"/>
    <w:rsid w:val="00505A60"/>
    <w:rsid w:val="00505B38"/>
    <w:rsid w:val="00505C9E"/>
    <w:rsid w:val="00505CF7"/>
    <w:rsid w:val="00505ED1"/>
    <w:rsid w:val="005060E0"/>
    <w:rsid w:val="00506669"/>
    <w:rsid w:val="00506672"/>
    <w:rsid w:val="00506701"/>
    <w:rsid w:val="00506706"/>
    <w:rsid w:val="0050671E"/>
    <w:rsid w:val="005068D7"/>
    <w:rsid w:val="00506948"/>
    <w:rsid w:val="00506ABD"/>
    <w:rsid w:val="00506D31"/>
    <w:rsid w:val="00506D32"/>
    <w:rsid w:val="00506EC1"/>
    <w:rsid w:val="00507064"/>
    <w:rsid w:val="00507235"/>
    <w:rsid w:val="00507260"/>
    <w:rsid w:val="005072F5"/>
    <w:rsid w:val="005073DB"/>
    <w:rsid w:val="005073FF"/>
    <w:rsid w:val="005075D1"/>
    <w:rsid w:val="005075F9"/>
    <w:rsid w:val="005075FB"/>
    <w:rsid w:val="00507645"/>
    <w:rsid w:val="00507886"/>
    <w:rsid w:val="00507977"/>
    <w:rsid w:val="00507DB9"/>
    <w:rsid w:val="00507F63"/>
    <w:rsid w:val="00507F6B"/>
    <w:rsid w:val="005100F9"/>
    <w:rsid w:val="005101EC"/>
    <w:rsid w:val="00510432"/>
    <w:rsid w:val="00510706"/>
    <w:rsid w:val="00510864"/>
    <w:rsid w:val="00510D37"/>
    <w:rsid w:val="00510DD8"/>
    <w:rsid w:val="00510E25"/>
    <w:rsid w:val="00511123"/>
    <w:rsid w:val="005112C4"/>
    <w:rsid w:val="005112E5"/>
    <w:rsid w:val="00511428"/>
    <w:rsid w:val="00511525"/>
    <w:rsid w:val="00511772"/>
    <w:rsid w:val="0051192C"/>
    <w:rsid w:val="00511A37"/>
    <w:rsid w:val="00511AA7"/>
    <w:rsid w:val="00511C2D"/>
    <w:rsid w:val="00511CC8"/>
    <w:rsid w:val="00511EBC"/>
    <w:rsid w:val="00511ED0"/>
    <w:rsid w:val="00511ED4"/>
    <w:rsid w:val="005120AA"/>
    <w:rsid w:val="00512141"/>
    <w:rsid w:val="00512533"/>
    <w:rsid w:val="00512581"/>
    <w:rsid w:val="005126C3"/>
    <w:rsid w:val="005126F5"/>
    <w:rsid w:val="005127AD"/>
    <w:rsid w:val="00512A09"/>
    <w:rsid w:val="00512A49"/>
    <w:rsid w:val="00512C9A"/>
    <w:rsid w:val="00512D27"/>
    <w:rsid w:val="00513562"/>
    <w:rsid w:val="00513668"/>
    <w:rsid w:val="005136F0"/>
    <w:rsid w:val="00513979"/>
    <w:rsid w:val="005139C3"/>
    <w:rsid w:val="00513B4F"/>
    <w:rsid w:val="00513B9A"/>
    <w:rsid w:val="00513BC5"/>
    <w:rsid w:val="00513BDF"/>
    <w:rsid w:val="00513D5C"/>
    <w:rsid w:val="00513DEB"/>
    <w:rsid w:val="00513DFC"/>
    <w:rsid w:val="00513E64"/>
    <w:rsid w:val="00513F65"/>
    <w:rsid w:val="00514037"/>
    <w:rsid w:val="00514134"/>
    <w:rsid w:val="0051413F"/>
    <w:rsid w:val="005143A4"/>
    <w:rsid w:val="0051442D"/>
    <w:rsid w:val="005146EC"/>
    <w:rsid w:val="00514A6E"/>
    <w:rsid w:val="00514C3E"/>
    <w:rsid w:val="00514CEA"/>
    <w:rsid w:val="00514F50"/>
    <w:rsid w:val="00515057"/>
    <w:rsid w:val="005150A3"/>
    <w:rsid w:val="00515168"/>
    <w:rsid w:val="00515327"/>
    <w:rsid w:val="0051547B"/>
    <w:rsid w:val="0051560E"/>
    <w:rsid w:val="0051567B"/>
    <w:rsid w:val="0051567C"/>
    <w:rsid w:val="0051569C"/>
    <w:rsid w:val="00515871"/>
    <w:rsid w:val="00515B5E"/>
    <w:rsid w:val="00515BF9"/>
    <w:rsid w:val="00515C52"/>
    <w:rsid w:val="00515C5D"/>
    <w:rsid w:val="00515E1F"/>
    <w:rsid w:val="00515E85"/>
    <w:rsid w:val="00515EEB"/>
    <w:rsid w:val="005160FA"/>
    <w:rsid w:val="0051627E"/>
    <w:rsid w:val="0051629D"/>
    <w:rsid w:val="005162B9"/>
    <w:rsid w:val="005162E2"/>
    <w:rsid w:val="00516357"/>
    <w:rsid w:val="0051636B"/>
    <w:rsid w:val="00516374"/>
    <w:rsid w:val="005163B2"/>
    <w:rsid w:val="0051670F"/>
    <w:rsid w:val="00516944"/>
    <w:rsid w:val="005169DD"/>
    <w:rsid w:val="00516BA3"/>
    <w:rsid w:val="00516C51"/>
    <w:rsid w:val="00516C60"/>
    <w:rsid w:val="00516D98"/>
    <w:rsid w:val="005170B5"/>
    <w:rsid w:val="005170B7"/>
    <w:rsid w:val="0051713A"/>
    <w:rsid w:val="0051734B"/>
    <w:rsid w:val="005173D4"/>
    <w:rsid w:val="00517852"/>
    <w:rsid w:val="00517A9B"/>
    <w:rsid w:val="00517AC1"/>
    <w:rsid w:val="00517AD8"/>
    <w:rsid w:val="00517BED"/>
    <w:rsid w:val="00517D32"/>
    <w:rsid w:val="00517ECF"/>
    <w:rsid w:val="00517F27"/>
    <w:rsid w:val="00517F83"/>
    <w:rsid w:val="00520096"/>
    <w:rsid w:val="005200CC"/>
    <w:rsid w:val="005203AB"/>
    <w:rsid w:val="00520484"/>
    <w:rsid w:val="005205B8"/>
    <w:rsid w:val="005205BC"/>
    <w:rsid w:val="0052078F"/>
    <w:rsid w:val="005207DC"/>
    <w:rsid w:val="00520A2B"/>
    <w:rsid w:val="00520A41"/>
    <w:rsid w:val="00520BB9"/>
    <w:rsid w:val="00520E88"/>
    <w:rsid w:val="005210C3"/>
    <w:rsid w:val="00521125"/>
    <w:rsid w:val="0052116E"/>
    <w:rsid w:val="0052120C"/>
    <w:rsid w:val="00521AB4"/>
    <w:rsid w:val="00521D89"/>
    <w:rsid w:val="00521D96"/>
    <w:rsid w:val="00521DB5"/>
    <w:rsid w:val="00521F39"/>
    <w:rsid w:val="00521F9A"/>
    <w:rsid w:val="00521FD9"/>
    <w:rsid w:val="0052201B"/>
    <w:rsid w:val="00522141"/>
    <w:rsid w:val="00522173"/>
    <w:rsid w:val="005222F0"/>
    <w:rsid w:val="005223A8"/>
    <w:rsid w:val="005223EB"/>
    <w:rsid w:val="0052278A"/>
    <w:rsid w:val="005227CB"/>
    <w:rsid w:val="0052293D"/>
    <w:rsid w:val="00522A3D"/>
    <w:rsid w:val="00522A61"/>
    <w:rsid w:val="00522DBB"/>
    <w:rsid w:val="00522E17"/>
    <w:rsid w:val="00523061"/>
    <w:rsid w:val="00523129"/>
    <w:rsid w:val="00523196"/>
    <w:rsid w:val="00523217"/>
    <w:rsid w:val="00523315"/>
    <w:rsid w:val="00523834"/>
    <w:rsid w:val="00523AB8"/>
    <w:rsid w:val="00523B34"/>
    <w:rsid w:val="00523BEB"/>
    <w:rsid w:val="00523C71"/>
    <w:rsid w:val="00523CA8"/>
    <w:rsid w:val="00523CE3"/>
    <w:rsid w:val="00523E36"/>
    <w:rsid w:val="00523EE4"/>
    <w:rsid w:val="00523F0B"/>
    <w:rsid w:val="00523FEC"/>
    <w:rsid w:val="0052420E"/>
    <w:rsid w:val="00524215"/>
    <w:rsid w:val="0052428C"/>
    <w:rsid w:val="0052432D"/>
    <w:rsid w:val="00524339"/>
    <w:rsid w:val="0052445B"/>
    <w:rsid w:val="005244CA"/>
    <w:rsid w:val="005244D5"/>
    <w:rsid w:val="0052462D"/>
    <w:rsid w:val="005247EA"/>
    <w:rsid w:val="005248D7"/>
    <w:rsid w:val="005248F8"/>
    <w:rsid w:val="00524A02"/>
    <w:rsid w:val="00524AF1"/>
    <w:rsid w:val="00524CAE"/>
    <w:rsid w:val="00524D3D"/>
    <w:rsid w:val="00524E56"/>
    <w:rsid w:val="00524EB4"/>
    <w:rsid w:val="005251DB"/>
    <w:rsid w:val="005252CE"/>
    <w:rsid w:val="00525460"/>
    <w:rsid w:val="00525473"/>
    <w:rsid w:val="005254DF"/>
    <w:rsid w:val="0052572C"/>
    <w:rsid w:val="00525D01"/>
    <w:rsid w:val="00525F42"/>
    <w:rsid w:val="00526047"/>
    <w:rsid w:val="00526657"/>
    <w:rsid w:val="00526672"/>
    <w:rsid w:val="0052676D"/>
    <w:rsid w:val="005268B7"/>
    <w:rsid w:val="00526A27"/>
    <w:rsid w:val="00526A88"/>
    <w:rsid w:val="00526AA3"/>
    <w:rsid w:val="00526D04"/>
    <w:rsid w:val="00526D2C"/>
    <w:rsid w:val="00526E6D"/>
    <w:rsid w:val="00526F94"/>
    <w:rsid w:val="00526FC7"/>
    <w:rsid w:val="00527303"/>
    <w:rsid w:val="00527664"/>
    <w:rsid w:val="0052773F"/>
    <w:rsid w:val="0052775C"/>
    <w:rsid w:val="005277CC"/>
    <w:rsid w:val="00527817"/>
    <w:rsid w:val="00527BDE"/>
    <w:rsid w:val="00527C95"/>
    <w:rsid w:val="00527D85"/>
    <w:rsid w:val="00527F21"/>
    <w:rsid w:val="00530013"/>
    <w:rsid w:val="005300D4"/>
    <w:rsid w:val="0053054C"/>
    <w:rsid w:val="0053068A"/>
    <w:rsid w:val="005307BA"/>
    <w:rsid w:val="00530825"/>
    <w:rsid w:val="005309FF"/>
    <w:rsid w:val="00530A65"/>
    <w:rsid w:val="00530A79"/>
    <w:rsid w:val="00530C6E"/>
    <w:rsid w:val="00530CF8"/>
    <w:rsid w:val="00530D22"/>
    <w:rsid w:val="00531038"/>
    <w:rsid w:val="00531300"/>
    <w:rsid w:val="00531446"/>
    <w:rsid w:val="005314A3"/>
    <w:rsid w:val="0053154B"/>
    <w:rsid w:val="00531988"/>
    <w:rsid w:val="005319AE"/>
    <w:rsid w:val="00531A35"/>
    <w:rsid w:val="00531A5B"/>
    <w:rsid w:val="00531D2B"/>
    <w:rsid w:val="00531D38"/>
    <w:rsid w:val="00531F0D"/>
    <w:rsid w:val="0053252A"/>
    <w:rsid w:val="0053255B"/>
    <w:rsid w:val="0053268B"/>
    <w:rsid w:val="00532831"/>
    <w:rsid w:val="0053291C"/>
    <w:rsid w:val="00532A45"/>
    <w:rsid w:val="00532A67"/>
    <w:rsid w:val="00532B2F"/>
    <w:rsid w:val="00532BA6"/>
    <w:rsid w:val="00533008"/>
    <w:rsid w:val="00533146"/>
    <w:rsid w:val="00533163"/>
    <w:rsid w:val="005332FC"/>
    <w:rsid w:val="005333AC"/>
    <w:rsid w:val="0053355D"/>
    <w:rsid w:val="005336E2"/>
    <w:rsid w:val="00533703"/>
    <w:rsid w:val="00533C28"/>
    <w:rsid w:val="00533C55"/>
    <w:rsid w:val="00533CEE"/>
    <w:rsid w:val="00533D56"/>
    <w:rsid w:val="00533D92"/>
    <w:rsid w:val="00533DCA"/>
    <w:rsid w:val="00533E6E"/>
    <w:rsid w:val="00533FA5"/>
    <w:rsid w:val="005340B8"/>
    <w:rsid w:val="00534164"/>
    <w:rsid w:val="005343D7"/>
    <w:rsid w:val="00534665"/>
    <w:rsid w:val="00534E12"/>
    <w:rsid w:val="00534F98"/>
    <w:rsid w:val="0053538E"/>
    <w:rsid w:val="005353D5"/>
    <w:rsid w:val="005354B5"/>
    <w:rsid w:val="00535524"/>
    <w:rsid w:val="005356CF"/>
    <w:rsid w:val="0053576B"/>
    <w:rsid w:val="0053578C"/>
    <w:rsid w:val="00535797"/>
    <w:rsid w:val="005358F4"/>
    <w:rsid w:val="00535A95"/>
    <w:rsid w:val="00535AE8"/>
    <w:rsid w:val="00535BA3"/>
    <w:rsid w:val="00535C1F"/>
    <w:rsid w:val="00535C25"/>
    <w:rsid w:val="00535C48"/>
    <w:rsid w:val="00535D26"/>
    <w:rsid w:val="00535E5D"/>
    <w:rsid w:val="00535EE1"/>
    <w:rsid w:val="00535F8D"/>
    <w:rsid w:val="00536193"/>
    <w:rsid w:val="005364D3"/>
    <w:rsid w:val="00536702"/>
    <w:rsid w:val="005367C5"/>
    <w:rsid w:val="005369CB"/>
    <w:rsid w:val="00536C23"/>
    <w:rsid w:val="00536D11"/>
    <w:rsid w:val="00536DD5"/>
    <w:rsid w:val="00536F51"/>
    <w:rsid w:val="0053743A"/>
    <w:rsid w:val="005374AF"/>
    <w:rsid w:val="0053753A"/>
    <w:rsid w:val="00537613"/>
    <w:rsid w:val="00537781"/>
    <w:rsid w:val="00537876"/>
    <w:rsid w:val="00537B91"/>
    <w:rsid w:val="00537F88"/>
    <w:rsid w:val="00540362"/>
    <w:rsid w:val="005403C2"/>
    <w:rsid w:val="0054045A"/>
    <w:rsid w:val="0054073C"/>
    <w:rsid w:val="00540815"/>
    <w:rsid w:val="0054095A"/>
    <w:rsid w:val="00540ADA"/>
    <w:rsid w:val="00540B0E"/>
    <w:rsid w:val="00540ECF"/>
    <w:rsid w:val="00540FA9"/>
    <w:rsid w:val="005410EC"/>
    <w:rsid w:val="00541174"/>
    <w:rsid w:val="00541180"/>
    <w:rsid w:val="00541187"/>
    <w:rsid w:val="00541232"/>
    <w:rsid w:val="0054134F"/>
    <w:rsid w:val="00541395"/>
    <w:rsid w:val="00541848"/>
    <w:rsid w:val="005419F6"/>
    <w:rsid w:val="00541A6E"/>
    <w:rsid w:val="00541B5B"/>
    <w:rsid w:val="00541B89"/>
    <w:rsid w:val="00541D86"/>
    <w:rsid w:val="00541DA0"/>
    <w:rsid w:val="00541DFD"/>
    <w:rsid w:val="00541F9C"/>
    <w:rsid w:val="00541FA9"/>
    <w:rsid w:val="0054228A"/>
    <w:rsid w:val="00542342"/>
    <w:rsid w:val="00542367"/>
    <w:rsid w:val="00542398"/>
    <w:rsid w:val="0054240A"/>
    <w:rsid w:val="0054244C"/>
    <w:rsid w:val="00542495"/>
    <w:rsid w:val="00542856"/>
    <w:rsid w:val="0054291D"/>
    <w:rsid w:val="00542981"/>
    <w:rsid w:val="0054298A"/>
    <w:rsid w:val="00542B3E"/>
    <w:rsid w:val="00542C08"/>
    <w:rsid w:val="00542E9A"/>
    <w:rsid w:val="00543308"/>
    <w:rsid w:val="00543595"/>
    <w:rsid w:val="0054389B"/>
    <w:rsid w:val="00543AB6"/>
    <w:rsid w:val="00543BA5"/>
    <w:rsid w:val="00543BE4"/>
    <w:rsid w:val="00543C3C"/>
    <w:rsid w:val="00544113"/>
    <w:rsid w:val="00544118"/>
    <w:rsid w:val="00544135"/>
    <w:rsid w:val="0054441E"/>
    <w:rsid w:val="00544472"/>
    <w:rsid w:val="00544519"/>
    <w:rsid w:val="00544732"/>
    <w:rsid w:val="005447C6"/>
    <w:rsid w:val="00544827"/>
    <w:rsid w:val="00544845"/>
    <w:rsid w:val="005449BD"/>
    <w:rsid w:val="00544CC8"/>
    <w:rsid w:val="00544E6A"/>
    <w:rsid w:val="00544F78"/>
    <w:rsid w:val="00544F86"/>
    <w:rsid w:val="00545093"/>
    <w:rsid w:val="005450D6"/>
    <w:rsid w:val="00545147"/>
    <w:rsid w:val="005452A3"/>
    <w:rsid w:val="00545433"/>
    <w:rsid w:val="0054555F"/>
    <w:rsid w:val="0054584A"/>
    <w:rsid w:val="005458A6"/>
    <w:rsid w:val="005458B2"/>
    <w:rsid w:val="00545B0D"/>
    <w:rsid w:val="00545B56"/>
    <w:rsid w:val="00545C7C"/>
    <w:rsid w:val="0054613E"/>
    <w:rsid w:val="0054614A"/>
    <w:rsid w:val="00546188"/>
    <w:rsid w:val="0054627C"/>
    <w:rsid w:val="0054672F"/>
    <w:rsid w:val="0054679F"/>
    <w:rsid w:val="005469FA"/>
    <w:rsid w:val="00546A46"/>
    <w:rsid w:val="00546A4B"/>
    <w:rsid w:val="00546A6F"/>
    <w:rsid w:val="00546B65"/>
    <w:rsid w:val="00546B6F"/>
    <w:rsid w:val="00546CF8"/>
    <w:rsid w:val="00546D6F"/>
    <w:rsid w:val="00546DC1"/>
    <w:rsid w:val="00546DF9"/>
    <w:rsid w:val="00546E19"/>
    <w:rsid w:val="00546E29"/>
    <w:rsid w:val="00546E4F"/>
    <w:rsid w:val="00546F1A"/>
    <w:rsid w:val="00547043"/>
    <w:rsid w:val="005471CC"/>
    <w:rsid w:val="00547327"/>
    <w:rsid w:val="0054752A"/>
    <w:rsid w:val="00547662"/>
    <w:rsid w:val="005476A5"/>
    <w:rsid w:val="0054770C"/>
    <w:rsid w:val="0054770D"/>
    <w:rsid w:val="0054795D"/>
    <w:rsid w:val="00547981"/>
    <w:rsid w:val="00547CB8"/>
    <w:rsid w:val="00547D52"/>
    <w:rsid w:val="00547ED1"/>
    <w:rsid w:val="00547FAA"/>
    <w:rsid w:val="00547FBF"/>
    <w:rsid w:val="0055008A"/>
    <w:rsid w:val="005501B8"/>
    <w:rsid w:val="00550426"/>
    <w:rsid w:val="005504CC"/>
    <w:rsid w:val="005505B1"/>
    <w:rsid w:val="00550669"/>
    <w:rsid w:val="00550693"/>
    <w:rsid w:val="00550813"/>
    <w:rsid w:val="00550A27"/>
    <w:rsid w:val="00550A66"/>
    <w:rsid w:val="00550A79"/>
    <w:rsid w:val="00550A8B"/>
    <w:rsid w:val="00550BDB"/>
    <w:rsid w:val="00550E1B"/>
    <w:rsid w:val="00550E33"/>
    <w:rsid w:val="005510B2"/>
    <w:rsid w:val="00551227"/>
    <w:rsid w:val="00551290"/>
    <w:rsid w:val="00551517"/>
    <w:rsid w:val="005517A3"/>
    <w:rsid w:val="005519EB"/>
    <w:rsid w:val="00551E6F"/>
    <w:rsid w:val="00552167"/>
    <w:rsid w:val="005522EC"/>
    <w:rsid w:val="005523FA"/>
    <w:rsid w:val="005524EC"/>
    <w:rsid w:val="0055281A"/>
    <w:rsid w:val="00552A15"/>
    <w:rsid w:val="00552A16"/>
    <w:rsid w:val="00552AF0"/>
    <w:rsid w:val="00552E0C"/>
    <w:rsid w:val="00553328"/>
    <w:rsid w:val="00553378"/>
    <w:rsid w:val="0055355F"/>
    <w:rsid w:val="00553577"/>
    <w:rsid w:val="005535A0"/>
    <w:rsid w:val="005537B3"/>
    <w:rsid w:val="00553D4B"/>
    <w:rsid w:val="00553D64"/>
    <w:rsid w:val="00553DDF"/>
    <w:rsid w:val="00553F36"/>
    <w:rsid w:val="005540B8"/>
    <w:rsid w:val="0055436F"/>
    <w:rsid w:val="0055448F"/>
    <w:rsid w:val="005544AE"/>
    <w:rsid w:val="0055450D"/>
    <w:rsid w:val="00554730"/>
    <w:rsid w:val="005547F7"/>
    <w:rsid w:val="00554BBA"/>
    <w:rsid w:val="00554BFF"/>
    <w:rsid w:val="00554CF4"/>
    <w:rsid w:val="00554F24"/>
    <w:rsid w:val="0055513A"/>
    <w:rsid w:val="005551A8"/>
    <w:rsid w:val="00555222"/>
    <w:rsid w:val="005552EF"/>
    <w:rsid w:val="005554CB"/>
    <w:rsid w:val="005555AC"/>
    <w:rsid w:val="005556EA"/>
    <w:rsid w:val="00555838"/>
    <w:rsid w:val="00555AF2"/>
    <w:rsid w:val="00555BFE"/>
    <w:rsid w:val="00555C6E"/>
    <w:rsid w:val="00555C8B"/>
    <w:rsid w:val="00555D6A"/>
    <w:rsid w:val="00555E08"/>
    <w:rsid w:val="00555F1D"/>
    <w:rsid w:val="00556163"/>
    <w:rsid w:val="0055647D"/>
    <w:rsid w:val="00556656"/>
    <w:rsid w:val="005566A6"/>
    <w:rsid w:val="005566C4"/>
    <w:rsid w:val="00556710"/>
    <w:rsid w:val="00556875"/>
    <w:rsid w:val="00556A46"/>
    <w:rsid w:val="00556AE7"/>
    <w:rsid w:val="00556B56"/>
    <w:rsid w:val="00556BE3"/>
    <w:rsid w:val="00557155"/>
    <w:rsid w:val="00557501"/>
    <w:rsid w:val="00557956"/>
    <w:rsid w:val="00557C72"/>
    <w:rsid w:val="00557D28"/>
    <w:rsid w:val="00557E32"/>
    <w:rsid w:val="00557FDD"/>
    <w:rsid w:val="00560282"/>
    <w:rsid w:val="005603F1"/>
    <w:rsid w:val="00560570"/>
    <w:rsid w:val="00560646"/>
    <w:rsid w:val="0056082A"/>
    <w:rsid w:val="00560866"/>
    <w:rsid w:val="0056096C"/>
    <w:rsid w:val="00560D40"/>
    <w:rsid w:val="00560F07"/>
    <w:rsid w:val="005611B0"/>
    <w:rsid w:val="00561334"/>
    <w:rsid w:val="00561453"/>
    <w:rsid w:val="005614D3"/>
    <w:rsid w:val="0056171A"/>
    <w:rsid w:val="0056181F"/>
    <w:rsid w:val="005618AA"/>
    <w:rsid w:val="005619C9"/>
    <w:rsid w:val="00561A06"/>
    <w:rsid w:val="00561D24"/>
    <w:rsid w:val="00561D8E"/>
    <w:rsid w:val="00561D9D"/>
    <w:rsid w:val="00561E62"/>
    <w:rsid w:val="005626CC"/>
    <w:rsid w:val="00562700"/>
    <w:rsid w:val="00562768"/>
    <w:rsid w:val="00562A88"/>
    <w:rsid w:val="00562AEE"/>
    <w:rsid w:val="00562B81"/>
    <w:rsid w:val="00562CAE"/>
    <w:rsid w:val="00563006"/>
    <w:rsid w:val="0056306C"/>
    <w:rsid w:val="0056339E"/>
    <w:rsid w:val="00563461"/>
    <w:rsid w:val="005636EC"/>
    <w:rsid w:val="00563D87"/>
    <w:rsid w:val="00563DCF"/>
    <w:rsid w:val="00563E28"/>
    <w:rsid w:val="00563E46"/>
    <w:rsid w:val="00563F35"/>
    <w:rsid w:val="00563FB7"/>
    <w:rsid w:val="0056407A"/>
    <w:rsid w:val="005641ED"/>
    <w:rsid w:val="0056421B"/>
    <w:rsid w:val="005642E5"/>
    <w:rsid w:val="005648A3"/>
    <w:rsid w:val="005648B6"/>
    <w:rsid w:val="005648B8"/>
    <w:rsid w:val="005648F7"/>
    <w:rsid w:val="00564A53"/>
    <w:rsid w:val="00564A79"/>
    <w:rsid w:val="00564AC9"/>
    <w:rsid w:val="00564B76"/>
    <w:rsid w:val="00564DB2"/>
    <w:rsid w:val="00564F01"/>
    <w:rsid w:val="00564F08"/>
    <w:rsid w:val="00565012"/>
    <w:rsid w:val="005651A8"/>
    <w:rsid w:val="005651D7"/>
    <w:rsid w:val="005651FD"/>
    <w:rsid w:val="00565490"/>
    <w:rsid w:val="0056568F"/>
    <w:rsid w:val="00565696"/>
    <w:rsid w:val="0056583E"/>
    <w:rsid w:val="00565EA4"/>
    <w:rsid w:val="00565EC7"/>
    <w:rsid w:val="00565F3B"/>
    <w:rsid w:val="005661B6"/>
    <w:rsid w:val="005662E2"/>
    <w:rsid w:val="00566452"/>
    <w:rsid w:val="005665FD"/>
    <w:rsid w:val="0056666B"/>
    <w:rsid w:val="0056668F"/>
    <w:rsid w:val="00566700"/>
    <w:rsid w:val="00566B53"/>
    <w:rsid w:val="00566D7A"/>
    <w:rsid w:val="00566F75"/>
    <w:rsid w:val="00566FB0"/>
    <w:rsid w:val="0056707D"/>
    <w:rsid w:val="005670DF"/>
    <w:rsid w:val="00567260"/>
    <w:rsid w:val="005673EC"/>
    <w:rsid w:val="00567416"/>
    <w:rsid w:val="00567454"/>
    <w:rsid w:val="00567458"/>
    <w:rsid w:val="00567578"/>
    <w:rsid w:val="005676C7"/>
    <w:rsid w:val="005679D5"/>
    <w:rsid w:val="00567B06"/>
    <w:rsid w:val="00567B87"/>
    <w:rsid w:val="00567CD7"/>
    <w:rsid w:val="00567DFF"/>
    <w:rsid w:val="00567E27"/>
    <w:rsid w:val="00570020"/>
    <w:rsid w:val="00570034"/>
    <w:rsid w:val="00570290"/>
    <w:rsid w:val="00570389"/>
    <w:rsid w:val="00570638"/>
    <w:rsid w:val="00570844"/>
    <w:rsid w:val="0057089D"/>
    <w:rsid w:val="0057094D"/>
    <w:rsid w:val="00570AE3"/>
    <w:rsid w:val="00570B58"/>
    <w:rsid w:val="00570C6E"/>
    <w:rsid w:val="00570F8B"/>
    <w:rsid w:val="00570F95"/>
    <w:rsid w:val="00571066"/>
    <w:rsid w:val="00571236"/>
    <w:rsid w:val="00571395"/>
    <w:rsid w:val="00571431"/>
    <w:rsid w:val="0057187A"/>
    <w:rsid w:val="005718D3"/>
    <w:rsid w:val="00571AB1"/>
    <w:rsid w:val="00571B4F"/>
    <w:rsid w:val="00571BAE"/>
    <w:rsid w:val="00571C3B"/>
    <w:rsid w:val="00571D40"/>
    <w:rsid w:val="00571D92"/>
    <w:rsid w:val="00571DDF"/>
    <w:rsid w:val="00572119"/>
    <w:rsid w:val="00572477"/>
    <w:rsid w:val="00572565"/>
    <w:rsid w:val="00572872"/>
    <w:rsid w:val="005729C1"/>
    <w:rsid w:val="00572F27"/>
    <w:rsid w:val="00572F67"/>
    <w:rsid w:val="00573180"/>
    <w:rsid w:val="005731C8"/>
    <w:rsid w:val="0057327D"/>
    <w:rsid w:val="005732DB"/>
    <w:rsid w:val="005733A9"/>
    <w:rsid w:val="005734CA"/>
    <w:rsid w:val="0057358A"/>
    <w:rsid w:val="00573997"/>
    <w:rsid w:val="00573AC1"/>
    <w:rsid w:val="00573C78"/>
    <w:rsid w:val="00573DFA"/>
    <w:rsid w:val="0057400F"/>
    <w:rsid w:val="0057432C"/>
    <w:rsid w:val="0057433E"/>
    <w:rsid w:val="00574692"/>
    <w:rsid w:val="00574708"/>
    <w:rsid w:val="00574766"/>
    <w:rsid w:val="0057477D"/>
    <w:rsid w:val="00574973"/>
    <w:rsid w:val="00575175"/>
    <w:rsid w:val="00575182"/>
    <w:rsid w:val="00575337"/>
    <w:rsid w:val="00575594"/>
    <w:rsid w:val="005757C0"/>
    <w:rsid w:val="005758ED"/>
    <w:rsid w:val="00575B52"/>
    <w:rsid w:val="00575BE3"/>
    <w:rsid w:val="00575C3B"/>
    <w:rsid w:val="00575CC7"/>
    <w:rsid w:val="0057656C"/>
    <w:rsid w:val="0057668C"/>
    <w:rsid w:val="0057668E"/>
    <w:rsid w:val="005766C0"/>
    <w:rsid w:val="0057688C"/>
    <w:rsid w:val="00576A1E"/>
    <w:rsid w:val="00576B8D"/>
    <w:rsid w:val="00576BCC"/>
    <w:rsid w:val="00576C4A"/>
    <w:rsid w:val="00576F28"/>
    <w:rsid w:val="005771CE"/>
    <w:rsid w:val="005772B1"/>
    <w:rsid w:val="0057747B"/>
    <w:rsid w:val="005774BA"/>
    <w:rsid w:val="005776AE"/>
    <w:rsid w:val="00577801"/>
    <w:rsid w:val="0057793B"/>
    <w:rsid w:val="00577987"/>
    <w:rsid w:val="00577A95"/>
    <w:rsid w:val="00577B8A"/>
    <w:rsid w:val="00577BEF"/>
    <w:rsid w:val="00577CCE"/>
    <w:rsid w:val="00577F62"/>
    <w:rsid w:val="00577FC3"/>
    <w:rsid w:val="005800B3"/>
    <w:rsid w:val="005802A5"/>
    <w:rsid w:val="005804B2"/>
    <w:rsid w:val="0058075D"/>
    <w:rsid w:val="00580767"/>
    <w:rsid w:val="005807D3"/>
    <w:rsid w:val="005809F9"/>
    <w:rsid w:val="00580E83"/>
    <w:rsid w:val="00580EC9"/>
    <w:rsid w:val="00580F06"/>
    <w:rsid w:val="00581203"/>
    <w:rsid w:val="00581274"/>
    <w:rsid w:val="005812E4"/>
    <w:rsid w:val="005812ED"/>
    <w:rsid w:val="00581456"/>
    <w:rsid w:val="005814A4"/>
    <w:rsid w:val="005816C5"/>
    <w:rsid w:val="0058180C"/>
    <w:rsid w:val="0058187F"/>
    <w:rsid w:val="005818CB"/>
    <w:rsid w:val="005819D2"/>
    <w:rsid w:val="00581A0C"/>
    <w:rsid w:val="00581A37"/>
    <w:rsid w:val="00581C53"/>
    <w:rsid w:val="00581DDB"/>
    <w:rsid w:val="00581F8B"/>
    <w:rsid w:val="0058200B"/>
    <w:rsid w:val="005821FC"/>
    <w:rsid w:val="00582376"/>
    <w:rsid w:val="0058240E"/>
    <w:rsid w:val="00582505"/>
    <w:rsid w:val="0058265B"/>
    <w:rsid w:val="005827A8"/>
    <w:rsid w:val="00582874"/>
    <w:rsid w:val="00582B90"/>
    <w:rsid w:val="00582CAE"/>
    <w:rsid w:val="00582DFF"/>
    <w:rsid w:val="00582E52"/>
    <w:rsid w:val="00582E96"/>
    <w:rsid w:val="00582F80"/>
    <w:rsid w:val="005832F4"/>
    <w:rsid w:val="00583303"/>
    <w:rsid w:val="00583421"/>
    <w:rsid w:val="00583466"/>
    <w:rsid w:val="0058360F"/>
    <w:rsid w:val="0058378D"/>
    <w:rsid w:val="005838AF"/>
    <w:rsid w:val="005838C4"/>
    <w:rsid w:val="005839E0"/>
    <w:rsid w:val="00583A69"/>
    <w:rsid w:val="00583CE0"/>
    <w:rsid w:val="00583E28"/>
    <w:rsid w:val="00583E5B"/>
    <w:rsid w:val="0058400C"/>
    <w:rsid w:val="0058424B"/>
    <w:rsid w:val="00584282"/>
    <w:rsid w:val="005842D7"/>
    <w:rsid w:val="00584481"/>
    <w:rsid w:val="005844CF"/>
    <w:rsid w:val="00584620"/>
    <w:rsid w:val="005846AF"/>
    <w:rsid w:val="00584843"/>
    <w:rsid w:val="00584A2B"/>
    <w:rsid w:val="00584B4F"/>
    <w:rsid w:val="00584CC8"/>
    <w:rsid w:val="00584D00"/>
    <w:rsid w:val="00584D3C"/>
    <w:rsid w:val="00584DDE"/>
    <w:rsid w:val="00584EE8"/>
    <w:rsid w:val="00584FE8"/>
    <w:rsid w:val="00584FF2"/>
    <w:rsid w:val="00585027"/>
    <w:rsid w:val="00585226"/>
    <w:rsid w:val="00585407"/>
    <w:rsid w:val="0058576F"/>
    <w:rsid w:val="005858BB"/>
    <w:rsid w:val="00585A30"/>
    <w:rsid w:val="00585A47"/>
    <w:rsid w:val="00585A94"/>
    <w:rsid w:val="00585B66"/>
    <w:rsid w:val="00585BCB"/>
    <w:rsid w:val="00585D24"/>
    <w:rsid w:val="00585E15"/>
    <w:rsid w:val="00585EE4"/>
    <w:rsid w:val="00585FF0"/>
    <w:rsid w:val="00586050"/>
    <w:rsid w:val="0058651A"/>
    <w:rsid w:val="0058655A"/>
    <w:rsid w:val="005866D4"/>
    <w:rsid w:val="005867DA"/>
    <w:rsid w:val="00586A37"/>
    <w:rsid w:val="00586D60"/>
    <w:rsid w:val="00586F43"/>
    <w:rsid w:val="00586FDD"/>
    <w:rsid w:val="0058711A"/>
    <w:rsid w:val="00587317"/>
    <w:rsid w:val="00587438"/>
    <w:rsid w:val="005875EE"/>
    <w:rsid w:val="00587801"/>
    <w:rsid w:val="00587A28"/>
    <w:rsid w:val="00587AAE"/>
    <w:rsid w:val="00587AB6"/>
    <w:rsid w:val="00587BD5"/>
    <w:rsid w:val="00587C18"/>
    <w:rsid w:val="00587D52"/>
    <w:rsid w:val="0059008B"/>
    <w:rsid w:val="00590352"/>
    <w:rsid w:val="005903AC"/>
    <w:rsid w:val="0059062B"/>
    <w:rsid w:val="005906FC"/>
    <w:rsid w:val="00590716"/>
    <w:rsid w:val="005908C3"/>
    <w:rsid w:val="005908FB"/>
    <w:rsid w:val="00590AC8"/>
    <w:rsid w:val="00590C20"/>
    <w:rsid w:val="00590C4C"/>
    <w:rsid w:val="00591075"/>
    <w:rsid w:val="00591AD3"/>
    <w:rsid w:val="00591DE8"/>
    <w:rsid w:val="005921CD"/>
    <w:rsid w:val="0059229B"/>
    <w:rsid w:val="005922B8"/>
    <w:rsid w:val="0059245C"/>
    <w:rsid w:val="00592489"/>
    <w:rsid w:val="005924AB"/>
    <w:rsid w:val="00592799"/>
    <w:rsid w:val="00592999"/>
    <w:rsid w:val="0059299C"/>
    <w:rsid w:val="0059299D"/>
    <w:rsid w:val="00592DB0"/>
    <w:rsid w:val="00592DFA"/>
    <w:rsid w:val="00592E0F"/>
    <w:rsid w:val="00592EBE"/>
    <w:rsid w:val="0059306E"/>
    <w:rsid w:val="005934B0"/>
    <w:rsid w:val="0059360E"/>
    <w:rsid w:val="00593628"/>
    <w:rsid w:val="00593629"/>
    <w:rsid w:val="0059379F"/>
    <w:rsid w:val="00593914"/>
    <w:rsid w:val="0059393B"/>
    <w:rsid w:val="0059398A"/>
    <w:rsid w:val="00593A96"/>
    <w:rsid w:val="00593CE0"/>
    <w:rsid w:val="00593CFE"/>
    <w:rsid w:val="00593D2B"/>
    <w:rsid w:val="00593E6C"/>
    <w:rsid w:val="00594049"/>
    <w:rsid w:val="005940B0"/>
    <w:rsid w:val="00594195"/>
    <w:rsid w:val="00594219"/>
    <w:rsid w:val="00594580"/>
    <w:rsid w:val="00594899"/>
    <w:rsid w:val="005948B9"/>
    <w:rsid w:val="00594D33"/>
    <w:rsid w:val="00594DD6"/>
    <w:rsid w:val="00594E72"/>
    <w:rsid w:val="00594F9F"/>
    <w:rsid w:val="00594FAB"/>
    <w:rsid w:val="005951EE"/>
    <w:rsid w:val="0059532D"/>
    <w:rsid w:val="005953FB"/>
    <w:rsid w:val="00595465"/>
    <w:rsid w:val="005954BD"/>
    <w:rsid w:val="005955F8"/>
    <w:rsid w:val="00595B93"/>
    <w:rsid w:val="00595BB1"/>
    <w:rsid w:val="00595BE7"/>
    <w:rsid w:val="00595CB2"/>
    <w:rsid w:val="00595CCC"/>
    <w:rsid w:val="00595F47"/>
    <w:rsid w:val="0059607E"/>
    <w:rsid w:val="0059610D"/>
    <w:rsid w:val="0059616C"/>
    <w:rsid w:val="00596191"/>
    <w:rsid w:val="005961AC"/>
    <w:rsid w:val="00596400"/>
    <w:rsid w:val="005967E9"/>
    <w:rsid w:val="00596C74"/>
    <w:rsid w:val="00596DB0"/>
    <w:rsid w:val="00596E26"/>
    <w:rsid w:val="00596FF7"/>
    <w:rsid w:val="005970C2"/>
    <w:rsid w:val="0059726B"/>
    <w:rsid w:val="0059731A"/>
    <w:rsid w:val="005973B8"/>
    <w:rsid w:val="005973E1"/>
    <w:rsid w:val="005974A1"/>
    <w:rsid w:val="00597715"/>
    <w:rsid w:val="00597E54"/>
    <w:rsid w:val="00597ED7"/>
    <w:rsid w:val="00597F3E"/>
    <w:rsid w:val="005A0266"/>
    <w:rsid w:val="005A042D"/>
    <w:rsid w:val="005A04E1"/>
    <w:rsid w:val="005A0548"/>
    <w:rsid w:val="005A0569"/>
    <w:rsid w:val="005A067F"/>
    <w:rsid w:val="005A09B6"/>
    <w:rsid w:val="005A0C04"/>
    <w:rsid w:val="005A0D2D"/>
    <w:rsid w:val="005A0DE1"/>
    <w:rsid w:val="005A1176"/>
    <w:rsid w:val="005A1405"/>
    <w:rsid w:val="005A14AA"/>
    <w:rsid w:val="005A181C"/>
    <w:rsid w:val="005A1A6F"/>
    <w:rsid w:val="005A1BCD"/>
    <w:rsid w:val="005A1C79"/>
    <w:rsid w:val="005A1E2F"/>
    <w:rsid w:val="005A1FD4"/>
    <w:rsid w:val="005A223A"/>
    <w:rsid w:val="005A225F"/>
    <w:rsid w:val="005A22AA"/>
    <w:rsid w:val="005A22DC"/>
    <w:rsid w:val="005A2380"/>
    <w:rsid w:val="005A255D"/>
    <w:rsid w:val="005A2714"/>
    <w:rsid w:val="005A272A"/>
    <w:rsid w:val="005A2B15"/>
    <w:rsid w:val="005A2C36"/>
    <w:rsid w:val="005A2E26"/>
    <w:rsid w:val="005A2FBF"/>
    <w:rsid w:val="005A30F9"/>
    <w:rsid w:val="005A33E6"/>
    <w:rsid w:val="005A3465"/>
    <w:rsid w:val="005A3670"/>
    <w:rsid w:val="005A3792"/>
    <w:rsid w:val="005A37EA"/>
    <w:rsid w:val="005A3858"/>
    <w:rsid w:val="005A38AF"/>
    <w:rsid w:val="005A3944"/>
    <w:rsid w:val="005A3A6C"/>
    <w:rsid w:val="005A3C21"/>
    <w:rsid w:val="005A3CF2"/>
    <w:rsid w:val="005A3D01"/>
    <w:rsid w:val="005A3DA7"/>
    <w:rsid w:val="005A3E50"/>
    <w:rsid w:val="005A3FA0"/>
    <w:rsid w:val="005A4032"/>
    <w:rsid w:val="005A404F"/>
    <w:rsid w:val="005A4579"/>
    <w:rsid w:val="005A4B81"/>
    <w:rsid w:val="005A4C84"/>
    <w:rsid w:val="005A4D26"/>
    <w:rsid w:val="005A4DDF"/>
    <w:rsid w:val="005A4F9F"/>
    <w:rsid w:val="005A5324"/>
    <w:rsid w:val="005A53B3"/>
    <w:rsid w:val="005A545F"/>
    <w:rsid w:val="005A5515"/>
    <w:rsid w:val="005A55E6"/>
    <w:rsid w:val="005A5777"/>
    <w:rsid w:val="005A588B"/>
    <w:rsid w:val="005A596A"/>
    <w:rsid w:val="005A5C17"/>
    <w:rsid w:val="005A5CAD"/>
    <w:rsid w:val="005A5E7E"/>
    <w:rsid w:val="005A5F52"/>
    <w:rsid w:val="005A5FA1"/>
    <w:rsid w:val="005A6106"/>
    <w:rsid w:val="005A6264"/>
    <w:rsid w:val="005A66B2"/>
    <w:rsid w:val="005A685E"/>
    <w:rsid w:val="005A6B09"/>
    <w:rsid w:val="005A6C5E"/>
    <w:rsid w:val="005A6CBF"/>
    <w:rsid w:val="005A6E46"/>
    <w:rsid w:val="005A6E7A"/>
    <w:rsid w:val="005A6F54"/>
    <w:rsid w:val="005A7313"/>
    <w:rsid w:val="005A738E"/>
    <w:rsid w:val="005A74AC"/>
    <w:rsid w:val="005A7513"/>
    <w:rsid w:val="005A753A"/>
    <w:rsid w:val="005A77FD"/>
    <w:rsid w:val="005A7801"/>
    <w:rsid w:val="005A7A83"/>
    <w:rsid w:val="005A7C4E"/>
    <w:rsid w:val="005A7C5E"/>
    <w:rsid w:val="005A7D85"/>
    <w:rsid w:val="005A7FC7"/>
    <w:rsid w:val="005B00D2"/>
    <w:rsid w:val="005B029D"/>
    <w:rsid w:val="005B06AA"/>
    <w:rsid w:val="005B0778"/>
    <w:rsid w:val="005B0D27"/>
    <w:rsid w:val="005B0D8D"/>
    <w:rsid w:val="005B0E75"/>
    <w:rsid w:val="005B0F48"/>
    <w:rsid w:val="005B0F49"/>
    <w:rsid w:val="005B0FA4"/>
    <w:rsid w:val="005B0FD1"/>
    <w:rsid w:val="005B10FA"/>
    <w:rsid w:val="005B127A"/>
    <w:rsid w:val="005B156A"/>
    <w:rsid w:val="005B15BA"/>
    <w:rsid w:val="005B16B4"/>
    <w:rsid w:val="005B16BA"/>
    <w:rsid w:val="005B17C0"/>
    <w:rsid w:val="005B191A"/>
    <w:rsid w:val="005B1BD0"/>
    <w:rsid w:val="005B1BF8"/>
    <w:rsid w:val="005B1EC2"/>
    <w:rsid w:val="005B1F11"/>
    <w:rsid w:val="005B1F5F"/>
    <w:rsid w:val="005B1F9A"/>
    <w:rsid w:val="005B2009"/>
    <w:rsid w:val="005B2063"/>
    <w:rsid w:val="005B20AF"/>
    <w:rsid w:val="005B22FA"/>
    <w:rsid w:val="005B2344"/>
    <w:rsid w:val="005B27EA"/>
    <w:rsid w:val="005B28DD"/>
    <w:rsid w:val="005B2D08"/>
    <w:rsid w:val="005B3019"/>
    <w:rsid w:val="005B30F6"/>
    <w:rsid w:val="005B333D"/>
    <w:rsid w:val="005B33D8"/>
    <w:rsid w:val="005B346C"/>
    <w:rsid w:val="005B373E"/>
    <w:rsid w:val="005B38CF"/>
    <w:rsid w:val="005B3965"/>
    <w:rsid w:val="005B39E1"/>
    <w:rsid w:val="005B3A4D"/>
    <w:rsid w:val="005B3C11"/>
    <w:rsid w:val="005B4067"/>
    <w:rsid w:val="005B4250"/>
    <w:rsid w:val="005B4260"/>
    <w:rsid w:val="005B480B"/>
    <w:rsid w:val="005B4845"/>
    <w:rsid w:val="005B4883"/>
    <w:rsid w:val="005B4921"/>
    <w:rsid w:val="005B4A8D"/>
    <w:rsid w:val="005B4B36"/>
    <w:rsid w:val="005B4B80"/>
    <w:rsid w:val="005B4E01"/>
    <w:rsid w:val="005B4E80"/>
    <w:rsid w:val="005B4FDF"/>
    <w:rsid w:val="005B50E4"/>
    <w:rsid w:val="005B50F6"/>
    <w:rsid w:val="005B52B0"/>
    <w:rsid w:val="005B52E2"/>
    <w:rsid w:val="005B5448"/>
    <w:rsid w:val="005B55F6"/>
    <w:rsid w:val="005B577A"/>
    <w:rsid w:val="005B5D8B"/>
    <w:rsid w:val="005B5F81"/>
    <w:rsid w:val="005B5FA4"/>
    <w:rsid w:val="005B63E7"/>
    <w:rsid w:val="005B669C"/>
    <w:rsid w:val="005B68D4"/>
    <w:rsid w:val="005B6A01"/>
    <w:rsid w:val="005B6A04"/>
    <w:rsid w:val="005B6BB6"/>
    <w:rsid w:val="005B6C55"/>
    <w:rsid w:val="005B6DD2"/>
    <w:rsid w:val="005B726C"/>
    <w:rsid w:val="005B740B"/>
    <w:rsid w:val="005B7555"/>
    <w:rsid w:val="005B763B"/>
    <w:rsid w:val="005B7675"/>
    <w:rsid w:val="005B76F3"/>
    <w:rsid w:val="005B7748"/>
    <w:rsid w:val="005B7AF8"/>
    <w:rsid w:val="005B7B45"/>
    <w:rsid w:val="005B7B60"/>
    <w:rsid w:val="005B7C66"/>
    <w:rsid w:val="005B7F0A"/>
    <w:rsid w:val="005C002F"/>
    <w:rsid w:val="005C01F8"/>
    <w:rsid w:val="005C0204"/>
    <w:rsid w:val="005C0331"/>
    <w:rsid w:val="005C03A8"/>
    <w:rsid w:val="005C0541"/>
    <w:rsid w:val="005C0616"/>
    <w:rsid w:val="005C09EE"/>
    <w:rsid w:val="005C0C16"/>
    <w:rsid w:val="005C0C2D"/>
    <w:rsid w:val="005C0D9D"/>
    <w:rsid w:val="005C0E9C"/>
    <w:rsid w:val="005C0F94"/>
    <w:rsid w:val="005C102A"/>
    <w:rsid w:val="005C10BD"/>
    <w:rsid w:val="005C11D4"/>
    <w:rsid w:val="005C13A2"/>
    <w:rsid w:val="005C14DC"/>
    <w:rsid w:val="005C14FB"/>
    <w:rsid w:val="005C1683"/>
    <w:rsid w:val="005C17F5"/>
    <w:rsid w:val="005C1973"/>
    <w:rsid w:val="005C19C4"/>
    <w:rsid w:val="005C1B5F"/>
    <w:rsid w:val="005C1BC8"/>
    <w:rsid w:val="005C1C3D"/>
    <w:rsid w:val="005C1CE8"/>
    <w:rsid w:val="005C1FBE"/>
    <w:rsid w:val="005C2343"/>
    <w:rsid w:val="005C25A7"/>
    <w:rsid w:val="005C2811"/>
    <w:rsid w:val="005C2A68"/>
    <w:rsid w:val="005C2AD9"/>
    <w:rsid w:val="005C2C53"/>
    <w:rsid w:val="005C2C7D"/>
    <w:rsid w:val="005C2D65"/>
    <w:rsid w:val="005C2F29"/>
    <w:rsid w:val="005C33A7"/>
    <w:rsid w:val="005C3537"/>
    <w:rsid w:val="005C3A9C"/>
    <w:rsid w:val="005C3D63"/>
    <w:rsid w:val="005C3FC4"/>
    <w:rsid w:val="005C427C"/>
    <w:rsid w:val="005C43D1"/>
    <w:rsid w:val="005C4491"/>
    <w:rsid w:val="005C4519"/>
    <w:rsid w:val="005C4769"/>
    <w:rsid w:val="005C4776"/>
    <w:rsid w:val="005C4855"/>
    <w:rsid w:val="005C4947"/>
    <w:rsid w:val="005C4A1D"/>
    <w:rsid w:val="005C4B83"/>
    <w:rsid w:val="005C4C63"/>
    <w:rsid w:val="005C4D4A"/>
    <w:rsid w:val="005C5109"/>
    <w:rsid w:val="005C5325"/>
    <w:rsid w:val="005C53AC"/>
    <w:rsid w:val="005C53F8"/>
    <w:rsid w:val="005C55E5"/>
    <w:rsid w:val="005C57DD"/>
    <w:rsid w:val="005C5818"/>
    <w:rsid w:val="005C5895"/>
    <w:rsid w:val="005C58E1"/>
    <w:rsid w:val="005C596D"/>
    <w:rsid w:val="005C5A4F"/>
    <w:rsid w:val="005C5C5E"/>
    <w:rsid w:val="005C5D79"/>
    <w:rsid w:val="005C5EE9"/>
    <w:rsid w:val="005C5EF3"/>
    <w:rsid w:val="005C5F54"/>
    <w:rsid w:val="005C6131"/>
    <w:rsid w:val="005C62A7"/>
    <w:rsid w:val="005C6415"/>
    <w:rsid w:val="005C659A"/>
    <w:rsid w:val="005C66A6"/>
    <w:rsid w:val="005C6760"/>
    <w:rsid w:val="005C690F"/>
    <w:rsid w:val="005C6957"/>
    <w:rsid w:val="005C6A7D"/>
    <w:rsid w:val="005C6B13"/>
    <w:rsid w:val="005C6B81"/>
    <w:rsid w:val="005C6FC8"/>
    <w:rsid w:val="005C731F"/>
    <w:rsid w:val="005C7349"/>
    <w:rsid w:val="005C753B"/>
    <w:rsid w:val="005C7565"/>
    <w:rsid w:val="005C75BF"/>
    <w:rsid w:val="005C7611"/>
    <w:rsid w:val="005C77B7"/>
    <w:rsid w:val="005C781E"/>
    <w:rsid w:val="005C7831"/>
    <w:rsid w:val="005C7962"/>
    <w:rsid w:val="005C7D98"/>
    <w:rsid w:val="005C7EFC"/>
    <w:rsid w:val="005C7F04"/>
    <w:rsid w:val="005C7F4C"/>
    <w:rsid w:val="005C7FF8"/>
    <w:rsid w:val="005D015D"/>
    <w:rsid w:val="005D01E2"/>
    <w:rsid w:val="005D0342"/>
    <w:rsid w:val="005D06AA"/>
    <w:rsid w:val="005D0894"/>
    <w:rsid w:val="005D0B3F"/>
    <w:rsid w:val="005D0D60"/>
    <w:rsid w:val="005D0E4C"/>
    <w:rsid w:val="005D0E78"/>
    <w:rsid w:val="005D0E9B"/>
    <w:rsid w:val="005D10BA"/>
    <w:rsid w:val="005D1143"/>
    <w:rsid w:val="005D12A4"/>
    <w:rsid w:val="005D140C"/>
    <w:rsid w:val="005D142B"/>
    <w:rsid w:val="005D148C"/>
    <w:rsid w:val="005D157B"/>
    <w:rsid w:val="005D165E"/>
    <w:rsid w:val="005D1684"/>
    <w:rsid w:val="005D17DF"/>
    <w:rsid w:val="005D1805"/>
    <w:rsid w:val="005D180D"/>
    <w:rsid w:val="005D1AF4"/>
    <w:rsid w:val="005D1FCA"/>
    <w:rsid w:val="005D2053"/>
    <w:rsid w:val="005D2328"/>
    <w:rsid w:val="005D2419"/>
    <w:rsid w:val="005D24EA"/>
    <w:rsid w:val="005D27C7"/>
    <w:rsid w:val="005D2838"/>
    <w:rsid w:val="005D2AC4"/>
    <w:rsid w:val="005D2BF6"/>
    <w:rsid w:val="005D2F40"/>
    <w:rsid w:val="005D30F9"/>
    <w:rsid w:val="005D3160"/>
    <w:rsid w:val="005D317F"/>
    <w:rsid w:val="005D32A1"/>
    <w:rsid w:val="005D3341"/>
    <w:rsid w:val="005D33BD"/>
    <w:rsid w:val="005D3525"/>
    <w:rsid w:val="005D357A"/>
    <w:rsid w:val="005D3666"/>
    <w:rsid w:val="005D37DC"/>
    <w:rsid w:val="005D3898"/>
    <w:rsid w:val="005D391C"/>
    <w:rsid w:val="005D3AC0"/>
    <w:rsid w:val="005D3B94"/>
    <w:rsid w:val="005D3BCC"/>
    <w:rsid w:val="005D3CF3"/>
    <w:rsid w:val="005D3FD4"/>
    <w:rsid w:val="005D404C"/>
    <w:rsid w:val="005D45C9"/>
    <w:rsid w:val="005D45EF"/>
    <w:rsid w:val="005D4772"/>
    <w:rsid w:val="005D4A32"/>
    <w:rsid w:val="005D4AC6"/>
    <w:rsid w:val="005D4AEE"/>
    <w:rsid w:val="005D4D2A"/>
    <w:rsid w:val="005D4D89"/>
    <w:rsid w:val="005D4E11"/>
    <w:rsid w:val="005D4E53"/>
    <w:rsid w:val="005D4EE2"/>
    <w:rsid w:val="005D4F9F"/>
    <w:rsid w:val="005D50DF"/>
    <w:rsid w:val="005D527B"/>
    <w:rsid w:val="005D5381"/>
    <w:rsid w:val="005D53E6"/>
    <w:rsid w:val="005D5865"/>
    <w:rsid w:val="005D59A6"/>
    <w:rsid w:val="005D5B0A"/>
    <w:rsid w:val="005D5CF8"/>
    <w:rsid w:val="005D5D05"/>
    <w:rsid w:val="005D5DA4"/>
    <w:rsid w:val="005D5DD9"/>
    <w:rsid w:val="005D5EB5"/>
    <w:rsid w:val="005D5EE7"/>
    <w:rsid w:val="005D5F55"/>
    <w:rsid w:val="005D60FA"/>
    <w:rsid w:val="005D6335"/>
    <w:rsid w:val="005D6487"/>
    <w:rsid w:val="005D68C8"/>
    <w:rsid w:val="005D694A"/>
    <w:rsid w:val="005D6AA6"/>
    <w:rsid w:val="005D6D26"/>
    <w:rsid w:val="005D6E11"/>
    <w:rsid w:val="005D71A4"/>
    <w:rsid w:val="005D71BC"/>
    <w:rsid w:val="005D7214"/>
    <w:rsid w:val="005D7230"/>
    <w:rsid w:val="005D72BE"/>
    <w:rsid w:val="005D7352"/>
    <w:rsid w:val="005D7436"/>
    <w:rsid w:val="005D7650"/>
    <w:rsid w:val="005D7830"/>
    <w:rsid w:val="005D7843"/>
    <w:rsid w:val="005D7AC6"/>
    <w:rsid w:val="005D7AF9"/>
    <w:rsid w:val="005D7EBD"/>
    <w:rsid w:val="005E0412"/>
    <w:rsid w:val="005E0475"/>
    <w:rsid w:val="005E054C"/>
    <w:rsid w:val="005E05AB"/>
    <w:rsid w:val="005E0773"/>
    <w:rsid w:val="005E07D9"/>
    <w:rsid w:val="005E0BE4"/>
    <w:rsid w:val="005E0BF6"/>
    <w:rsid w:val="005E0CEE"/>
    <w:rsid w:val="005E0F57"/>
    <w:rsid w:val="005E10D4"/>
    <w:rsid w:val="005E11F2"/>
    <w:rsid w:val="005E13CF"/>
    <w:rsid w:val="005E148E"/>
    <w:rsid w:val="005E1632"/>
    <w:rsid w:val="005E1770"/>
    <w:rsid w:val="005E17A8"/>
    <w:rsid w:val="005E1A76"/>
    <w:rsid w:val="005E1B0E"/>
    <w:rsid w:val="005E1B91"/>
    <w:rsid w:val="005E1C97"/>
    <w:rsid w:val="005E1DB3"/>
    <w:rsid w:val="005E1F3B"/>
    <w:rsid w:val="005E206B"/>
    <w:rsid w:val="005E226F"/>
    <w:rsid w:val="005E2292"/>
    <w:rsid w:val="005E2384"/>
    <w:rsid w:val="005E2756"/>
    <w:rsid w:val="005E282A"/>
    <w:rsid w:val="005E28B2"/>
    <w:rsid w:val="005E28EF"/>
    <w:rsid w:val="005E291C"/>
    <w:rsid w:val="005E299D"/>
    <w:rsid w:val="005E3349"/>
    <w:rsid w:val="005E35DD"/>
    <w:rsid w:val="005E35F3"/>
    <w:rsid w:val="005E3603"/>
    <w:rsid w:val="005E3BBC"/>
    <w:rsid w:val="005E3FCC"/>
    <w:rsid w:val="005E4075"/>
    <w:rsid w:val="005E4164"/>
    <w:rsid w:val="005E4206"/>
    <w:rsid w:val="005E4212"/>
    <w:rsid w:val="005E4527"/>
    <w:rsid w:val="005E4535"/>
    <w:rsid w:val="005E4758"/>
    <w:rsid w:val="005E47E9"/>
    <w:rsid w:val="005E487C"/>
    <w:rsid w:val="005E4B97"/>
    <w:rsid w:val="005E4B99"/>
    <w:rsid w:val="005E4D2D"/>
    <w:rsid w:val="005E551E"/>
    <w:rsid w:val="005E554B"/>
    <w:rsid w:val="005E5BD1"/>
    <w:rsid w:val="005E5C04"/>
    <w:rsid w:val="005E5DCC"/>
    <w:rsid w:val="005E5FE5"/>
    <w:rsid w:val="005E5FFB"/>
    <w:rsid w:val="005E6230"/>
    <w:rsid w:val="005E63B6"/>
    <w:rsid w:val="005E6551"/>
    <w:rsid w:val="005E6694"/>
    <w:rsid w:val="005E67F5"/>
    <w:rsid w:val="005E688F"/>
    <w:rsid w:val="005E68EF"/>
    <w:rsid w:val="005E693A"/>
    <w:rsid w:val="005E698C"/>
    <w:rsid w:val="005E6D89"/>
    <w:rsid w:val="005E6DF9"/>
    <w:rsid w:val="005E6EBD"/>
    <w:rsid w:val="005E6F5B"/>
    <w:rsid w:val="005E703D"/>
    <w:rsid w:val="005E7458"/>
    <w:rsid w:val="005E77A6"/>
    <w:rsid w:val="005E782E"/>
    <w:rsid w:val="005E78AE"/>
    <w:rsid w:val="005E78CC"/>
    <w:rsid w:val="005E78DB"/>
    <w:rsid w:val="005E78E5"/>
    <w:rsid w:val="005E7A30"/>
    <w:rsid w:val="005E7A61"/>
    <w:rsid w:val="005F0024"/>
    <w:rsid w:val="005F02F6"/>
    <w:rsid w:val="005F03D3"/>
    <w:rsid w:val="005F03DA"/>
    <w:rsid w:val="005F046B"/>
    <w:rsid w:val="005F08E2"/>
    <w:rsid w:val="005F09C0"/>
    <w:rsid w:val="005F13C7"/>
    <w:rsid w:val="005F153E"/>
    <w:rsid w:val="005F15BC"/>
    <w:rsid w:val="005F188D"/>
    <w:rsid w:val="005F19B3"/>
    <w:rsid w:val="005F1DD3"/>
    <w:rsid w:val="005F20F5"/>
    <w:rsid w:val="005F26C5"/>
    <w:rsid w:val="005F28B2"/>
    <w:rsid w:val="005F2A18"/>
    <w:rsid w:val="005F2B15"/>
    <w:rsid w:val="005F2BF8"/>
    <w:rsid w:val="005F2C95"/>
    <w:rsid w:val="005F2D36"/>
    <w:rsid w:val="005F2D7A"/>
    <w:rsid w:val="005F2DFF"/>
    <w:rsid w:val="005F2F81"/>
    <w:rsid w:val="005F3053"/>
    <w:rsid w:val="005F3149"/>
    <w:rsid w:val="005F332C"/>
    <w:rsid w:val="005F336B"/>
    <w:rsid w:val="005F3508"/>
    <w:rsid w:val="005F3558"/>
    <w:rsid w:val="005F36FC"/>
    <w:rsid w:val="005F391B"/>
    <w:rsid w:val="005F39C0"/>
    <w:rsid w:val="005F3A5B"/>
    <w:rsid w:val="005F3AD1"/>
    <w:rsid w:val="005F3ADA"/>
    <w:rsid w:val="005F3B5B"/>
    <w:rsid w:val="005F3BE0"/>
    <w:rsid w:val="005F3D04"/>
    <w:rsid w:val="005F3DBD"/>
    <w:rsid w:val="005F40AB"/>
    <w:rsid w:val="005F45F5"/>
    <w:rsid w:val="005F4693"/>
    <w:rsid w:val="005F4696"/>
    <w:rsid w:val="005F4861"/>
    <w:rsid w:val="005F4B5A"/>
    <w:rsid w:val="005F4BF4"/>
    <w:rsid w:val="005F4D9D"/>
    <w:rsid w:val="005F4E6F"/>
    <w:rsid w:val="005F4F21"/>
    <w:rsid w:val="005F4FFE"/>
    <w:rsid w:val="005F5074"/>
    <w:rsid w:val="005F5145"/>
    <w:rsid w:val="005F537F"/>
    <w:rsid w:val="005F5714"/>
    <w:rsid w:val="005F5AF6"/>
    <w:rsid w:val="005F6039"/>
    <w:rsid w:val="005F60DD"/>
    <w:rsid w:val="005F62E6"/>
    <w:rsid w:val="005F638F"/>
    <w:rsid w:val="005F6478"/>
    <w:rsid w:val="005F64BE"/>
    <w:rsid w:val="005F651E"/>
    <w:rsid w:val="005F6522"/>
    <w:rsid w:val="005F65DE"/>
    <w:rsid w:val="005F67CC"/>
    <w:rsid w:val="005F6802"/>
    <w:rsid w:val="005F68C6"/>
    <w:rsid w:val="005F6989"/>
    <w:rsid w:val="005F698B"/>
    <w:rsid w:val="005F69CF"/>
    <w:rsid w:val="005F6B6F"/>
    <w:rsid w:val="005F6BE2"/>
    <w:rsid w:val="005F6BFB"/>
    <w:rsid w:val="005F6D45"/>
    <w:rsid w:val="005F6D6B"/>
    <w:rsid w:val="005F716C"/>
    <w:rsid w:val="005F72DD"/>
    <w:rsid w:val="005F74C9"/>
    <w:rsid w:val="005F761A"/>
    <w:rsid w:val="005F76E9"/>
    <w:rsid w:val="005F7754"/>
    <w:rsid w:val="005F79D9"/>
    <w:rsid w:val="005F7A83"/>
    <w:rsid w:val="005F7B78"/>
    <w:rsid w:val="005F7F29"/>
    <w:rsid w:val="005F7FAE"/>
    <w:rsid w:val="005F7FE5"/>
    <w:rsid w:val="00600010"/>
    <w:rsid w:val="0060003B"/>
    <w:rsid w:val="006001B6"/>
    <w:rsid w:val="00600380"/>
    <w:rsid w:val="00600411"/>
    <w:rsid w:val="0060048B"/>
    <w:rsid w:val="006006CE"/>
    <w:rsid w:val="006007F3"/>
    <w:rsid w:val="0060082B"/>
    <w:rsid w:val="0060089C"/>
    <w:rsid w:val="00600A0B"/>
    <w:rsid w:val="00600A34"/>
    <w:rsid w:val="00600BAA"/>
    <w:rsid w:val="00600C2C"/>
    <w:rsid w:val="00600C70"/>
    <w:rsid w:val="00600C8E"/>
    <w:rsid w:val="00601089"/>
    <w:rsid w:val="006012D0"/>
    <w:rsid w:val="00601622"/>
    <w:rsid w:val="00601907"/>
    <w:rsid w:val="00601924"/>
    <w:rsid w:val="00601989"/>
    <w:rsid w:val="006019DE"/>
    <w:rsid w:val="00601A7D"/>
    <w:rsid w:val="00601B43"/>
    <w:rsid w:val="00601E66"/>
    <w:rsid w:val="00601ED4"/>
    <w:rsid w:val="00601F65"/>
    <w:rsid w:val="00602301"/>
    <w:rsid w:val="00602678"/>
    <w:rsid w:val="006026FA"/>
    <w:rsid w:val="0060277D"/>
    <w:rsid w:val="00602AC8"/>
    <w:rsid w:val="00602B89"/>
    <w:rsid w:val="00602DFC"/>
    <w:rsid w:val="00602E23"/>
    <w:rsid w:val="00603074"/>
    <w:rsid w:val="006030DF"/>
    <w:rsid w:val="00603200"/>
    <w:rsid w:val="006035AF"/>
    <w:rsid w:val="00603621"/>
    <w:rsid w:val="00603858"/>
    <w:rsid w:val="0060387C"/>
    <w:rsid w:val="00603AD5"/>
    <w:rsid w:val="00603B6F"/>
    <w:rsid w:val="00603C05"/>
    <w:rsid w:val="00603D1F"/>
    <w:rsid w:val="00603E73"/>
    <w:rsid w:val="00603F3B"/>
    <w:rsid w:val="00603FD3"/>
    <w:rsid w:val="006040CB"/>
    <w:rsid w:val="00604300"/>
    <w:rsid w:val="006045B2"/>
    <w:rsid w:val="00604627"/>
    <w:rsid w:val="0060464B"/>
    <w:rsid w:val="006049AC"/>
    <w:rsid w:val="00604A0C"/>
    <w:rsid w:val="00604B4E"/>
    <w:rsid w:val="00604B66"/>
    <w:rsid w:val="00604C12"/>
    <w:rsid w:val="00604C3F"/>
    <w:rsid w:val="00604E63"/>
    <w:rsid w:val="00604F16"/>
    <w:rsid w:val="00604FB1"/>
    <w:rsid w:val="00605009"/>
    <w:rsid w:val="00605455"/>
    <w:rsid w:val="00605685"/>
    <w:rsid w:val="0060588A"/>
    <w:rsid w:val="00605D78"/>
    <w:rsid w:val="00605DEC"/>
    <w:rsid w:val="00605F9A"/>
    <w:rsid w:val="006064CC"/>
    <w:rsid w:val="00606627"/>
    <w:rsid w:val="006066BD"/>
    <w:rsid w:val="00606904"/>
    <w:rsid w:val="00606967"/>
    <w:rsid w:val="00606AE7"/>
    <w:rsid w:val="00606B6F"/>
    <w:rsid w:val="00606BD8"/>
    <w:rsid w:val="00606CEC"/>
    <w:rsid w:val="00606D50"/>
    <w:rsid w:val="00606EF5"/>
    <w:rsid w:val="00606F37"/>
    <w:rsid w:val="0060704E"/>
    <w:rsid w:val="006073BF"/>
    <w:rsid w:val="006073D1"/>
    <w:rsid w:val="0060797D"/>
    <w:rsid w:val="00607B81"/>
    <w:rsid w:val="00607C48"/>
    <w:rsid w:val="00607C79"/>
    <w:rsid w:val="00607DBF"/>
    <w:rsid w:val="00607F1D"/>
    <w:rsid w:val="006100BB"/>
    <w:rsid w:val="0061032A"/>
    <w:rsid w:val="006103EE"/>
    <w:rsid w:val="00610537"/>
    <w:rsid w:val="006105ED"/>
    <w:rsid w:val="006106C1"/>
    <w:rsid w:val="006106DB"/>
    <w:rsid w:val="0061070D"/>
    <w:rsid w:val="00610922"/>
    <w:rsid w:val="00610979"/>
    <w:rsid w:val="006109B8"/>
    <w:rsid w:val="00610A79"/>
    <w:rsid w:val="00610AB1"/>
    <w:rsid w:val="00610BBA"/>
    <w:rsid w:val="00610E77"/>
    <w:rsid w:val="00610F31"/>
    <w:rsid w:val="00611041"/>
    <w:rsid w:val="006111A8"/>
    <w:rsid w:val="006114A3"/>
    <w:rsid w:val="006114B3"/>
    <w:rsid w:val="006119B0"/>
    <w:rsid w:val="006119C6"/>
    <w:rsid w:val="00611A06"/>
    <w:rsid w:val="00611A0E"/>
    <w:rsid w:val="00611C1E"/>
    <w:rsid w:val="00611CC3"/>
    <w:rsid w:val="00611E91"/>
    <w:rsid w:val="00611F50"/>
    <w:rsid w:val="00612082"/>
    <w:rsid w:val="00612214"/>
    <w:rsid w:val="006123C6"/>
    <w:rsid w:val="006125C1"/>
    <w:rsid w:val="006125F5"/>
    <w:rsid w:val="00612774"/>
    <w:rsid w:val="00612841"/>
    <w:rsid w:val="00612DCB"/>
    <w:rsid w:val="00612F6C"/>
    <w:rsid w:val="00612FA2"/>
    <w:rsid w:val="006130B8"/>
    <w:rsid w:val="00613167"/>
    <w:rsid w:val="00613346"/>
    <w:rsid w:val="006134A4"/>
    <w:rsid w:val="00613634"/>
    <w:rsid w:val="00613993"/>
    <w:rsid w:val="006139FE"/>
    <w:rsid w:val="00613A05"/>
    <w:rsid w:val="00613B3F"/>
    <w:rsid w:val="00613BE9"/>
    <w:rsid w:val="0061403D"/>
    <w:rsid w:val="00614217"/>
    <w:rsid w:val="00614326"/>
    <w:rsid w:val="00614453"/>
    <w:rsid w:val="00614457"/>
    <w:rsid w:val="006145AB"/>
    <w:rsid w:val="00614706"/>
    <w:rsid w:val="0061471D"/>
    <w:rsid w:val="006149B9"/>
    <w:rsid w:val="00614A14"/>
    <w:rsid w:val="00614ADA"/>
    <w:rsid w:val="00614CA6"/>
    <w:rsid w:val="00614F3A"/>
    <w:rsid w:val="00615121"/>
    <w:rsid w:val="00615291"/>
    <w:rsid w:val="006152DE"/>
    <w:rsid w:val="006154B8"/>
    <w:rsid w:val="006155DB"/>
    <w:rsid w:val="006158E9"/>
    <w:rsid w:val="00615DDD"/>
    <w:rsid w:val="00616015"/>
    <w:rsid w:val="00616044"/>
    <w:rsid w:val="00616243"/>
    <w:rsid w:val="00616281"/>
    <w:rsid w:val="00616468"/>
    <w:rsid w:val="006164BE"/>
    <w:rsid w:val="00616599"/>
    <w:rsid w:val="00616816"/>
    <w:rsid w:val="00616C03"/>
    <w:rsid w:val="00616C4A"/>
    <w:rsid w:val="00616E17"/>
    <w:rsid w:val="00616F28"/>
    <w:rsid w:val="00616F3B"/>
    <w:rsid w:val="00616FCC"/>
    <w:rsid w:val="006170B2"/>
    <w:rsid w:val="00617257"/>
    <w:rsid w:val="00617259"/>
    <w:rsid w:val="00617278"/>
    <w:rsid w:val="00617565"/>
    <w:rsid w:val="006175D4"/>
    <w:rsid w:val="006175D9"/>
    <w:rsid w:val="00617C2C"/>
    <w:rsid w:val="00617DDB"/>
    <w:rsid w:val="00617DDC"/>
    <w:rsid w:val="00620002"/>
    <w:rsid w:val="00620181"/>
    <w:rsid w:val="006203A7"/>
    <w:rsid w:val="006203F9"/>
    <w:rsid w:val="00620562"/>
    <w:rsid w:val="00620675"/>
    <w:rsid w:val="0062074C"/>
    <w:rsid w:val="00620A86"/>
    <w:rsid w:val="00620AF3"/>
    <w:rsid w:val="00620CCF"/>
    <w:rsid w:val="00620DBF"/>
    <w:rsid w:val="0062105C"/>
    <w:rsid w:val="006210F1"/>
    <w:rsid w:val="006213B5"/>
    <w:rsid w:val="0062140E"/>
    <w:rsid w:val="00621458"/>
    <w:rsid w:val="006214B8"/>
    <w:rsid w:val="006215B5"/>
    <w:rsid w:val="006215EE"/>
    <w:rsid w:val="006216A9"/>
    <w:rsid w:val="00621B7E"/>
    <w:rsid w:val="00621C14"/>
    <w:rsid w:val="00621C45"/>
    <w:rsid w:val="00621D18"/>
    <w:rsid w:val="00621D94"/>
    <w:rsid w:val="00621EC2"/>
    <w:rsid w:val="00621F42"/>
    <w:rsid w:val="0062200E"/>
    <w:rsid w:val="0062203C"/>
    <w:rsid w:val="006222DA"/>
    <w:rsid w:val="00622391"/>
    <w:rsid w:val="00622799"/>
    <w:rsid w:val="006228BE"/>
    <w:rsid w:val="006228DC"/>
    <w:rsid w:val="00622A2B"/>
    <w:rsid w:val="00622A31"/>
    <w:rsid w:val="00622ACF"/>
    <w:rsid w:val="00622C7F"/>
    <w:rsid w:val="00622D89"/>
    <w:rsid w:val="006230D9"/>
    <w:rsid w:val="00623116"/>
    <w:rsid w:val="0062334E"/>
    <w:rsid w:val="00623646"/>
    <w:rsid w:val="00623735"/>
    <w:rsid w:val="00623758"/>
    <w:rsid w:val="0062392E"/>
    <w:rsid w:val="00623D02"/>
    <w:rsid w:val="00623D21"/>
    <w:rsid w:val="00623DEF"/>
    <w:rsid w:val="00623EDB"/>
    <w:rsid w:val="00623F4D"/>
    <w:rsid w:val="0062408F"/>
    <w:rsid w:val="0062422F"/>
    <w:rsid w:val="0062437A"/>
    <w:rsid w:val="00624543"/>
    <w:rsid w:val="006245BE"/>
    <w:rsid w:val="00624625"/>
    <w:rsid w:val="006247C1"/>
    <w:rsid w:val="006247FF"/>
    <w:rsid w:val="006248DF"/>
    <w:rsid w:val="006248F6"/>
    <w:rsid w:val="00624A00"/>
    <w:rsid w:val="00624C73"/>
    <w:rsid w:val="00624D69"/>
    <w:rsid w:val="00624D8C"/>
    <w:rsid w:val="00624E1B"/>
    <w:rsid w:val="00624EDC"/>
    <w:rsid w:val="00624F04"/>
    <w:rsid w:val="00625032"/>
    <w:rsid w:val="00625064"/>
    <w:rsid w:val="00625211"/>
    <w:rsid w:val="006254DD"/>
    <w:rsid w:val="006254FA"/>
    <w:rsid w:val="0062581B"/>
    <w:rsid w:val="0062589F"/>
    <w:rsid w:val="0062593C"/>
    <w:rsid w:val="00625978"/>
    <w:rsid w:val="00626056"/>
    <w:rsid w:val="006261F6"/>
    <w:rsid w:val="0062657C"/>
    <w:rsid w:val="0062658D"/>
    <w:rsid w:val="00626639"/>
    <w:rsid w:val="0062682A"/>
    <w:rsid w:val="00626937"/>
    <w:rsid w:val="006269F4"/>
    <w:rsid w:val="00626A20"/>
    <w:rsid w:val="00626A28"/>
    <w:rsid w:val="00626C83"/>
    <w:rsid w:val="00626E8B"/>
    <w:rsid w:val="00626F39"/>
    <w:rsid w:val="00627014"/>
    <w:rsid w:val="006270B6"/>
    <w:rsid w:val="006270FE"/>
    <w:rsid w:val="006273F3"/>
    <w:rsid w:val="006275C9"/>
    <w:rsid w:val="00627730"/>
    <w:rsid w:val="006279E4"/>
    <w:rsid w:val="00627B34"/>
    <w:rsid w:val="00627BBA"/>
    <w:rsid w:val="00627E98"/>
    <w:rsid w:val="00627EF0"/>
    <w:rsid w:val="00627EFB"/>
    <w:rsid w:val="00627FCF"/>
    <w:rsid w:val="0063027D"/>
    <w:rsid w:val="0063032A"/>
    <w:rsid w:val="006303B5"/>
    <w:rsid w:val="006303E6"/>
    <w:rsid w:val="00630426"/>
    <w:rsid w:val="006304CC"/>
    <w:rsid w:val="006304E1"/>
    <w:rsid w:val="0063061C"/>
    <w:rsid w:val="00630A37"/>
    <w:rsid w:val="00630A89"/>
    <w:rsid w:val="00630AC7"/>
    <w:rsid w:val="006312D0"/>
    <w:rsid w:val="006312FC"/>
    <w:rsid w:val="0063141B"/>
    <w:rsid w:val="00631511"/>
    <w:rsid w:val="00631556"/>
    <w:rsid w:val="0063158D"/>
    <w:rsid w:val="006315D2"/>
    <w:rsid w:val="0063161F"/>
    <w:rsid w:val="00631779"/>
    <w:rsid w:val="00631A06"/>
    <w:rsid w:val="00631ADC"/>
    <w:rsid w:val="00631B6E"/>
    <w:rsid w:val="00631BB0"/>
    <w:rsid w:val="00631C69"/>
    <w:rsid w:val="00631D03"/>
    <w:rsid w:val="00631E58"/>
    <w:rsid w:val="00631FD6"/>
    <w:rsid w:val="00632008"/>
    <w:rsid w:val="00632205"/>
    <w:rsid w:val="00632467"/>
    <w:rsid w:val="00632915"/>
    <w:rsid w:val="006329DE"/>
    <w:rsid w:val="00632A23"/>
    <w:rsid w:val="00632B15"/>
    <w:rsid w:val="00632BF9"/>
    <w:rsid w:val="00632C74"/>
    <w:rsid w:val="00632C92"/>
    <w:rsid w:val="00632D88"/>
    <w:rsid w:val="00632DF9"/>
    <w:rsid w:val="00632FC6"/>
    <w:rsid w:val="00633033"/>
    <w:rsid w:val="0063306C"/>
    <w:rsid w:val="00633315"/>
    <w:rsid w:val="006334D0"/>
    <w:rsid w:val="00633507"/>
    <w:rsid w:val="00633647"/>
    <w:rsid w:val="00633811"/>
    <w:rsid w:val="00633883"/>
    <w:rsid w:val="00633939"/>
    <w:rsid w:val="00633947"/>
    <w:rsid w:val="006339AE"/>
    <w:rsid w:val="00633BED"/>
    <w:rsid w:val="00633D3B"/>
    <w:rsid w:val="00633EED"/>
    <w:rsid w:val="00633F83"/>
    <w:rsid w:val="0063416B"/>
    <w:rsid w:val="00634287"/>
    <w:rsid w:val="006342C7"/>
    <w:rsid w:val="006343F1"/>
    <w:rsid w:val="00634428"/>
    <w:rsid w:val="00634569"/>
    <w:rsid w:val="0063461A"/>
    <w:rsid w:val="0063463F"/>
    <w:rsid w:val="00634717"/>
    <w:rsid w:val="006349AF"/>
    <w:rsid w:val="00634BD1"/>
    <w:rsid w:val="00634DF9"/>
    <w:rsid w:val="00635094"/>
    <w:rsid w:val="0063514A"/>
    <w:rsid w:val="006351CD"/>
    <w:rsid w:val="0063543F"/>
    <w:rsid w:val="00635495"/>
    <w:rsid w:val="006357C8"/>
    <w:rsid w:val="00635872"/>
    <w:rsid w:val="0063588D"/>
    <w:rsid w:val="0063593E"/>
    <w:rsid w:val="006359D1"/>
    <w:rsid w:val="00635B79"/>
    <w:rsid w:val="00635C98"/>
    <w:rsid w:val="00635D05"/>
    <w:rsid w:val="00635E0B"/>
    <w:rsid w:val="0063614B"/>
    <w:rsid w:val="006364F6"/>
    <w:rsid w:val="0063655B"/>
    <w:rsid w:val="006365A2"/>
    <w:rsid w:val="006367F5"/>
    <w:rsid w:val="0063693F"/>
    <w:rsid w:val="006369B4"/>
    <w:rsid w:val="00636C45"/>
    <w:rsid w:val="00636C53"/>
    <w:rsid w:val="00636E1C"/>
    <w:rsid w:val="00636E7E"/>
    <w:rsid w:val="00636F0E"/>
    <w:rsid w:val="00636F2F"/>
    <w:rsid w:val="00636F81"/>
    <w:rsid w:val="00637152"/>
    <w:rsid w:val="00637173"/>
    <w:rsid w:val="0063724A"/>
    <w:rsid w:val="006372D7"/>
    <w:rsid w:val="006376E8"/>
    <w:rsid w:val="00637874"/>
    <w:rsid w:val="006379CE"/>
    <w:rsid w:val="00640063"/>
    <w:rsid w:val="0064038D"/>
    <w:rsid w:val="006403ED"/>
    <w:rsid w:val="006404CD"/>
    <w:rsid w:val="0064084A"/>
    <w:rsid w:val="0064094D"/>
    <w:rsid w:val="00640B1C"/>
    <w:rsid w:val="00640D7C"/>
    <w:rsid w:val="00640FE2"/>
    <w:rsid w:val="00641874"/>
    <w:rsid w:val="00641DA0"/>
    <w:rsid w:val="00641EC3"/>
    <w:rsid w:val="00641ED6"/>
    <w:rsid w:val="0064203B"/>
    <w:rsid w:val="00642322"/>
    <w:rsid w:val="0064235A"/>
    <w:rsid w:val="0064244C"/>
    <w:rsid w:val="006424C7"/>
    <w:rsid w:val="00642526"/>
    <w:rsid w:val="00642575"/>
    <w:rsid w:val="00642589"/>
    <w:rsid w:val="0064260F"/>
    <w:rsid w:val="0064265A"/>
    <w:rsid w:val="00642865"/>
    <w:rsid w:val="00642913"/>
    <w:rsid w:val="00642920"/>
    <w:rsid w:val="00642A30"/>
    <w:rsid w:val="00642B60"/>
    <w:rsid w:val="00642C0A"/>
    <w:rsid w:val="00642F35"/>
    <w:rsid w:val="00642F74"/>
    <w:rsid w:val="00643130"/>
    <w:rsid w:val="00643233"/>
    <w:rsid w:val="00643C5B"/>
    <w:rsid w:val="00643C62"/>
    <w:rsid w:val="00643D4C"/>
    <w:rsid w:val="00643F29"/>
    <w:rsid w:val="00644004"/>
    <w:rsid w:val="0064410B"/>
    <w:rsid w:val="0064442E"/>
    <w:rsid w:val="0064449A"/>
    <w:rsid w:val="006444AB"/>
    <w:rsid w:val="00644611"/>
    <w:rsid w:val="006446C0"/>
    <w:rsid w:val="0064497E"/>
    <w:rsid w:val="00644C6C"/>
    <w:rsid w:val="00644DEE"/>
    <w:rsid w:val="00644E06"/>
    <w:rsid w:val="00644F8C"/>
    <w:rsid w:val="006453D2"/>
    <w:rsid w:val="0064552B"/>
    <w:rsid w:val="006456B7"/>
    <w:rsid w:val="00645953"/>
    <w:rsid w:val="00645D83"/>
    <w:rsid w:val="00645DE9"/>
    <w:rsid w:val="00645F7C"/>
    <w:rsid w:val="00645FB3"/>
    <w:rsid w:val="0064629F"/>
    <w:rsid w:val="00646311"/>
    <w:rsid w:val="006464F8"/>
    <w:rsid w:val="0064671F"/>
    <w:rsid w:val="0064684B"/>
    <w:rsid w:val="00646AFC"/>
    <w:rsid w:val="00646B0E"/>
    <w:rsid w:val="00646C62"/>
    <w:rsid w:val="00646FD6"/>
    <w:rsid w:val="006478B2"/>
    <w:rsid w:val="00647A0A"/>
    <w:rsid w:val="00647AB7"/>
    <w:rsid w:val="00647C1D"/>
    <w:rsid w:val="00647C6C"/>
    <w:rsid w:val="00647CC4"/>
    <w:rsid w:val="00647CF4"/>
    <w:rsid w:val="00647EAF"/>
    <w:rsid w:val="00650288"/>
    <w:rsid w:val="0065037F"/>
    <w:rsid w:val="0065041C"/>
    <w:rsid w:val="0065051B"/>
    <w:rsid w:val="00650714"/>
    <w:rsid w:val="0065071A"/>
    <w:rsid w:val="006508A7"/>
    <w:rsid w:val="00650C0B"/>
    <w:rsid w:val="00650F88"/>
    <w:rsid w:val="006510E1"/>
    <w:rsid w:val="00651117"/>
    <w:rsid w:val="006511A9"/>
    <w:rsid w:val="00651329"/>
    <w:rsid w:val="00651343"/>
    <w:rsid w:val="00651480"/>
    <w:rsid w:val="006514F1"/>
    <w:rsid w:val="00651746"/>
    <w:rsid w:val="006517E7"/>
    <w:rsid w:val="006519CA"/>
    <w:rsid w:val="00651A11"/>
    <w:rsid w:val="00651F0E"/>
    <w:rsid w:val="00651F48"/>
    <w:rsid w:val="0065226C"/>
    <w:rsid w:val="00652355"/>
    <w:rsid w:val="00652461"/>
    <w:rsid w:val="00652464"/>
    <w:rsid w:val="006524EA"/>
    <w:rsid w:val="0065258E"/>
    <w:rsid w:val="006525CC"/>
    <w:rsid w:val="00652606"/>
    <w:rsid w:val="00652715"/>
    <w:rsid w:val="00652753"/>
    <w:rsid w:val="00652804"/>
    <w:rsid w:val="0065284E"/>
    <w:rsid w:val="006528D1"/>
    <w:rsid w:val="00652904"/>
    <w:rsid w:val="00652A55"/>
    <w:rsid w:val="00652C4D"/>
    <w:rsid w:val="00652F14"/>
    <w:rsid w:val="0065320E"/>
    <w:rsid w:val="0065322A"/>
    <w:rsid w:val="00653382"/>
    <w:rsid w:val="006533B6"/>
    <w:rsid w:val="006533F2"/>
    <w:rsid w:val="00653571"/>
    <w:rsid w:val="006535D6"/>
    <w:rsid w:val="006539F5"/>
    <w:rsid w:val="00653B81"/>
    <w:rsid w:val="00653BD0"/>
    <w:rsid w:val="00653D8C"/>
    <w:rsid w:val="00653F9E"/>
    <w:rsid w:val="0065404A"/>
    <w:rsid w:val="0065407B"/>
    <w:rsid w:val="0065411E"/>
    <w:rsid w:val="00654163"/>
    <w:rsid w:val="00654198"/>
    <w:rsid w:val="00654207"/>
    <w:rsid w:val="006544D0"/>
    <w:rsid w:val="00654578"/>
    <w:rsid w:val="00654688"/>
    <w:rsid w:val="0065476A"/>
    <w:rsid w:val="006547BD"/>
    <w:rsid w:val="006547F6"/>
    <w:rsid w:val="00654898"/>
    <w:rsid w:val="006549CC"/>
    <w:rsid w:val="006549D1"/>
    <w:rsid w:val="00654D30"/>
    <w:rsid w:val="00654E30"/>
    <w:rsid w:val="00654F21"/>
    <w:rsid w:val="00654FB4"/>
    <w:rsid w:val="0065506E"/>
    <w:rsid w:val="006551F0"/>
    <w:rsid w:val="00655574"/>
    <w:rsid w:val="006556DD"/>
    <w:rsid w:val="00655963"/>
    <w:rsid w:val="00655B65"/>
    <w:rsid w:val="00655C8C"/>
    <w:rsid w:val="00655CD9"/>
    <w:rsid w:val="00656045"/>
    <w:rsid w:val="006560C3"/>
    <w:rsid w:val="0065647E"/>
    <w:rsid w:val="00656483"/>
    <w:rsid w:val="00656A9B"/>
    <w:rsid w:val="00656BAE"/>
    <w:rsid w:val="00656BB5"/>
    <w:rsid w:val="00656C81"/>
    <w:rsid w:val="00656E18"/>
    <w:rsid w:val="00656F15"/>
    <w:rsid w:val="00656FDA"/>
    <w:rsid w:val="006572F0"/>
    <w:rsid w:val="0065730F"/>
    <w:rsid w:val="0065737F"/>
    <w:rsid w:val="00657431"/>
    <w:rsid w:val="0065761D"/>
    <w:rsid w:val="00657665"/>
    <w:rsid w:val="00657848"/>
    <w:rsid w:val="00657AF0"/>
    <w:rsid w:val="00657C33"/>
    <w:rsid w:val="00657C8C"/>
    <w:rsid w:val="00657DD1"/>
    <w:rsid w:val="00657E02"/>
    <w:rsid w:val="00657F51"/>
    <w:rsid w:val="00660421"/>
    <w:rsid w:val="00660431"/>
    <w:rsid w:val="00660609"/>
    <w:rsid w:val="00660982"/>
    <w:rsid w:val="00660A61"/>
    <w:rsid w:val="00660C4E"/>
    <w:rsid w:val="00660DC3"/>
    <w:rsid w:val="00660DF8"/>
    <w:rsid w:val="00660F1D"/>
    <w:rsid w:val="0066103A"/>
    <w:rsid w:val="0066146B"/>
    <w:rsid w:val="00661486"/>
    <w:rsid w:val="0066158B"/>
    <w:rsid w:val="006619B4"/>
    <w:rsid w:val="00661CA5"/>
    <w:rsid w:val="0066211E"/>
    <w:rsid w:val="006622C2"/>
    <w:rsid w:val="0066271A"/>
    <w:rsid w:val="006627CE"/>
    <w:rsid w:val="00662923"/>
    <w:rsid w:val="00662A16"/>
    <w:rsid w:val="00662A67"/>
    <w:rsid w:val="00662AA6"/>
    <w:rsid w:val="00662B99"/>
    <w:rsid w:val="00662BD2"/>
    <w:rsid w:val="00662CB2"/>
    <w:rsid w:val="00662DAF"/>
    <w:rsid w:val="00662F28"/>
    <w:rsid w:val="00663090"/>
    <w:rsid w:val="006630F1"/>
    <w:rsid w:val="006631D8"/>
    <w:rsid w:val="0066327A"/>
    <w:rsid w:val="006632D0"/>
    <w:rsid w:val="006635E3"/>
    <w:rsid w:val="0066392F"/>
    <w:rsid w:val="00663939"/>
    <w:rsid w:val="00663984"/>
    <w:rsid w:val="0066399B"/>
    <w:rsid w:val="00663BBF"/>
    <w:rsid w:val="00663BE3"/>
    <w:rsid w:val="00663D1A"/>
    <w:rsid w:val="00663DAF"/>
    <w:rsid w:val="00663E22"/>
    <w:rsid w:val="00663E42"/>
    <w:rsid w:val="006641DF"/>
    <w:rsid w:val="00664213"/>
    <w:rsid w:val="006644DB"/>
    <w:rsid w:val="00664A6B"/>
    <w:rsid w:val="00664D75"/>
    <w:rsid w:val="00664D9F"/>
    <w:rsid w:val="00664DD2"/>
    <w:rsid w:val="00664F82"/>
    <w:rsid w:val="006650F0"/>
    <w:rsid w:val="006651CD"/>
    <w:rsid w:val="0066523B"/>
    <w:rsid w:val="00665309"/>
    <w:rsid w:val="0066549D"/>
    <w:rsid w:val="00665503"/>
    <w:rsid w:val="00665697"/>
    <w:rsid w:val="00665710"/>
    <w:rsid w:val="00665857"/>
    <w:rsid w:val="00665AB2"/>
    <w:rsid w:val="00665E90"/>
    <w:rsid w:val="00665F7A"/>
    <w:rsid w:val="00665FFC"/>
    <w:rsid w:val="00666007"/>
    <w:rsid w:val="006660A6"/>
    <w:rsid w:val="0066611A"/>
    <w:rsid w:val="006661F0"/>
    <w:rsid w:val="006663B8"/>
    <w:rsid w:val="0066693F"/>
    <w:rsid w:val="00666997"/>
    <w:rsid w:val="00666C5F"/>
    <w:rsid w:val="00666CC6"/>
    <w:rsid w:val="00666D9E"/>
    <w:rsid w:val="00666E44"/>
    <w:rsid w:val="00666E91"/>
    <w:rsid w:val="006671CA"/>
    <w:rsid w:val="00667435"/>
    <w:rsid w:val="006675B3"/>
    <w:rsid w:val="006677CE"/>
    <w:rsid w:val="00667A45"/>
    <w:rsid w:val="00670038"/>
    <w:rsid w:val="00670110"/>
    <w:rsid w:val="00670138"/>
    <w:rsid w:val="0067060E"/>
    <w:rsid w:val="006707C8"/>
    <w:rsid w:val="006708E0"/>
    <w:rsid w:val="0067095D"/>
    <w:rsid w:val="006709E6"/>
    <w:rsid w:val="00670A88"/>
    <w:rsid w:val="00670BF5"/>
    <w:rsid w:val="00670C4B"/>
    <w:rsid w:val="00670D99"/>
    <w:rsid w:val="00670E34"/>
    <w:rsid w:val="006710E9"/>
    <w:rsid w:val="006713A7"/>
    <w:rsid w:val="006714DA"/>
    <w:rsid w:val="00671591"/>
    <w:rsid w:val="0067161B"/>
    <w:rsid w:val="00671697"/>
    <w:rsid w:val="006717EB"/>
    <w:rsid w:val="00671B2F"/>
    <w:rsid w:val="00671E23"/>
    <w:rsid w:val="00671E58"/>
    <w:rsid w:val="006722F9"/>
    <w:rsid w:val="00672446"/>
    <w:rsid w:val="00672556"/>
    <w:rsid w:val="00672672"/>
    <w:rsid w:val="006726F7"/>
    <w:rsid w:val="0067276B"/>
    <w:rsid w:val="0067286C"/>
    <w:rsid w:val="006728ED"/>
    <w:rsid w:val="00672971"/>
    <w:rsid w:val="006729D7"/>
    <w:rsid w:val="00672A81"/>
    <w:rsid w:val="00672B25"/>
    <w:rsid w:val="00672C8B"/>
    <w:rsid w:val="00672FB8"/>
    <w:rsid w:val="00673028"/>
    <w:rsid w:val="00673154"/>
    <w:rsid w:val="00673180"/>
    <w:rsid w:val="00673202"/>
    <w:rsid w:val="006732A7"/>
    <w:rsid w:val="006732F5"/>
    <w:rsid w:val="00673343"/>
    <w:rsid w:val="00673693"/>
    <w:rsid w:val="0067399D"/>
    <w:rsid w:val="00673ABA"/>
    <w:rsid w:val="00673B45"/>
    <w:rsid w:val="00673B61"/>
    <w:rsid w:val="00673C24"/>
    <w:rsid w:val="00673C38"/>
    <w:rsid w:val="00673D32"/>
    <w:rsid w:val="00673E24"/>
    <w:rsid w:val="006740BB"/>
    <w:rsid w:val="00674179"/>
    <w:rsid w:val="006741D7"/>
    <w:rsid w:val="00674238"/>
    <w:rsid w:val="00674375"/>
    <w:rsid w:val="0067450F"/>
    <w:rsid w:val="006745BF"/>
    <w:rsid w:val="00674822"/>
    <w:rsid w:val="00674AD1"/>
    <w:rsid w:val="00674EC3"/>
    <w:rsid w:val="00674EDA"/>
    <w:rsid w:val="006752AA"/>
    <w:rsid w:val="006752CE"/>
    <w:rsid w:val="00675364"/>
    <w:rsid w:val="006753A3"/>
    <w:rsid w:val="00675B34"/>
    <w:rsid w:val="00675D09"/>
    <w:rsid w:val="00675ECE"/>
    <w:rsid w:val="00675EF1"/>
    <w:rsid w:val="00675EFA"/>
    <w:rsid w:val="0067606C"/>
    <w:rsid w:val="00676119"/>
    <w:rsid w:val="0067618F"/>
    <w:rsid w:val="006762EC"/>
    <w:rsid w:val="006763EA"/>
    <w:rsid w:val="006764F6"/>
    <w:rsid w:val="006765B4"/>
    <w:rsid w:val="00676895"/>
    <w:rsid w:val="00676C29"/>
    <w:rsid w:val="00676F00"/>
    <w:rsid w:val="00676FCC"/>
    <w:rsid w:val="00677047"/>
    <w:rsid w:val="0067730F"/>
    <w:rsid w:val="0067747F"/>
    <w:rsid w:val="00677535"/>
    <w:rsid w:val="006775BA"/>
    <w:rsid w:val="00677753"/>
    <w:rsid w:val="00677927"/>
    <w:rsid w:val="00677EE1"/>
    <w:rsid w:val="00677FA6"/>
    <w:rsid w:val="00677FBB"/>
    <w:rsid w:val="006800D1"/>
    <w:rsid w:val="0068013B"/>
    <w:rsid w:val="0068031E"/>
    <w:rsid w:val="00680409"/>
    <w:rsid w:val="0068058C"/>
    <w:rsid w:val="00680778"/>
    <w:rsid w:val="0068085D"/>
    <w:rsid w:val="00680B1D"/>
    <w:rsid w:val="00680BE9"/>
    <w:rsid w:val="00680C72"/>
    <w:rsid w:val="00680DCC"/>
    <w:rsid w:val="00681081"/>
    <w:rsid w:val="0068108C"/>
    <w:rsid w:val="006810EA"/>
    <w:rsid w:val="006811BB"/>
    <w:rsid w:val="0068121D"/>
    <w:rsid w:val="0068124E"/>
    <w:rsid w:val="00681259"/>
    <w:rsid w:val="00681350"/>
    <w:rsid w:val="00681387"/>
    <w:rsid w:val="00681491"/>
    <w:rsid w:val="00681C6B"/>
    <w:rsid w:val="00681D06"/>
    <w:rsid w:val="00681DA1"/>
    <w:rsid w:val="00681E08"/>
    <w:rsid w:val="00681F1D"/>
    <w:rsid w:val="00681FC6"/>
    <w:rsid w:val="00682133"/>
    <w:rsid w:val="006824A8"/>
    <w:rsid w:val="00682586"/>
    <w:rsid w:val="006826EA"/>
    <w:rsid w:val="00682756"/>
    <w:rsid w:val="00682875"/>
    <w:rsid w:val="00682889"/>
    <w:rsid w:val="00682912"/>
    <w:rsid w:val="00682982"/>
    <w:rsid w:val="006829C3"/>
    <w:rsid w:val="00683064"/>
    <w:rsid w:val="00683104"/>
    <w:rsid w:val="006832F1"/>
    <w:rsid w:val="00683437"/>
    <w:rsid w:val="006834FB"/>
    <w:rsid w:val="0068368A"/>
    <w:rsid w:val="00683819"/>
    <w:rsid w:val="00683893"/>
    <w:rsid w:val="006839E5"/>
    <w:rsid w:val="00683BF6"/>
    <w:rsid w:val="00683D54"/>
    <w:rsid w:val="00683DAD"/>
    <w:rsid w:val="00683F1C"/>
    <w:rsid w:val="006844B2"/>
    <w:rsid w:val="00684AFD"/>
    <w:rsid w:val="00684BB3"/>
    <w:rsid w:val="00684EC7"/>
    <w:rsid w:val="00684F28"/>
    <w:rsid w:val="00684F93"/>
    <w:rsid w:val="00684F95"/>
    <w:rsid w:val="0068501E"/>
    <w:rsid w:val="006850F8"/>
    <w:rsid w:val="0068551C"/>
    <w:rsid w:val="0068553B"/>
    <w:rsid w:val="00685569"/>
    <w:rsid w:val="006857E6"/>
    <w:rsid w:val="00685827"/>
    <w:rsid w:val="006858D9"/>
    <w:rsid w:val="00685BA3"/>
    <w:rsid w:val="00685C43"/>
    <w:rsid w:val="00685D9B"/>
    <w:rsid w:val="00685FA1"/>
    <w:rsid w:val="00686036"/>
    <w:rsid w:val="0068605A"/>
    <w:rsid w:val="00686295"/>
    <w:rsid w:val="0068637F"/>
    <w:rsid w:val="006865E7"/>
    <w:rsid w:val="00686C51"/>
    <w:rsid w:val="00686E8D"/>
    <w:rsid w:val="00686F9B"/>
    <w:rsid w:val="00687371"/>
    <w:rsid w:val="006874BF"/>
    <w:rsid w:val="00687504"/>
    <w:rsid w:val="00687510"/>
    <w:rsid w:val="006879A3"/>
    <w:rsid w:val="006879FB"/>
    <w:rsid w:val="006879FE"/>
    <w:rsid w:val="00687A75"/>
    <w:rsid w:val="00687B22"/>
    <w:rsid w:val="00687D52"/>
    <w:rsid w:val="00687D5E"/>
    <w:rsid w:val="00687DB6"/>
    <w:rsid w:val="00687EF8"/>
    <w:rsid w:val="00687F9C"/>
    <w:rsid w:val="006905AF"/>
    <w:rsid w:val="00690787"/>
    <w:rsid w:val="006907BE"/>
    <w:rsid w:val="00690938"/>
    <w:rsid w:val="00690A18"/>
    <w:rsid w:val="00690A2D"/>
    <w:rsid w:val="00690B12"/>
    <w:rsid w:val="00690B93"/>
    <w:rsid w:val="00690CF8"/>
    <w:rsid w:val="00690FB3"/>
    <w:rsid w:val="006911AD"/>
    <w:rsid w:val="00691223"/>
    <w:rsid w:val="0069127B"/>
    <w:rsid w:val="00691478"/>
    <w:rsid w:val="0069155D"/>
    <w:rsid w:val="00691731"/>
    <w:rsid w:val="006919A4"/>
    <w:rsid w:val="00692095"/>
    <w:rsid w:val="00692099"/>
    <w:rsid w:val="006921A9"/>
    <w:rsid w:val="00692536"/>
    <w:rsid w:val="00692598"/>
    <w:rsid w:val="0069263B"/>
    <w:rsid w:val="0069268D"/>
    <w:rsid w:val="00692924"/>
    <w:rsid w:val="00692951"/>
    <w:rsid w:val="00692A43"/>
    <w:rsid w:val="00692D8D"/>
    <w:rsid w:val="00692E79"/>
    <w:rsid w:val="00693054"/>
    <w:rsid w:val="006930CA"/>
    <w:rsid w:val="006931B0"/>
    <w:rsid w:val="00693285"/>
    <w:rsid w:val="00693316"/>
    <w:rsid w:val="00693405"/>
    <w:rsid w:val="00693955"/>
    <w:rsid w:val="006939A2"/>
    <w:rsid w:val="00693BCF"/>
    <w:rsid w:val="00693CA0"/>
    <w:rsid w:val="00693D81"/>
    <w:rsid w:val="00693DB0"/>
    <w:rsid w:val="00693EF3"/>
    <w:rsid w:val="00693F77"/>
    <w:rsid w:val="00693F9F"/>
    <w:rsid w:val="00694013"/>
    <w:rsid w:val="006943A4"/>
    <w:rsid w:val="00694455"/>
    <w:rsid w:val="006944DB"/>
    <w:rsid w:val="0069456A"/>
    <w:rsid w:val="006946D5"/>
    <w:rsid w:val="006947C1"/>
    <w:rsid w:val="00694803"/>
    <w:rsid w:val="00694896"/>
    <w:rsid w:val="006948B1"/>
    <w:rsid w:val="00694CE4"/>
    <w:rsid w:val="00694D81"/>
    <w:rsid w:val="006954E3"/>
    <w:rsid w:val="00695626"/>
    <w:rsid w:val="00695656"/>
    <w:rsid w:val="006957F2"/>
    <w:rsid w:val="00695965"/>
    <w:rsid w:val="00695B07"/>
    <w:rsid w:val="00695B25"/>
    <w:rsid w:val="00695B6C"/>
    <w:rsid w:val="00695BD3"/>
    <w:rsid w:val="00695BDC"/>
    <w:rsid w:val="00695FF5"/>
    <w:rsid w:val="0069604A"/>
    <w:rsid w:val="006960FA"/>
    <w:rsid w:val="00696227"/>
    <w:rsid w:val="00696458"/>
    <w:rsid w:val="006965FA"/>
    <w:rsid w:val="0069675C"/>
    <w:rsid w:val="00696828"/>
    <w:rsid w:val="006968BA"/>
    <w:rsid w:val="00696BC5"/>
    <w:rsid w:val="00696BCC"/>
    <w:rsid w:val="00696DDF"/>
    <w:rsid w:val="00696F96"/>
    <w:rsid w:val="00697358"/>
    <w:rsid w:val="00697579"/>
    <w:rsid w:val="0069763A"/>
    <w:rsid w:val="0069778B"/>
    <w:rsid w:val="00697924"/>
    <w:rsid w:val="00697F14"/>
    <w:rsid w:val="006A0102"/>
    <w:rsid w:val="006A074E"/>
    <w:rsid w:val="006A0896"/>
    <w:rsid w:val="006A08AB"/>
    <w:rsid w:val="006A0AD1"/>
    <w:rsid w:val="006A0B6C"/>
    <w:rsid w:val="006A0D26"/>
    <w:rsid w:val="006A10A1"/>
    <w:rsid w:val="006A11B8"/>
    <w:rsid w:val="006A1335"/>
    <w:rsid w:val="006A154E"/>
    <w:rsid w:val="006A1738"/>
    <w:rsid w:val="006A194E"/>
    <w:rsid w:val="006A1B2A"/>
    <w:rsid w:val="006A1BC6"/>
    <w:rsid w:val="006A1C36"/>
    <w:rsid w:val="006A200C"/>
    <w:rsid w:val="006A232A"/>
    <w:rsid w:val="006A2458"/>
    <w:rsid w:val="006A24AF"/>
    <w:rsid w:val="006A26CC"/>
    <w:rsid w:val="006A274E"/>
    <w:rsid w:val="006A27B3"/>
    <w:rsid w:val="006A2B1D"/>
    <w:rsid w:val="006A2CB0"/>
    <w:rsid w:val="006A2D5C"/>
    <w:rsid w:val="006A2FA7"/>
    <w:rsid w:val="006A315A"/>
    <w:rsid w:val="006A31BB"/>
    <w:rsid w:val="006A3290"/>
    <w:rsid w:val="006A33CB"/>
    <w:rsid w:val="006A3530"/>
    <w:rsid w:val="006A36E2"/>
    <w:rsid w:val="006A3C3B"/>
    <w:rsid w:val="006A3CCE"/>
    <w:rsid w:val="006A3EA4"/>
    <w:rsid w:val="006A3F08"/>
    <w:rsid w:val="006A3F5B"/>
    <w:rsid w:val="006A4350"/>
    <w:rsid w:val="006A44A4"/>
    <w:rsid w:val="006A44B0"/>
    <w:rsid w:val="006A4511"/>
    <w:rsid w:val="006A479D"/>
    <w:rsid w:val="006A4A5E"/>
    <w:rsid w:val="006A4B32"/>
    <w:rsid w:val="006A4B3D"/>
    <w:rsid w:val="006A4B4A"/>
    <w:rsid w:val="006A4D46"/>
    <w:rsid w:val="006A4D6F"/>
    <w:rsid w:val="006A4F2E"/>
    <w:rsid w:val="006A5311"/>
    <w:rsid w:val="006A569C"/>
    <w:rsid w:val="006A578D"/>
    <w:rsid w:val="006A5BE2"/>
    <w:rsid w:val="006A5C81"/>
    <w:rsid w:val="006A5D29"/>
    <w:rsid w:val="006A5F77"/>
    <w:rsid w:val="006A5FEE"/>
    <w:rsid w:val="006A6076"/>
    <w:rsid w:val="006A61B4"/>
    <w:rsid w:val="006A62DC"/>
    <w:rsid w:val="006A62F1"/>
    <w:rsid w:val="006A667A"/>
    <w:rsid w:val="006A66CC"/>
    <w:rsid w:val="006A6873"/>
    <w:rsid w:val="006A6882"/>
    <w:rsid w:val="006A694A"/>
    <w:rsid w:val="006A6C09"/>
    <w:rsid w:val="006A6D71"/>
    <w:rsid w:val="006A6DD6"/>
    <w:rsid w:val="006A6E17"/>
    <w:rsid w:val="006A71E8"/>
    <w:rsid w:val="006A72CC"/>
    <w:rsid w:val="006A7322"/>
    <w:rsid w:val="006A77E2"/>
    <w:rsid w:val="006A79D0"/>
    <w:rsid w:val="006A7A21"/>
    <w:rsid w:val="006A7A54"/>
    <w:rsid w:val="006A7EBF"/>
    <w:rsid w:val="006A7F32"/>
    <w:rsid w:val="006B0099"/>
    <w:rsid w:val="006B00DA"/>
    <w:rsid w:val="006B012B"/>
    <w:rsid w:val="006B03A7"/>
    <w:rsid w:val="006B055E"/>
    <w:rsid w:val="006B0B49"/>
    <w:rsid w:val="006B0F1D"/>
    <w:rsid w:val="006B0F5B"/>
    <w:rsid w:val="006B0FE3"/>
    <w:rsid w:val="006B10D1"/>
    <w:rsid w:val="006B10E1"/>
    <w:rsid w:val="006B10F3"/>
    <w:rsid w:val="006B11A7"/>
    <w:rsid w:val="006B1319"/>
    <w:rsid w:val="006B132B"/>
    <w:rsid w:val="006B1651"/>
    <w:rsid w:val="006B170B"/>
    <w:rsid w:val="006B1AF7"/>
    <w:rsid w:val="006B1DA5"/>
    <w:rsid w:val="006B1E4E"/>
    <w:rsid w:val="006B1E8A"/>
    <w:rsid w:val="006B1FA0"/>
    <w:rsid w:val="006B1FB2"/>
    <w:rsid w:val="006B213A"/>
    <w:rsid w:val="006B2202"/>
    <w:rsid w:val="006B2657"/>
    <w:rsid w:val="006B2756"/>
    <w:rsid w:val="006B283F"/>
    <w:rsid w:val="006B29C2"/>
    <w:rsid w:val="006B2B5C"/>
    <w:rsid w:val="006B2C2E"/>
    <w:rsid w:val="006B2C78"/>
    <w:rsid w:val="006B2F44"/>
    <w:rsid w:val="006B3030"/>
    <w:rsid w:val="006B306F"/>
    <w:rsid w:val="006B31BE"/>
    <w:rsid w:val="006B3213"/>
    <w:rsid w:val="006B343F"/>
    <w:rsid w:val="006B39F0"/>
    <w:rsid w:val="006B3C6C"/>
    <w:rsid w:val="006B3CD7"/>
    <w:rsid w:val="006B3E47"/>
    <w:rsid w:val="006B3F48"/>
    <w:rsid w:val="006B3FBB"/>
    <w:rsid w:val="006B3FDF"/>
    <w:rsid w:val="006B43FA"/>
    <w:rsid w:val="006B4451"/>
    <w:rsid w:val="006B486C"/>
    <w:rsid w:val="006B48C2"/>
    <w:rsid w:val="006B4915"/>
    <w:rsid w:val="006B4A14"/>
    <w:rsid w:val="006B4B1F"/>
    <w:rsid w:val="006B4B9C"/>
    <w:rsid w:val="006B51EC"/>
    <w:rsid w:val="006B5247"/>
    <w:rsid w:val="006B53B8"/>
    <w:rsid w:val="006B53C0"/>
    <w:rsid w:val="006B5470"/>
    <w:rsid w:val="006B55CC"/>
    <w:rsid w:val="006B58C9"/>
    <w:rsid w:val="006B5993"/>
    <w:rsid w:val="006B5A0B"/>
    <w:rsid w:val="006B5AA5"/>
    <w:rsid w:val="006B5F89"/>
    <w:rsid w:val="006B60E2"/>
    <w:rsid w:val="006B628E"/>
    <w:rsid w:val="006B62D9"/>
    <w:rsid w:val="006B647B"/>
    <w:rsid w:val="006B669B"/>
    <w:rsid w:val="006B689B"/>
    <w:rsid w:val="006B6B37"/>
    <w:rsid w:val="006B6CB3"/>
    <w:rsid w:val="006B6EC4"/>
    <w:rsid w:val="006B6F92"/>
    <w:rsid w:val="006B7237"/>
    <w:rsid w:val="006B7639"/>
    <w:rsid w:val="006B775F"/>
    <w:rsid w:val="006B77A2"/>
    <w:rsid w:val="006B78BD"/>
    <w:rsid w:val="006B7B69"/>
    <w:rsid w:val="006B7BF6"/>
    <w:rsid w:val="006B7C34"/>
    <w:rsid w:val="006C0051"/>
    <w:rsid w:val="006C00F6"/>
    <w:rsid w:val="006C016F"/>
    <w:rsid w:val="006C02BF"/>
    <w:rsid w:val="006C02F3"/>
    <w:rsid w:val="006C05AF"/>
    <w:rsid w:val="006C0615"/>
    <w:rsid w:val="006C07C5"/>
    <w:rsid w:val="006C0904"/>
    <w:rsid w:val="006C0958"/>
    <w:rsid w:val="006C0B4E"/>
    <w:rsid w:val="006C0C81"/>
    <w:rsid w:val="006C13A6"/>
    <w:rsid w:val="006C1406"/>
    <w:rsid w:val="006C1B52"/>
    <w:rsid w:val="006C1B7A"/>
    <w:rsid w:val="006C1BF3"/>
    <w:rsid w:val="006C1C81"/>
    <w:rsid w:val="006C1D2C"/>
    <w:rsid w:val="006C1E31"/>
    <w:rsid w:val="006C1F97"/>
    <w:rsid w:val="006C1FF2"/>
    <w:rsid w:val="006C2054"/>
    <w:rsid w:val="006C2807"/>
    <w:rsid w:val="006C2957"/>
    <w:rsid w:val="006C2AF8"/>
    <w:rsid w:val="006C2B7A"/>
    <w:rsid w:val="006C2BE2"/>
    <w:rsid w:val="006C2C5B"/>
    <w:rsid w:val="006C2D10"/>
    <w:rsid w:val="006C2DC3"/>
    <w:rsid w:val="006C2F08"/>
    <w:rsid w:val="006C2FAD"/>
    <w:rsid w:val="006C30B1"/>
    <w:rsid w:val="006C3483"/>
    <w:rsid w:val="006C3629"/>
    <w:rsid w:val="006C36E2"/>
    <w:rsid w:val="006C3944"/>
    <w:rsid w:val="006C3958"/>
    <w:rsid w:val="006C3B01"/>
    <w:rsid w:val="006C3B9F"/>
    <w:rsid w:val="006C416E"/>
    <w:rsid w:val="006C41E6"/>
    <w:rsid w:val="006C452E"/>
    <w:rsid w:val="006C4609"/>
    <w:rsid w:val="006C46FE"/>
    <w:rsid w:val="006C470B"/>
    <w:rsid w:val="006C4A0D"/>
    <w:rsid w:val="006C4A24"/>
    <w:rsid w:val="006C4B14"/>
    <w:rsid w:val="006C4C4A"/>
    <w:rsid w:val="006C4C69"/>
    <w:rsid w:val="006C4C93"/>
    <w:rsid w:val="006C4E24"/>
    <w:rsid w:val="006C50BE"/>
    <w:rsid w:val="006C514B"/>
    <w:rsid w:val="006C51B2"/>
    <w:rsid w:val="006C521B"/>
    <w:rsid w:val="006C558F"/>
    <w:rsid w:val="006C5BA9"/>
    <w:rsid w:val="006C5C13"/>
    <w:rsid w:val="006C5E24"/>
    <w:rsid w:val="006C5E9F"/>
    <w:rsid w:val="006C5EC8"/>
    <w:rsid w:val="006C6296"/>
    <w:rsid w:val="006C6321"/>
    <w:rsid w:val="006C6447"/>
    <w:rsid w:val="006C6ADB"/>
    <w:rsid w:val="006C6B42"/>
    <w:rsid w:val="006C701E"/>
    <w:rsid w:val="006C70F2"/>
    <w:rsid w:val="006C7171"/>
    <w:rsid w:val="006C72B5"/>
    <w:rsid w:val="006C7446"/>
    <w:rsid w:val="006C75AF"/>
    <w:rsid w:val="006C7616"/>
    <w:rsid w:val="006C7693"/>
    <w:rsid w:val="006C76B9"/>
    <w:rsid w:val="006C773E"/>
    <w:rsid w:val="006C7A2D"/>
    <w:rsid w:val="006C7A68"/>
    <w:rsid w:val="006C7EB1"/>
    <w:rsid w:val="006D0216"/>
    <w:rsid w:val="006D0341"/>
    <w:rsid w:val="006D03DF"/>
    <w:rsid w:val="006D041C"/>
    <w:rsid w:val="006D06B7"/>
    <w:rsid w:val="006D0814"/>
    <w:rsid w:val="006D086F"/>
    <w:rsid w:val="006D0B51"/>
    <w:rsid w:val="006D0C10"/>
    <w:rsid w:val="006D0C2E"/>
    <w:rsid w:val="006D0DB3"/>
    <w:rsid w:val="006D0E59"/>
    <w:rsid w:val="006D0E67"/>
    <w:rsid w:val="006D0EF1"/>
    <w:rsid w:val="006D1285"/>
    <w:rsid w:val="006D12AA"/>
    <w:rsid w:val="006D13D9"/>
    <w:rsid w:val="006D1404"/>
    <w:rsid w:val="006D142B"/>
    <w:rsid w:val="006D173D"/>
    <w:rsid w:val="006D1E66"/>
    <w:rsid w:val="006D226B"/>
    <w:rsid w:val="006D2521"/>
    <w:rsid w:val="006D266F"/>
    <w:rsid w:val="006D282F"/>
    <w:rsid w:val="006D2A28"/>
    <w:rsid w:val="006D2B9E"/>
    <w:rsid w:val="006D2BA0"/>
    <w:rsid w:val="006D2E50"/>
    <w:rsid w:val="006D3183"/>
    <w:rsid w:val="006D3187"/>
    <w:rsid w:val="006D349C"/>
    <w:rsid w:val="006D35B1"/>
    <w:rsid w:val="006D38B6"/>
    <w:rsid w:val="006D3906"/>
    <w:rsid w:val="006D39F2"/>
    <w:rsid w:val="006D3A3F"/>
    <w:rsid w:val="006D3B7F"/>
    <w:rsid w:val="006D3B92"/>
    <w:rsid w:val="006D3CB4"/>
    <w:rsid w:val="006D3CFA"/>
    <w:rsid w:val="006D3D97"/>
    <w:rsid w:val="006D3D9B"/>
    <w:rsid w:val="006D3E71"/>
    <w:rsid w:val="006D3FB7"/>
    <w:rsid w:val="006D435A"/>
    <w:rsid w:val="006D4371"/>
    <w:rsid w:val="006D44E7"/>
    <w:rsid w:val="006D45A0"/>
    <w:rsid w:val="006D45CA"/>
    <w:rsid w:val="006D4760"/>
    <w:rsid w:val="006D4771"/>
    <w:rsid w:val="006D4877"/>
    <w:rsid w:val="006D520A"/>
    <w:rsid w:val="006D5395"/>
    <w:rsid w:val="006D53A9"/>
    <w:rsid w:val="006D54CD"/>
    <w:rsid w:val="006D550A"/>
    <w:rsid w:val="006D556A"/>
    <w:rsid w:val="006D5695"/>
    <w:rsid w:val="006D5769"/>
    <w:rsid w:val="006D5818"/>
    <w:rsid w:val="006D5829"/>
    <w:rsid w:val="006D5932"/>
    <w:rsid w:val="006D5B09"/>
    <w:rsid w:val="006D5B26"/>
    <w:rsid w:val="006D5B7C"/>
    <w:rsid w:val="006D5BC3"/>
    <w:rsid w:val="006D6147"/>
    <w:rsid w:val="006D62ED"/>
    <w:rsid w:val="006D6436"/>
    <w:rsid w:val="006D64C3"/>
    <w:rsid w:val="006D674C"/>
    <w:rsid w:val="006D67E3"/>
    <w:rsid w:val="006D6866"/>
    <w:rsid w:val="006D697C"/>
    <w:rsid w:val="006D6A09"/>
    <w:rsid w:val="006D6B9F"/>
    <w:rsid w:val="006D6E84"/>
    <w:rsid w:val="006D70B0"/>
    <w:rsid w:val="006D71FC"/>
    <w:rsid w:val="006D7358"/>
    <w:rsid w:val="006D73DD"/>
    <w:rsid w:val="006D7561"/>
    <w:rsid w:val="006D7878"/>
    <w:rsid w:val="006D7B69"/>
    <w:rsid w:val="006D7E3B"/>
    <w:rsid w:val="006D7FC7"/>
    <w:rsid w:val="006E004B"/>
    <w:rsid w:val="006E01B0"/>
    <w:rsid w:val="006E04A3"/>
    <w:rsid w:val="006E065F"/>
    <w:rsid w:val="006E0678"/>
    <w:rsid w:val="006E068C"/>
    <w:rsid w:val="006E0702"/>
    <w:rsid w:val="006E0827"/>
    <w:rsid w:val="006E099A"/>
    <w:rsid w:val="006E09C0"/>
    <w:rsid w:val="006E0B07"/>
    <w:rsid w:val="006E0B1B"/>
    <w:rsid w:val="006E0B6C"/>
    <w:rsid w:val="006E0D94"/>
    <w:rsid w:val="006E1850"/>
    <w:rsid w:val="006E1857"/>
    <w:rsid w:val="006E1953"/>
    <w:rsid w:val="006E19A0"/>
    <w:rsid w:val="006E19EB"/>
    <w:rsid w:val="006E1A25"/>
    <w:rsid w:val="006E1C34"/>
    <w:rsid w:val="006E1CCA"/>
    <w:rsid w:val="006E1D45"/>
    <w:rsid w:val="006E1DA9"/>
    <w:rsid w:val="006E1E70"/>
    <w:rsid w:val="006E1E7E"/>
    <w:rsid w:val="006E1FE3"/>
    <w:rsid w:val="006E20D3"/>
    <w:rsid w:val="006E2103"/>
    <w:rsid w:val="006E21D7"/>
    <w:rsid w:val="006E2208"/>
    <w:rsid w:val="006E229B"/>
    <w:rsid w:val="006E2342"/>
    <w:rsid w:val="006E26DB"/>
    <w:rsid w:val="006E2772"/>
    <w:rsid w:val="006E299A"/>
    <w:rsid w:val="006E2B6B"/>
    <w:rsid w:val="006E2E70"/>
    <w:rsid w:val="006E2F8C"/>
    <w:rsid w:val="006E3043"/>
    <w:rsid w:val="006E3105"/>
    <w:rsid w:val="006E32BD"/>
    <w:rsid w:val="006E3501"/>
    <w:rsid w:val="006E35DE"/>
    <w:rsid w:val="006E37F7"/>
    <w:rsid w:val="006E3A0D"/>
    <w:rsid w:val="006E3B5C"/>
    <w:rsid w:val="006E3CA7"/>
    <w:rsid w:val="006E3F2D"/>
    <w:rsid w:val="006E4426"/>
    <w:rsid w:val="006E4464"/>
    <w:rsid w:val="006E44DD"/>
    <w:rsid w:val="006E46CF"/>
    <w:rsid w:val="006E4873"/>
    <w:rsid w:val="006E48F9"/>
    <w:rsid w:val="006E4AF4"/>
    <w:rsid w:val="006E4B11"/>
    <w:rsid w:val="006E4BBA"/>
    <w:rsid w:val="006E4C35"/>
    <w:rsid w:val="006E4E8E"/>
    <w:rsid w:val="006E4ED9"/>
    <w:rsid w:val="006E516C"/>
    <w:rsid w:val="006E5197"/>
    <w:rsid w:val="006E5384"/>
    <w:rsid w:val="006E53A8"/>
    <w:rsid w:val="006E5500"/>
    <w:rsid w:val="006E55DB"/>
    <w:rsid w:val="006E56AD"/>
    <w:rsid w:val="006E578A"/>
    <w:rsid w:val="006E58DA"/>
    <w:rsid w:val="006E59B3"/>
    <w:rsid w:val="006E5B2D"/>
    <w:rsid w:val="006E5C14"/>
    <w:rsid w:val="006E5D1B"/>
    <w:rsid w:val="006E5D46"/>
    <w:rsid w:val="006E6213"/>
    <w:rsid w:val="006E636D"/>
    <w:rsid w:val="006E64ED"/>
    <w:rsid w:val="006E664E"/>
    <w:rsid w:val="006E6728"/>
    <w:rsid w:val="006E685B"/>
    <w:rsid w:val="006E6875"/>
    <w:rsid w:val="006E69AE"/>
    <w:rsid w:val="006E6A40"/>
    <w:rsid w:val="006E6E14"/>
    <w:rsid w:val="006E723E"/>
    <w:rsid w:val="006E728F"/>
    <w:rsid w:val="006E74F7"/>
    <w:rsid w:val="006E7541"/>
    <w:rsid w:val="006E756D"/>
    <w:rsid w:val="006E7650"/>
    <w:rsid w:val="006E76EA"/>
    <w:rsid w:val="006E7959"/>
    <w:rsid w:val="006E7A39"/>
    <w:rsid w:val="006E7EFF"/>
    <w:rsid w:val="006F02B1"/>
    <w:rsid w:val="006F05DD"/>
    <w:rsid w:val="006F0685"/>
    <w:rsid w:val="006F06A4"/>
    <w:rsid w:val="006F0702"/>
    <w:rsid w:val="006F0718"/>
    <w:rsid w:val="006F0A58"/>
    <w:rsid w:val="006F0C12"/>
    <w:rsid w:val="006F0D20"/>
    <w:rsid w:val="006F0E78"/>
    <w:rsid w:val="006F10A9"/>
    <w:rsid w:val="006F12C6"/>
    <w:rsid w:val="006F1871"/>
    <w:rsid w:val="006F19FE"/>
    <w:rsid w:val="006F1ABC"/>
    <w:rsid w:val="006F1ACB"/>
    <w:rsid w:val="006F1C26"/>
    <w:rsid w:val="006F1CFE"/>
    <w:rsid w:val="006F1D8B"/>
    <w:rsid w:val="006F1E7D"/>
    <w:rsid w:val="006F1F43"/>
    <w:rsid w:val="006F1FA7"/>
    <w:rsid w:val="006F2009"/>
    <w:rsid w:val="006F2024"/>
    <w:rsid w:val="006F229B"/>
    <w:rsid w:val="006F2796"/>
    <w:rsid w:val="006F2A50"/>
    <w:rsid w:val="006F2B9C"/>
    <w:rsid w:val="006F2C75"/>
    <w:rsid w:val="006F2CE1"/>
    <w:rsid w:val="006F2EAF"/>
    <w:rsid w:val="006F306E"/>
    <w:rsid w:val="006F3087"/>
    <w:rsid w:val="006F333C"/>
    <w:rsid w:val="006F344B"/>
    <w:rsid w:val="006F3494"/>
    <w:rsid w:val="006F3537"/>
    <w:rsid w:val="006F36A2"/>
    <w:rsid w:val="006F3B53"/>
    <w:rsid w:val="006F3EC4"/>
    <w:rsid w:val="006F428F"/>
    <w:rsid w:val="006F4342"/>
    <w:rsid w:val="006F4488"/>
    <w:rsid w:val="006F46A7"/>
    <w:rsid w:val="006F46C1"/>
    <w:rsid w:val="006F475A"/>
    <w:rsid w:val="006F47B9"/>
    <w:rsid w:val="006F4A45"/>
    <w:rsid w:val="006F4BA4"/>
    <w:rsid w:val="006F5035"/>
    <w:rsid w:val="006F512B"/>
    <w:rsid w:val="006F523A"/>
    <w:rsid w:val="006F5454"/>
    <w:rsid w:val="006F54FD"/>
    <w:rsid w:val="006F55D8"/>
    <w:rsid w:val="006F55E0"/>
    <w:rsid w:val="006F579C"/>
    <w:rsid w:val="006F58A2"/>
    <w:rsid w:val="006F5991"/>
    <w:rsid w:val="006F5A10"/>
    <w:rsid w:val="006F5AE7"/>
    <w:rsid w:val="006F5D1F"/>
    <w:rsid w:val="006F5DCB"/>
    <w:rsid w:val="006F65A0"/>
    <w:rsid w:val="006F6732"/>
    <w:rsid w:val="006F6768"/>
    <w:rsid w:val="006F69D5"/>
    <w:rsid w:val="006F6A89"/>
    <w:rsid w:val="006F6AC1"/>
    <w:rsid w:val="006F6B78"/>
    <w:rsid w:val="006F6CD6"/>
    <w:rsid w:val="006F6E6D"/>
    <w:rsid w:val="006F70F2"/>
    <w:rsid w:val="006F712B"/>
    <w:rsid w:val="006F72E0"/>
    <w:rsid w:val="006F72E9"/>
    <w:rsid w:val="006F73B2"/>
    <w:rsid w:val="006F75BA"/>
    <w:rsid w:val="006F769E"/>
    <w:rsid w:val="006F77AE"/>
    <w:rsid w:val="006F78C0"/>
    <w:rsid w:val="006F78DB"/>
    <w:rsid w:val="006F79B5"/>
    <w:rsid w:val="006F7CDC"/>
    <w:rsid w:val="006F7E7E"/>
    <w:rsid w:val="006F7F54"/>
    <w:rsid w:val="007000A0"/>
    <w:rsid w:val="007001DB"/>
    <w:rsid w:val="007001E1"/>
    <w:rsid w:val="0070044E"/>
    <w:rsid w:val="00700484"/>
    <w:rsid w:val="00700750"/>
    <w:rsid w:val="007007D0"/>
    <w:rsid w:val="00700AE2"/>
    <w:rsid w:val="00700B6A"/>
    <w:rsid w:val="00700BDE"/>
    <w:rsid w:val="00700F04"/>
    <w:rsid w:val="00700F19"/>
    <w:rsid w:val="0070101C"/>
    <w:rsid w:val="007010DA"/>
    <w:rsid w:val="007010DB"/>
    <w:rsid w:val="00701177"/>
    <w:rsid w:val="00701302"/>
    <w:rsid w:val="007015CA"/>
    <w:rsid w:val="007015DD"/>
    <w:rsid w:val="007015F7"/>
    <w:rsid w:val="00701666"/>
    <w:rsid w:val="00701667"/>
    <w:rsid w:val="007017A9"/>
    <w:rsid w:val="00701907"/>
    <w:rsid w:val="00701A8A"/>
    <w:rsid w:val="00701BCB"/>
    <w:rsid w:val="00701CE6"/>
    <w:rsid w:val="00702154"/>
    <w:rsid w:val="00702164"/>
    <w:rsid w:val="007023E4"/>
    <w:rsid w:val="00702503"/>
    <w:rsid w:val="00702725"/>
    <w:rsid w:val="00702817"/>
    <w:rsid w:val="0070294C"/>
    <w:rsid w:val="007029A8"/>
    <w:rsid w:val="00702EB6"/>
    <w:rsid w:val="00702F7B"/>
    <w:rsid w:val="007033E5"/>
    <w:rsid w:val="00703432"/>
    <w:rsid w:val="00703506"/>
    <w:rsid w:val="00703569"/>
    <w:rsid w:val="00703629"/>
    <w:rsid w:val="00703801"/>
    <w:rsid w:val="0070380C"/>
    <w:rsid w:val="0070386C"/>
    <w:rsid w:val="00703A19"/>
    <w:rsid w:val="00703A52"/>
    <w:rsid w:val="00703B66"/>
    <w:rsid w:val="00703B91"/>
    <w:rsid w:val="00703BB3"/>
    <w:rsid w:val="007040CD"/>
    <w:rsid w:val="007040EA"/>
    <w:rsid w:val="00704200"/>
    <w:rsid w:val="00704469"/>
    <w:rsid w:val="007044F8"/>
    <w:rsid w:val="00704523"/>
    <w:rsid w:val="00704581"/>
    <w:rsid w:val="0070462F"/>
    <w:rsid w:val="0070475D"/>
    <w:rsid w:val="0070480F"/>
    <w:rsid w:val="0070489A"/>
    <w:rsid w:val="00704921"/>
    <w:rsid w:val="0070492A"/>
    <w:rsid w:val="0070493D"/>
    <w:rsid w:val="00704952"/>
    <w:rsid w:val="00704C3F"/>
    <w:rsid w:val="00704C6E"/>
    <w:rsid w:val="00704EF3"/>
    <w:rsid w:val="0070502C"/>
    <w:rsid w:val="007058F8"/>
    <w:rsid w:val="007058FB"/>
    <w:rsid w:val="00705A2D"/>
    <w:rsid w:val="00705C80"/>
    <w:rsid w:val="00705D4F"/>
    <w:rsid w:val="00705D6B"/>
    <w:rsid w:val="00705D9F"/>
    <w:rsid w:val="00705EF0"/>
    <w:rsid w:val="00705F27"/>
    <w:rsid w:val="007060DF"/>
    <w:rsid w:val="007061B7"/>
    <w:rsid w:val="007062BC"/>
    <w:rsid w:val="00706406"/>
    <w:rsid w:val="00706493"/>
    <w:rsid w:val="007066DD"/>
    <w:rsid w:val="0070672F"/>
    <w:rsid w:val="007067D4"/>
    <w:rsid w:val="00706899"/>
    <w:rsid w:val="00706DC8"/>
    <w:rsid w:val="0070708A"/>
    <w:rsid w:val="0070728C"/>
    <w:rsid w:val="0070741A"/>
    <w:rsid w:val="007074E5"/>
    <w:rsid w:val="00707542"/>
    <w:rsid w:val="007075AA"/>
    <w:rsid w:val="0070766A"/>
    <w:rsid w:val="0070789C"/>
    <w:rsid w:val="007078C3"/>
    <w:rsid w:val="00707BAD"/>
    <w:rsid w:val="00707D2F"/>
    <w:rsid w:val="00707D9D"/>
    <w:rsid w:val="00707EF3"/>
    <w:rsid w:val="00707F74"/>
    <w:rsid w:val="007100A6"/>
    <w:rsid w:val="0071024E"/>
    <w:rsid w:val="007102EC"/>
    <w:rsid w:val="00710367"/>
    <w:rsid w:val="007103E5"/>
    <w:rsid w:val="007105D3"/>
    <w:rsid w:val="007105EC"/>
    <w:rsid w:val="00710608"/>
    <w:rsid w:val="007106B6"/>
    <w:rsid w:val="007107D0"/>
    <w:rsid w:val="0071080C"/>
    <w:rsid w:val="0071090F"/>
    <w:rsid w:val="00710941"/>
    <w:rsid w:val="0071094F"/>
    <w:rsid w:val="00710C47"/>
    <w:rsid w:val="00710F3F"/>
    <w:rsid w:val="00710F79"/>
    <w:rsid w:val="00710FC6"/>
    <w:rsid w:val="00711204"/>
    <w:rsid w:val="007113FE"/>
    <w:rsid w:val="0071163E"/>
    <w:rsid w:val="0071182D"/>
    <w:rsid w:val="00711A53"/>
    <w:rsid w:val="00711BF8"/>
    <w:rsid w:val="00711C6B"/>
    <w:rsid w:val="00711C76"/>
    <w:rsid w:val="00711C82"/>
    <w:rsid w:val="00711D6A"/>
    <w:rsid w:val="0071230B"/>
    <w:rsid w:val="00712487"/>
    <w:rsid w:val="0071252E"/>
    <w:rsid w:val="0071255E"/>
    <w:rsid w:val="00712719"/>
    <w:rsid w:val="00712728"/>
    <w:rsid w:val="00712A5D"/>
    <w:rsid w:val="00712A82"/>
    <w:rsid w:val="00712B09"/>
    <w:rsid w:val="00712B21"/>
    <w:rsid w:val="00712BEC"/>
    <w:rsid w:val="00712F27"/>
    <w:rsid w:val="00712F29"/>
    <w:rsid w:val="00713033"/>
    <w:rsid w:val="00713170"/>
    <w:rsid w:val="00713180"/>
    <w:rsid w:val="0071325C"/>
    <w:rsid w:val="0071328A"/>
    <w:rsid w:val="007132C1"/>
    <w:rsid w:val="0071355C"/>
    <w:rsid w:val="00713870"/>
    <w:rsid w:val="00713A63"/>
    <w:rsid w:val="00713B60"/>
    <w:rsid w:val="00713BDE"/>
    <w:rsid w:val="00713D23"/>
    <w:rsid w:val="00713EF7"/>
    <w:rsid w:val="00714127"/>
    <w:rsid w:val="0071424E"/>
    <w:rsid w:val="007144E2"/>
    <w:rsid w:val="00714548"/>
    <w:rsid w:val="007146AA"/>
    <w:rsid w:val="00714A7E"/>
    <w:rsid w:val="00714D3C"/>
    <w:rsid w:val="00714D97"/>
    <w:rsid w:val="00714DEC"/>
    <w:rsid w:val="00714E60"/>
    <w:rsid w:val="00714F50"/>
    <w:rsid w:val="00714F62"/>
    <w:rsid w:val="00714FE0"/>
    <w:rsid w:val="0071528E"/>
    <w:rsid w:val="0071528F"/>
    <w:rsid w:val="0071536D"/>
    <w:rsid w:val="0071548E"/>
    <w:rsid w:val="00715606"/>
    <w:rsid w:val="0071583C"/>
    <w:rsid w:val="0071596F"/>
    <w:rsid w:val="00715AC5"/>
    <w:rsid w:val="00715D0B"/>
    <w:rsid w:val="00716055"/>
    <w:rsid w:val="00716076"/>
    <w:rsid w:val="00716125"/>
    <w:rsid w:val="00716252"/>
    <w:rsid w:val="0071628B"/>
    <w:rsid w:val="007162D1"/>
    <w:rsid w:val="007164E7"/>
    <w:rsid w:val="0071656D"/>
    <w:rsid w:val="0071663D"/>
    <w:rsid w:val="0071672F"/>
    <w:rsid w:val="007167D5"/>
    <w:rsid w:val="00716820"/>
    <w:rsid w:val="00716827"/>
    <w:rsid w:val="007168FE"/>
    <w:rsid w:val="00716BDF"/>
    <w:rsid w:val="00716D60"/>
    <w:rsid w:val="00716E20"/>
    <w:rsid w:val="00716F76"/>
    <w:rsid w:val="00717005"/>
    <w:rsid w:val="00717087"/>
    <w:rsid w:val="00717133"/>
    <w:rsid w:val="00717457"/>
    <w:rsid w:val="007174BC"/>
    <w:rsid w:val="007175B1"/>
    <w:rsid w:val="00717659"/>
    <w:rsid w:val="00717949"/>
    <w:rsid w:val="00717A75"/>
    <w:rsid w:val="00717AF0"/>
    <w:rsid w:val="00717B76"/>
    <w:rsid w:val="00717B81"/>
    <w:rsid w:val="00717B84"/>
    <w:rsid w:val="00717CD6"/>
    <w:rsid w:val="007203B4"/>
    <w:rsid w:val="007203C8"/>
    <w:rsid w:val="007203CB"/>
    <w:rsid w:val="007204FB"/>
    <w:rsid w:val="00720599"/>
    <w:rsid w:val="0072064F"/>
    <w:rsid w:val="00720AD3"/>
    <w:rsid w:val="00720ADA"/>
    <w:rsid w:val="00720C2C"/>
    <w:rsid w:val="00720FD5"/>
    <w:rsid w:val="00721272"/>
    <w:rsid w:val="007215B4"/>
    <w:rsid w:val="00721956"/>
    <w:rsid w:val="00721AC0"/>
    <w:rsid w:val="00721DEA"/>
    <w:rsid w:val="00721E34"/>
    <w:rsid w:val="00721FD8"/>
    <w:rsid w:val="0072219F"/>
    <w:rsid w:val="00722338"/>
    <w:rsid w:val="007223A9"/>
    <w:rsid w:val="0072241F"/>
    <w:rsid w:val="0072260B"/>
    <w:rsid w:val="0072263E"/>
    <w:rsid w:val="0072276A"/>
    <w:rsid w:val="00722856"/>
    <w:rsid w:val="00722927"/>
    <w:rsid w:val="0072293B"/>
    <w:rsid w:val="00722973"/>
    <w:rsid w:val="00722BEB"/>
    <w:rsid w:val="00722DE6"/>
    <w:rsid w:val="00722EFE"/>
    <w:rsid w:val="007230FB"/>
    <w:rsid w:val="007231E8"/>
    <w:rsid w:val="00723327"/>
    <w:rsid w:val="0072341A"/>
    <w:rsid w:val="007235B1"/>
    <w:rsid w:val="00723605"/>
    <w:rsid w:val="007236B5"/>
    <w:rsid w:val="007237FD"/>
    <w:rsid w:val="00723E0F"/>
    <w:rsid w:val="00724114"/>
    <w:rsid w:val="007243F4"/>
    <w:rsid w:val="007245C3"/>
    <w:rsid w:val="007248C1"/>
    <w:rsid w:val="00724AC4"/>
    <w:rsid w:val="00724B30"/>
    <w:rsid w:val="00724BF2"/>
    <w:rsid w:val="0072522B"/>
    <w:rsid w:val="00725329"/>
    <w:rsid w:val="0072552F"/>
    <w:rsid w:val="007258E5"/>
    <w:rsid w:val="007258E6"/>
    <w:rsid w:val="00725956"/>
    <w:rsid w:val="00725DA9"/>
    <w:rsid w:val="00725F99"/>
    <w:rsid w:val="00726309"/>
    <w:rsid w:val="00726339"/>
    <w:rsid w:val="00726472"/>
    <w:rsid w:val="007265AD"/>
    <w:rsid w:val="0072670C"/>
    <w:rsid w:val="00726747"/>
    <w:rsid w:val="00726A76"/>
    <w:rsid w:val="00726A84"/>
    <w:rsid w:val="00726B17"/>
    <w:rsid w:val="00726C73"/>
    <w:rsid w:val="00726E80"/>
    <w:rsid w:val="00726E83"/>
    <w:rsid w:val="00726F39"/>
    <w:rsid w:val="0072746E"/>
    <w:rsid w:val="00727496"/>
    <w:rsid w:val="0072759A"/>
    <w:rsid w:val="007276F7"/>
    <w:rsid w:val="007279A7"/>
    <w:rsid w:val="00727B3E"/>
    <w:rsid w:val="00727BDE"/>
    <w:rsid w:val="00727CB0"/>
    <w:rsid w:val="00727FE5"/>
    <w:rsid w:val="007307DD"/>
    <w:rsid w:val="0073097C"/>
    <w:rsid w:val="007309AB"/>
    <w:rsid w:val="007309CE"/>
    <w:rsid w:val="00730CE4"/>
    <w:rsid w:val="00730CF0"/>
    <w:rsid w:val="00730D72"/>
    <w:rsid w:val="007310E5"/>
    <w:rsid w:val="0073112B"/>
    <w:rsid w:val="007311D3"/>
    <w:rsid w:val="007312BF"/>
    <w:rsid w:val="00731320"/>
    <w:rsid w:val="00731615"/>
    <w:rsid w:val="00731CF8"/>
    <w:rsid w:val="00731DA7"/>
    <w:rsid w:val="00731DEF"/>
    <w:rsid w:val="00731E18"/>
    <w:rsid w:val="00731E27"/>
    <w:rsid w:val="00731FFF"/>
    <w:rsid w:val="00732226"/>
    <w:rsid w:val="00732366"/>
    <w:rsid w:val="0073284A"/>
    <w:rsid w:val="007328F0"/>
    <w:rsid w:val="00732B75"/>
    <w:rsid w:val="00732BA0"/>
    <w:rsid w:val="00732C06"/>
    <w:rsid w:val="00732CE2"/>
    <w:rsid w:val="00732DD4"/>
    <w:rsid w:val="00732EE4"/>
    <w:rsid w:val="00733046"/>
    <w:rsid w:val="0073304B"/>
    <w:rsid w:val="0073314D"/>
    <w:rsid w:val="0073319F"/>
    <w:rsid w:val="00733449"/>
    <w:rsid w:val="00733582"/>
    <w:rsid w:val="00733584"/>
    <w:rsid w:val="007337CC"/>
    <w:rsid w:val="00733C35"/>
    <w:rsid w:val="00733C9C"/>
    <w:rsid w:val="00733D05"/>
    <w:rsid w:val="0073408E"/>
    <w:rsid w:val="007340CD"/>
    <w:rsid w:val="00734158"/>
    <w:rsid w:val="00734255"/>
    <w:rsid w:val="0073428D"/>
    <w:rsid w:val="0073434D"/>
    <w:rsid w:val="007344F1"/>
    <w:rsid w:val="007349A1"/>
    <w:rsid w:val="00734AA7"/>
    <w:rsid w:val="00734B52"/>
    <w:rsid w:val="00734CD1"/>
    <w:rsid w:val="00734D44"/>
    <w:rsid w:val="00734DEE"/>
    <w:rsid w:val="00734FB1"/>
    <w:rsid w:val="00735034"/>
    <w:rsid w:val="007350C0"/>
    <w:rsid w:val="0073539E"/>
    <w:rsid w:val="007353FC"/>
    <w:rsid w:val="007355B6"/>
    <w:rsid w:val="0073575D"/>
    <w:rsid w:val="0073591B"/>
    <w:rsid w:val="00735927"/>
    <w:rsid w:val="007359B6"/>
    <w:rsid w:val="00735A1C"/>
    <w:rsid w:val="00735B5A"/>
    <w:rsid w:val="00736087"/>
    <w:rsid w:val="00736197"/>
    <w:rsid w:val="007361DC"/>
    <w:rsid w:val="00736398"/>
    <w:rsid w:val="007364C1"/>
    <w:rsid w:val="007364F0"/>
    <w:rsid w:val="007365DC"/>
    <w:rsid w:val="0073691B"/>
    <w:rsid w:val="00736934"/>
    <w:rsid w:val="00736B8A"/>
    <w:rsid w:val="00736C05"/>
    <w:rsid w:val="00736E9A"/>
    <w:rsid w:val="00737120"/>
    <w:rsid w:val="00737251"/>
    <w:rsid w:val="00737431"/>
    <w:rsid w:val="0073744D"/>
    <w:rsid w:val="00737522"/>
    <w:rsid w:val="00737537"/>
    <w:rsid w:val="00737DEF"/>
    <w:rsid w:val="00737E1A"/>
    <w:rsid w:val="00737E53"/>
    <w:rsid w:val="00737EAA"/>
    <w:rsid w:val="00737F7B"/>
    <w:rsid w:val="00737F9D"/>
    <w:rsid w:val="00737FAF"/>
    <w:rsid w:val="00740061"/>
    <w:rsid w:val="007400D6"/>
    <w:rsid w:val="0074010F"/>
    <w:rsid w:val="00740183"/>
    <w:rsid w:val="007402D9"/>
    <w:rsid w:val="0074055F"/>
    <w:rsid w:val="007408A0"/>
    <w:rsid w:val="00740912"/>
    <w:rsid w:val="00740A85"/>
    <w:rsid w:val="00740B84"/>
    <w:rsid w:val="00740BCB"/>
    <w:rsid w:val="00740CDD"/>
    <w:rsid w:val="00740DB3"/>
    <w:rsid w:val="00740EDC"/>
    <w:rsid w:val="00741178"/>
    <w:rsid w:val="007412AE"/>
    <w:rsid w:val="007414DD"/>
    <w:rsid w:val="007415C1"/>
    <w:rsid w:val="0074166F"/>
    <w:rsid w:val="00741824"/>
    <w:rsid w:val="00741830"/>
    <w:rsid w:val="00741875"/>
    <w:rsid w:val="00741902"/>
    <w:rsid w:val="00741D49"/>
    <w:rsid w:val="00741E41"/>
    <w:rsid w:val="00741EB8"/>
    <w:rsid w:val="00742114"/>
    <w:rsid w:val="00742384"/>
    <w:rsid w:val="007424F8"/>
    <w:rsid w:val="00742668"/>
    <w:rsid w:val="007426E5"/>
    <w:rsid w:val="00742803"/>
    <w:rsid w:val="007428BF"/>
    <w:rsid w:val="007429FE"/>
    <w:rsid w:val="00742CF2"/>
    <w:rsid w:val="00742D86"/>
    <w:rsid w:val="00742F6A"/>
    <w:rsid w:val="00742FD8"/>
    <w:rsid w:val="007431D6"/>
    <w:rsid w:val="00743355"/>
    <w:rsid w:val="00743560"/>
    <w:rsid w:val="00743697"/>
    <w:rsid w:val="00743967"/>
    <w:rsid w:val="00743AE2"/>
    <w:rsid w:val="00743B59"/>
    <w:rsid w:val="00743DD9"/>
    <w:rsid w:val="00743ED5"/>
    <w:rsid w:val="00743F2D"/>
    <w:rsid w:val="00744004"/>
    <w:rsid w:val="00744101"/>
    <w:rsid w:val="0074418E"/>
    <w:rsid w:val="007443D4"/>
    <w:rsid w:val="0074446B"/>
    <w:rsid w:val="00744523"/>
    <w:rsid w:val="00744650"/>
    <w:rsid w:val="00744811"/>
    <w:rsid w:val="0074482C"/>
    <w:rsid w:val="007448B6"/>
    <w:rsid w:val="007449AC"/>
    <w:rsid w:val="007449EF"/>
    <w:rsid w:val="00744C14"/>
    <w:rsid w:val="00744F2C"/>
    <w:rsid w:val="00744FC6"/>
    <w:rsid w:val="0074521E"/>
    <w:rsid w:val="00745272"/>
    <w:rsid w:val="0074529E"/>
    <w:rsid w:val="00745362"/>
    <w:rsid w:val="0074547C"/>
    <w:rsid w:val="007456B6"/>
    <w:rsid w:val="007456CD"/>
    <w:rsid w:val="00745710"/>
    <w:rsid w:val="007457B7"/>
    <w:rsid w:val="0074598C"/>
    <w:rsid w:val="007459B9"/>
    <w:rsid w:val="007459FB"/>
    <w:rsid w:val="00745CBB"/>
    <w:rsid w:val="00746110"/>
    <w:rsid w:val="0074646D"/>
    <w:rsid w:val="007469C8"/>
    <w:rsid w:val="007469E9"/>
    <w:rsid w:val="00746CC7"/>
    <w:rsid w:val="00746DED"/>
    <w:rsid w:val="007470A6"/>
    <w:rsid w:val="007471BE"/>
    <w:rsid w:val="007472F8"/>
    <w:rsid w:val="0074742A"/>
    <w:rsid w:val="007475F4"/>
    <w:rsid w:val="007477AD"/>
    <w:rsid w:val="007479C8"/>
    <w:rsid w:val="00747BF2"/>
    <w:rsid w:val="00747FFA"/>
    <w:rsid w:val="00750013"/>
    <w:rsid w:val="007500C7"/>
    <w:rsid w:val="00750428"/>
    <w:rsid w:val="00750536"/>
    <w:rsid w:val="00750573"/>
    <w:rsid w:val="00750588"/>
    <w:rsid w:val="00750740"/>
    <w:rsid w:val="0075088D"/>
    <w:rsid w:val="007508EB"/>
    <w:rsid w:val="0075092B"/>
    <w:rsid w:val="007509BC"/>
    <w:rsid w:val="00750A9B"/>
    <w:rsid w:val="00750BBF"/>
    <w:rsid w:val="00750E1A"/>
    <w:rsid w:val="00750EB2"/>
    <w:rsid w:val="00750F9B"/>
    <w:rsid w:val="00750FB2"/>
    <w:rsid w:val="00751033"/>
    <w:rsid w:val="0075133B"/>
    <w:rsid w:val="007514F7"/>
    <w:rsid w:val="007515E0"/>
    <w:rsid w:val="007516F7"/>
    <w:rsid w:val="007518D5"/>
    <w:rsid w:val="00751A60"/>
    <w:rsid w:val="00751C19"/>
    <w:rsid w:val="00751DDC"/>
    <w:rsid w:val="00751E7E"/>
    <w:rsid w:val="00751ECB"/>
    <w:rsid w:val="007520E1"/>
    <w:rsid w:val="007522EE"/>
    <w:rsid w:val="007523C1"/>
    <w:rsid w:val="007523E6"/>
    <w:rsid w:val="007525AC"/>
    <w:rsid w:val="0075295C"/>
    <w:rsid w:val="007529BE"/>
    <w:rsid w:val="00752A68"/>
    <w:rsid w:val="00752B8F"/>
    <w:rsid w:val="00752BD6"/>
    <w:rsid w:val="00752E81"/>
    <w:rsid w:val="00753132"/>
    <w:rsid w:val="00753138"/>
    <w:rsid w:val="00753160"/>
    <w:rsid w:val="0075366B"/>
    <w:rsid w:val="00753870"/>
    <w:rsid w:val="007538A7"/>
    <w:rsid w:val="007539DD"/>
    <w:rsid w:val="00753A8D"/>
    <w:rsid w:val="00753B75"/>
    <w:rsid w:val="00753F3D"/>
    <w:rsid w:val="00753FAE"/>
    <w:rsid w:val="0075416E"/>
    <w:rsid w:val="007541C7"/>
    <w:rsid w:val="007541F8"/>
    <w:rsid w:val="0075432A"/>
    <w:rsid w:val="00754379"/>
    <w:rsid w:val="0075442D"/>
    <w:rsid w:val="0075447A"/>
    <w:rsid w:val="00754749"/>
    <w:rsid w:val="00754775"/>
    <w:rsid w:val="00754943"/>
    <w:rsid w:val="00754B68"/>
    <w:rsid w:val="00754C0D"/>
    <w:rsid w:val="00754CBB"/>
    <w:rsid w:val="00754DEF"/>
    <w:rsid w:val="00755210"/>
    <w:rsid w:val="00755604"/>
    <w:rsid w:val="007558FB"/>
    <w:rsid w:val="00755A5C"/>
    <w:rsid w:val="00755C67"/>
    <w:rsid w:val="00755F71"/>
    <w:rsid w:val="00755FE6"/>
    <w:rsid w:val="0075615C"/>
    <w:rsid w:val="0075624E"/>
    <w:rsid w:val="007562B2"/>
    <w:rsid w:val="007564F4"/>
    <w:rsid w:val="00756576"/>
    <w:rsid w:val="00756615"/>
    <w:rsid w:val="007567FF"/>
    <w:rsid w:val="0075693E"/>
    <w:rsid w:val="00756BFE"/>
    <w:rsid w:val="00756D3E"/>
    <w:rsid w:val="00756E64"/>
    <w:rsid w:val="00757035"/>
    <w:rsid w:val="0075708F"/>
    <w:rsid w:val="0075731E"/>
    <w:rsid w:val="00757464"/>
    <w:rsid w:val="007575A1"/>
    <w:rsid w:val="007576FF"/>
    <w:rsid w:val="00757751"/>
    <w:rsid w:val="007577FA"/>
    <w:rsid w:val="0075785C"/>
    <w:rsid w:val="0075786C"/>
    <w:rsid w:val="00757942"/>
    <w:rsid w:val="00757C52"/>
    <w:rsid w:val="00757D29"/>
    <w:rsid w:val="00757FEE"/>
    <w:rsid w:val="00760074"/>
    <w:rsid w:val="00760153"/>
    <w:rsid w:val="0076025B"/>
    <w:rsid w:val="007602B5"/>
    <w:rsid w:val="0076033D"/>
    <w:rsid w:val="00760792"/>
    <w:rsid w:val="00760C27"/>
    <w:rsid w:val="00760DA7"/>
    <w:rsid w:val="00760EF2"/>
    <w:rsid w:val="00760EFD"/>
    <w:rsid w:val="00761280"/>
    <w:rsid w:val="007612EE"/>
    <w:rsid w:val="007613A2"/>
    <w:rsid w:val="00761455"/>
    <w:rsid w:val="0076155F"/>
    <w:rsid w:val="0076158F"/>
    <w:rsid w:val="007617C0"/>
    <w:rsid w:val="00761885"/>
    <w:rsid w:val="00761A70"/>
    <w:rsid w:val="00761ACB"/>
    <w:rsid w:val="00761B10"/>
    <w:rsid w:val="00761B46"/>
    <w:rsid w:val="00761BCF"/>
    <w:rsid w:val="00761DBA"/>
    <w:rsid w:val="00761E6C"/>
    <w:rsid w:val="00762317"/>
    <w:rsid w:val="007623B4"/>
    <w:rsid w:val="00762421"/>
    <w:rsid w:val="00762429"/>
    <w:rsid w:val="007628A0"/>
    <w:rsid w:val="00762932"/>
    <w:rsid w:val="00762CB9"/>
    <w:rsid w:val="00762E21"/>
    <w:rsid w:val="00762E24"/>
    <w:rsid w:val="00763047"/>
    <w:rsid w:val="00763097"/>
    <w:rsid w:val="007632F9"/>
    <w:rsid w:val="00763418"/>
    <w:rsid w:val="00763447"/>
    <w:rsid w:val="007634C9"/>
    <w:rsid w:val="007636B6"/>
    <w:rsid w:val="00763994"/>
    <w:rsid w:val="00763B7B"/>
    <w:rsid w:val="00763BE2"/>
    <w:rsid w:val="00763D50"/>
    <w:rsid w:val="00763DE3"/>
    <w:rsid w:val="00764038"/>
    <w:rsid w:val="007640CC"/>
    <w:rsid w:val="0076411D"/>
    <w:rsid w:val="00764167"/>
    <w:rsid w:val="00764237"/>
    <w:rsid w:val="00764488"/>
    <w:rsid w:val="0076462F"/>
    <w:rsid w:val="00764790"/>
    <w:rsid w:val="007647E6"/>
    <w:rsid w:val="0076491B"/>
    <w:rsid w:val="00764B58"/>
    <w:rsid w:val="00764B70"/>
    <w:rsid w:val="00764BDB"/>
    <w:rsid w:val="00764E94"/>
    <w:rsid w:val="00765041"/>
    <w:rsid w:val="0076511B"/>
    <w:rsid w:val="00765238"/>
    <w:rsid w:val="007652C8"/>
    <w:rsid w:val="00765530"/>
    <w:rsid w:val="00765555"/>
    <w:rsid w:val="00765562"/>
    <w:rsid w:val="0076560C"/>
    <w:rsid w:val="007656FC"/>
    <w:rsid w:val="00765711"/>
    <w:rsid w:val="007657F5"/>
    <w:rsid w:val="0076587F"/>
    <w:rsid w:val="0076590F"/>
    <w:rsid w:val="007659E0"/>
    <w:rsid w:val="00765A89"/>
    <w:rsid w:val="00765A8A"/>
    <w:rsid w:val="00765B84"/>
    <w:rsid w:val="00765D8E"/>
    <w:rsid w:val="007660A7"/>
    <w:rsid w:val="0076620A"/>
    <w:rsid w:val="007662FF"/>
    <w:rsid w:val="007663DE"/>
    <w:rsid w:val="00766586"/>
    <w:rsid w:val="007666A2"/>
    <w:rsid w:val="00766910"/>
    <w:rsid w:val="00766ABC"/>
    <w:rsid w:val="00766BC9"/>
    <w:rsid w:val="007670B3"/>
    <w:rsid w:val="007671AE"/>
    <w:rsid w:val="00767398"/>
    <w:rsid w:val="00767449"/>
    <w:rsid w:val="0076758B"/>
    <w:rsid w:val="007675D3"/>
    <w:rsid w:val="007676C9"/>
    <w:rsid w:val="007676E4"/>
    <w:rsid w:val="00767767"/>
    <w:rsid w:val="007679AD"/>
    <w:rsid w:val="00767AFA"/>
    <w:rsid w:val="00767BC7"/>
    <w:rsid w:val="00767C65"/>
    <w:rsid w:val="00767DDA"/>
    <w:rsid w:val="00767E84"/>
    <w:rsid w:val="00767EA6"/>
    <w:rsid w:val="00767F62"/>
    <w:rsid w:val="00770019"/>
    <w:rsid w:val="00770421"/>
    <w:rsid w:val="00770599"/>
    <w:rsid w:val="007708B9"/>
    <w:rsid w:val="00770996"/>
    <w:rsid w:val="007709C0"/>
    <w:rsid w:val="007709C4"/>
    <w:rsid w:val="00770A3C"/>
    <w:rsid w:val="00770B60"/>
    <w:rsid w:val="00770C80"/>
    <w:rsid w:val="00770C93"/>
    <w:rsid w:val="00770DEA"/>
    <w:rsid w:val="00770E62"/>
    <w:rsid w:val="00770E92"/>
    <w:rsid w:val="00771506"/>
    <w:rsid w:val="007716EF"/>
    <w:rsid w:val="00771775"/>
    <w:rsid w:val="00771976"/>
    <w:rsid w:val="00771B0F"/>
    <w:rsid w:val="00771C5B"/>
    <w:rsid w:val="00771CFE"/>
    <w:rsid w:val="00771D25"/>
    <w:rsid w:val="00771DE2"/>
    <w:rsid w:val="00771EBE"/>
    <w:rsid w:val="00771EE3"/>
    <w:rsid w:val="00772106"/>
    <w:rsid w:val="00772177"/>
    <w:rsid w:val="007721B0"/>
    <w:rsid w:val="007722AA"/>
    <w:rsid w:val="00772678"/>
    <w:rsid w:val="007728A2"/>
    <w:rsid w:val="00772943"/>
    <w:rsid w:val="00772A9F"/>
    <w:rsid w:val="00772B34"/>
    <w:rsid w:val="00772B5D"/>
    <w:rsid w:val="00772C47"/>
    <w:rsid w:val="00772D68"/>
    <w:rsid w:val="00772DFF"/>
    <w:rsid w:val="00772F30"/>
    <w:rsid w:val="00773209"/>
    <w:rsid w:val="00773277"/>
    <w:rsid w:val="00773296"/>
    <w:rsid w:val="0077346C"/>
    <w:rsid w:val="007736FD"/>
    <w:rsid w:val="007737AB"/>
    <w:rsid w:val="00773918"/>
    <w:rsid w:val="0077392C"/>
    <w:rsid w:val="007739DA"/>
    <w:rsid w:val="00773CDA"/>
    <w:rsid w:val="0077423A"/>
    <w:rsid w:val="007743B3"/>
    <w:rsid w:val="0077443C"/>
    <w:rsid w:val="00774440"/>
    <w:rsid w:val="00774493"/>
    <w:rsid w:val="0077472F"/>
    <w:rsid w:val="00774809"/>
    <w:rsid w:val="00774EC5"/>
    <w:rsid w:val="00775087"/>
    <w:rsid w:val="007751C4"/>
    <w:rsid w:val="0077525E"/>
    <w:rsid w:val="00775329"/>
    <w:rsid w:val="00775747"/>
    <w:rsid w:val="00775792"/>
    <w:rsid w:val="007758AF"/>
    <w:rsid w:val="00775996"/>
    <w:rsid w:val="00775A3C"/>
    <w:rsid w:val="00775B97"/>
    <w:rsid w:val="00775C6E"/>
    <w:rsid w:val="00775CBC"/>
    <w:rsid w:val="00775D32"/>
    <w:rsid w:val="00775DE2"/>
    <w:rsid w:val="00775F44"/>
    <w:rsid w:val="00775FD8"/>
    <w:rsid w:val="00776106"/>
    <w:rsid w:val="00776193"/>
    <w:rsid w:val="007762EE"/>
    <w:rsid w:val="00776349"/>
    <w:rsid w:val="00776444"/>
    <w:rsid w:val="007766B2"/>
    <w:rsid w:val="0077689F"/>
    <w:rsid w:val="00776AF4"/>
    <w:rsid w:val="00776CD8"/>
    <w:rsid w:val="00776F01"/>
    <w:rsid w:val="00777018"/>
    <w:rsid w:val="0077751E"/>
    <w:rsid w:val="00777567"/>
    <w:rsid w:val="0077772F"/>
    <w:rsid w:val="00777803"/>
    <w:rsid w:val="00777879"/>
    <w:rsid w:val="00777982"/>
    <w:rsid w:val="00777E6C"/>
    <w:rsid w:val="00780095"/>
    <w:rsid w:val="007802B1"/>
    <w:rsid w:val="007802CA"/>
    <w:rsid w:val="0078043A"/>
    <w:rsid w:val="0078066D"/>
    <w:rsid w:val="00780689"/>
    <w:rsid w:val="00780A48"/>
    <w:rsid w:val="00780ABA"/>
    <w:rsid w:val="00780AE3"/>
    <w:rsid w:val="00780C8F"/>
    <w:rsid w:val="00780D05"/>
    <w:rsid w:val="00781075"/>
    <w:rsid w:val="007810EF"/>
    <w:rsid w:val="0078138A"/>
    <w:rsid w:val="007819AF"/>
    <w:rsid w:val="00781A24"/>
    <w:rsid w:val="00781BCF"/>
    <w:rsid w:val="00782044"/>
    <w:rsid w:val="007820D5"/>
    <w:rsid w:val="007822C9"/>
    <w:rsid w:val="007825AE"/>
    <w:rsid w:val="00782718"/>
    <w:rsid w:val="007827DF"/>
    <w:rsid w:val="007827F1"/>
    <w:rsid w:val="00782A39"/>
    <w:rsid w:val="00782CC0"/>
    <w:rsid w:val="00783392"/>
    <w:rsid w:val="00783F7D"/>
    <w:rsid w:val="007840BC"/>
    <w:rsid w:val="00784177"/>
    <w:rsid w:val="007841BD"/>
    <w:rsid w:val="007841D3"/>
    <w:rsid w:val="007844E6"/>
    <w:rsid w:val="007845A0"/>
    <w:rsid w:val="00784641"/>
    <w:rsid w:val="007848AF"/>
    <w:rsid w:val="00784938"/>
    <w:rsid w:val="00784B9E"/>
    <w:rsid w:val="00784DC8"/>
    <w:rsid w:val="00784DE3"/>
    <w:rsid w:val="00784E1A"/>
    <w:rsid w:val="00784E49"/>
    <w:rsid w:val="007850AC"/>
    <w:rsid w:val="00785290"/>
    <w:rsid w:val="007852DF"/>
    <w:rsid w:val="0078535D"/>
    <w:rsid w:val="00785368"/>
    <w:rsid w:val="007854E9"/>
    <w:rsid w:val="00785750"/>
    <w:rsid w:val="00785950"/>
    <w:rsid w:val="0078599E"/>
    <w:rsid w:val="00785B44"/>
    <w:rsid w:val="00785BBD"/>
    <w:rsid w:val="00785BE7"/>
    <w:rsid w:val="00785C1F"/>
    <w:rsid w:val="00785C33"/>
    <w:rsid w:val="00785DC7"/>
    <w:rsid w:val="0078611D"/>
    <w:rsid w:val="007861D9"/>
    <w:rsid w:val="007862F3"/>
    <w:rsid w:val="0078632A"/>
    <w:rsid w:val="00786402"/>
    <w:rsid w:val="00786410"/>
    <w:rsid w:val="00786509"/>
    <w:rsid w:val="00786C20"/>
    <w:rsid w:val="00786FE9"/>
    <w:rsid w:val="00787243"/>
    <w:rsid w:val="0078745D"/>
    <w:rsid w:val="00787473"/>
    <w:rsid w:val="007874ED"/>
    <w:rsid w:val="00787697"/>
    <w:rsid w:val="007877F7"/>
    <w:rsid w:val="00787928"/>
    <w:rsid w:val="00787984"/>
    <w:rsid w:val="00787C9C"/>
    <w:rsid w:val="00787D99"/>
    <w:rsid w:val="00787E12"/>
    <w:rsid w:val="00787F25"/>
    <w:rsid w:val="00787F69"/>
    <w:rsid w:val="00787FCD"/>
    <w:rsid w:val="0079010E"/>
    <w:rsid w:val="007902A3"/>
    <w:rsid w:val="00790485"/>
    <w:rsid w:val="0079058F"/>
    <w:rsid w:val="0079063B"/>
    <w:rsid w:val="00790662"/>
    <w:rsid w:val="0079097F"/>
    <w:rsid w:val="00790B94"/>
    <w:rsid w:val="00791241"/>
    <w:rsid w:val="007912D9"/>
    <w:rsid w:val="007913B3"/>
    <w:rsid w:val="00791504"/>
    <w:rsid w:val="007915EB"/>
    <w:rsid w:val="007916FF"/>
    <w:rsid w:val="0079175E"/>
    <w:rsid w:val="007918E6"/>
    <w:rsid w:val="007918FF"/>
    <w:rsid w:val="00791939"/>
    <w:rsid w:val="00791ADB"/>
    <w:rsid w:val="00792206"/>
    <w:rsid w:val="007923D5"/>
    <w:rsid w:val="0079265C"/>
    <w:rsid w:val="007927C6"/>
    <w:rsid w:val="0079295F"/>
    <w:rsid w:val="00792A55"/>
    <w:rsid w:val="00792B54"/>
    <w:rsid w:val="00792B63"/>
    <w:rsid w:val="00792D43"/>
    <w:rsid w:val="00792DF7"/>
    <w:rsid w:val="00792F2B"/>
    <w:rsid w:val="00793425"/>
    <w:rsid w:val="00793542"/>
    <w:rsid w:val="00793679"/>
    <w:rsid w:val="007937A7"/>
    <w:rsid w:val="007937BB"/>
    <w:rsid w:val="00793933"/>
    <w:rsid w:val="00793935"/>
    <w:rsid w:val="00793B5E"/>
    <w:rsid w:val="00793D64"/>
    <w:rsid w:val="00793D9E"/>
    <w:rsid w:val="00794195"/>
    <w:rsid w:val="007941D2"/>
    <w:rsid w:val="00794212"/>
    <w:rsid w:val="007943A8"/>
    <w:rsid w:val="007943DD"/>
    <w:rsid w:val="0079443E"/>
    <w:rsid w:val="00794DE4"/>
    <w:rsid w:val="00794FA4"/>
    <w:rsid w:val="0079502F"/>
    <w:rsid w:val="007951BB"/>
    <w:rsid w:val="007952CF"/>
    <w:rsid w:val="0079551A"/>
    <w:rsid w:val="007957BA"/>
    <w:rsid w:val="00795988"/>
    <w:rsid w:val="00795BC9"/>
    <w:rsid w:val="00795D7A"/>
    <w:rsid w:val="00795F19"/>
    <w:rsid w:val="00795F63"/>
    <w:rsid w:val="00796194"/>
    <w:rsid w:val="007962E2"/>
    <w:rsid w:val="0079656F"/>
    <w:rsid w:val="007965A7"/>
    <w:rsid w:val="007965D2"/>
    <w:rsid w:val="00796650"/>
    <w:rsid w:val="00796775"/>
    <w:rsid w:val="00796A30"/>
    <w:rsid w:val="00796B0D"/>
    <w:rsid w:val="00796DB7"/>
    <w:rsid w:val="00796ED8"/>
    <w:rsid w:val="00796F10"/>
    <w:rsid w:val="00796F6C"/>
    <w:rsid w:val="00797119"/>
    <w:rsid w:val="00797146"/>
    <w:rsid w:val="007971A0"/>
    <w:rsid w:val="007974D7"/>
    <w:rsid w:val="00797736"/>
    <w:rsid w:val="007A005D"/>
    <w:rsid w:val="007A00B7"/>
    <w:rsid w:val="007A01E1"/>
    <w:rsid w:val="007A03F6"/>
    <w:rsid w:val="007A04F9"/>
    <w:rsid w:val="007A066A"/>
    <w:rsid w:val="007A0731"/>
    <w:rsid w:val="007A0822"/>
    <w:rsid w:val="007A093F"/>
    <w:rsid w:val="007A097C"/>
    <w:rsid w:val="007A09B5"/>
    <w:rsid w:val="007A0C2E"/>
    <w:rsid w:val="007A0E2D"/>
    <w:rsid w:val="007A0EEB"/>
    <w:rsid w:val="007A10CD"/>
    <w:rsid w:val="007A11C0"/>
    <w:rsid w:val="007A128B"/>
    <w:rsid w:val="007A1298"/>
    <w:rsid w:val="007A12FC"/>
    <w:rsid w:val="007A16DA"/>
    <w:rsid w:val="007A1712"/>
    <w:rsid w:val="007A17C7"/>
    <w:rsid w:val="007A1B47"/>
    <w:rsid w:val="007A1D93"/>
    <w:rsid w:val="007A1D9B"/>
    <w:rsid w:val="007A1ECB"/>
    <w:rsid w:val="007A1F44"/>
    <w:rsid w:val="007A25B3"/>
    <w:rsid w:val="007A283B"/>
    <w:rsid w:val="007A2B2F"/>
    <w:rsid w:val="007A2B57"/>
    <w:rsid w:val="007A2BE2"/>
    <w:rsid w:val="007A2C4B"/>
    <w:rsid w:val="007A2C93"/>
    <w:rsid w:val="007A302A"/>
    <w:rsid w:val="007A304B"/>
    <w:rsid w:val="007A311C"/>
    <w:rsid w:val="007A31D9"/>
    <w:rsid w:val="007A326F"/>
    <w:rsid w:val="007A3505"/>
    <w:rsid w:val="007A359D"/>
    <w:rsid w:val="007A3668"/>
    <w:rsid w:val="007A38B6"/>
    <w:rsid w:val="007A3ADF"/>
    <w:rsid w:val="007A401C"/>
    <w:rsid w:val="007A4033"/>
    <w:rsid w:val="007A4492"/>
    <w:rsid w:val="007A478A"/>
    <w:rsid w:val="007A47C9"/>
    <w:rsid w:val="007A4880"/>
    <w:rsid w:val="007A4927"/>
    <w:rsid w:val="007A492A"/>
    <w:rsid w:val="007A4AAA"/>
    <w:rsid w:val="007A4D88"/>
    <w:rsid w:val="007A4E03"/>
    <w:rsid w:val="007A4EC6"/>
    <w:rsid w:val="007A509F"/>
    <w:rsid w:val="007A50D2"/>
    <w:rsid w:val="007A50F7"/>
    <w:rsid w:val="007A5318"/>
    <w:rsid w:val="007A5365"/>
    <w:rsid w:val="007A5499"/>
    <w:rsid w:val="007A55AF"/>
    <w:rsid w:val="007A5633"/>
    <w:rsid w:val="007A56E4"/>
    <w:rsid w:val="007A572A"/>
    <w:rsid w:val="007A580E"/>
    <w:rsid w:val="007A58ED"/>
    <w:rsid w:val="007A5964"/>
    <w:rsid w:val="007A5975"/>
    <w:rsid w:val="007A59CD"/>
    <w:rsid w:val="007A5A88"/>
    <w:rsid w:val="007A5BAD"/>
    <w:rsid w:val="007A5BBE"/>
    <w:rsid w:val="007A5C4C"/>
    <w:rsid w:val="007A5CE8"/>
    <w:rsid w:val="007A5DB8"/>
    <w:rsid w:val="007A6024"/>
    <w:rsid w:val="007A60F7"/>
    <w:rsid w:val="007A626E"/>
    <w:rsid w:val="007A6645"/>
    <w:rsid w:val="007A67E0"/>
    <w:rsid w:val="007A6A5E"/>
    <w:rsid w:val="007A6A83"/>
    <w:rsid w:val="007A6B2C"/>
    <w:rsid w:val="007A6E58"/>
    <w:rsid w:val="007A6E86"/>
    <w:rsid w:val="007A70F1"/>
    <w:rsid w:val="007A7231"/>
    <w:rsid w:val="007A7361"/>
    <w:rsid w:val="007A73FF"/>
    <w:rsid w:val="007A7630"/>
    <w:rsid w:val="007A779B"/>
    <w:rsid w:val="007A77B6"/>
    <w:rsid w:val="007A7A26"/>
    <w:rsid w:val="007A7BBA"/>
    <w:rsid w:val="007A7D11"/>
    <w:rsid w:val="007A7E07"/>
    <w:rsid w:val="007A7EE0"/>
    <w:rsid w:val="007A7FD6"/>
    <w:rsid w:val="007B012E"/>
    <w:rsid w:val="007B0134"/>
    <w:rsid w:val="007B01B3"/>
    <w:rsid w:val="007B01E8"/>
    <w:rsid w:val="007B023D"/>
    <w:rsid w:val="007B039A"/>
    <w:rsid w:val="007B057A"/>
    <w:rsid w:val="007B05E0"/>
    <w:rsid w:val="007B0A34"/>
    <w:rsid w:val="007B0D15"/>
    <w:rsid w:val="007B0FC7"/>
    <w:rsid w:val="007B1251"/>
    <w:rsid w:val="007B130B"/>
    <w:rsid w:val="007B1378"/>
    <w:rsid w:val="007B1445"/>
    <w:rsid w:val="007B146A"/>
    <w:rsid w:val="007B14F0"/>
    <w:rsid w:val="007B1700"/>
    <w:rsid w:val="007B1773"/>
    <w:rsid w:val="007B1B62"/>
    <w:rsid w:val="007B1BA8"/>
    <w:rsid w:val="007B1C5D"/>
    <w:rsid w:val="007B1D17"/>
    <w:rsid w:val="007B1D75"/>
    <w:rsid w:val="007B1DCA"/>
    <w:rsid w:val="007B1E65"/>
    <w:rsid w:val="007B1EEE"/>
    <w:rsid w:val="007B1F04"/>
    <w:rsid w:val="007B22F8"/>
    <w:rsid w:val="007B2327"/>
    <w:rsid w:val="007B2B85"/>
    <w:rsid w:val="007B2C08"/>
    <w:rsid w:val="007B2F30"/>
    <w:rsid w:val="007B306D"/>
    <w:rsid w:val="007B3115"/>
    <w:rsid w:val="007B313E"/>
    <w:rsid w:val="007B329C"/>
    <w:rsid w:val="007B342C"/>
    <w:rsid w:val="007B35A6"/>
    <w:rsid w:val="007B35A8"/>
    <w:rsid w:val="007B370E"/>
    <w:rsid w:val="007B39B6"/>
    <w:rsid w:val="007B3CB4"/>
    <w:rsid w:val="007B3F55"/>
    <w:rsid w:val="007B40C0"/>
    <w:rsid w:val="007B4129"/>
    <w:rsid w:val="007B42FE"/>
    <w:rsid w:val="007B43C3"/>
    <w:rsid w:val="007B44E6"/>
    <w:rsid w:val="007B45B4"/>
    <w:rsid w:val="007B46CB"/>
    <w:rsid w:val="007B46FC"/>
    <w:rsid w:val="007B470F"/>
    <w:rsid w:val="007B4719"/>
    <w:rsid w:val="007B4B78"/>
    <w:rsid w:val="007B4DAB"/>
    <w:rsid w:val="007B4E5B"/>
    <w:rsid w:val="007B4FDD"/>
    <w:rsid w:val="007B51F6"/>
    <w:rsid w:val="007B51FC"/>
    <w:rsid w:val="007B5373"/>
    <w:rsid w:val="007B55B7"/>
    <w:rsid w:val="007B55BB"/>
    <w:rsid w:val="007B57E1"/>
    <w:rsid w:val="007B581C"/>
    <w:rsid w:val="007B5845"/>
    <w:rsid w:val="007B5846"/>
    <w:rsid w:val="007B58D0"/>
    <w:rsid w:val="007B5929"/>
    <w:rsid w:val="007B5B41"/>
    <w:rsid w:val="007B5CE1"/>
    <w:rsid w:val="007B5E5C"/>
    <w:rsid w:val="007B5EB9"/>
    <w:rsid w:val="007B5FE8"/>
    <w:rsid w:val="007B62BF"/>
    <w:rsid w:val="007B62D6"/>
    <w:rsid w:val="007B62EB"/>
    <w:rsid w:val="007B631A"/>
    <w:rsid w:val="007B65E2"/>
    <w:rsid w:val="007B67FD"/>
    <w:rsid w:val="007B6E78"/>
    <w:rsid w:val="007B6FF1"/>
    <w:rsid w:val="007B7147"/>
    <w:rsid w:val="007B7295"/>
    <w:rsid w:val="007B7341"/>
    <w:rsid w:val="007B736A"/>
    <w:rsid w:val="007B75B1"/>
    <w:rsid w:val="007B762D"/>
    <w:rsid w:val="007B7657"/>
    <w:rsid w:val="007B7708"/>
    <w:rsid w:val="007B77B3"/>
    <w:rsid w:val="007B79F9"/>
    <w:rsid w:val="007B79FD"/>
    <w:rsid w:val="007B7ACF"/>
    <w:rsid w:val="007B7BE1"/>
    <w:rsid w:val="007B7C50"/>
    <w:rsid w:val="007B7F39"/>
    <w:rsid w:val="007C02BE"/>
    <w:rsid w:val="007C03F0"/>
    <w:rsid w:val="007C046E"/>
    <w:rsid w:val="007C05BA"/>
    <w:rsid w:val="007C0693"/>
    <w:rsid w:val="007C0799"/>
    <w:rsid w:val="007C07E6"/>
    <w:rsid w:val="007C0B3B"/>
    <w:rsid w:val="007C0BC3"/>
    <w:rsid w:val="007C0DE2"/>
    <w:rsid w:val="007C1142"/>
    <w:rsid w:val="007C11B9"/>
    <w:rsid w:val="007C1627"/>
    <w:rsid w:val="007C16C1"/>
    <w:rsid w:val="007C1C0A"/>
    <w:rsid w:val="007C1CFD"/>
    <w:rsid w:val="007C1D7F"/>
    <w:rsid w:val="007C1E42"/>
    <w:rsid w:val="007C1E55"/>
    <w:rsid w:val="007C1EAD"/>
    <w:rsid w:val="007C2290"/>
    <w:rsid w:val="007C22A1"/>
    <w:rsid w:val="007C2399"/>
    <w:rsid w:val="007C24B2"/>
    <w:rsid w:val="007C24D8"/>
    <w:rsid w:val="007C25B6"/>
    <w:rsid w:val="007C2787"/>
    <w:rsid w:val="007C287D"/>
    <w:rsid w:val="007C29C3"/>
    <w:rsid w:val="007C29CC"/>
    <w:rsid w:val="007C2A6E"/>
    <w:rsid w:val="007C2B74"/>
    <w:rsid w:val="007C2DF0"/>
    <w:rsid w:val="007C2E3C"/>
    <w:rsid w:val="007C2F8E"/>
    <w:rsid w:val="007C30E0"/>
    <w:rsid w:val="007C33AD"/>
    <w:rsid w:val="007C39B5"/>
    <w:rsid w:val="007C3A7E"/>
    <w:rsid w:val="007C3ABD"/>
    <w:rsid w:val="007C3BD1"/>
    <w:rsid w:val="007C3C8C"/>
    <w:rsid w:val="007C3E7F"/>
    <w:rsid w:val="007C3EC3"/>
    <w:rsid w:val="007C407B"/>
    <w:rsid w:val="007C408C"/>
    <w:rsid w:val="007C4136"/>
    <w:rsid w:val="007C4169"/>
    <w:rsid w:val="007C41F3"/>
    <w:rsid w:val="007C4373"/>
    <w:rsid w:val="007C4495"/>
    <w:rsid w:val="007C4A83"/>
    <w:rsid w:val="007C4F7E"/>
    <w:rsid w:val="007C5446"/>
    <w:rsid w:val="007C54DA"/>
    <w:rsid w:val="007C55AA"/>
    <w:rsid w:val="007C56BA"/>
    <w:rsid w:val="007C578A"/>
    <w:rsid w:val="007C5973"/>
    <w:rsid w:val="007C5978"/>
    <w:rsid w:val="007C5B3A"/>
    <w:rsid w:val="007C5D5E"/>
    <w:rsid w:val="007C5DB9"/>
    <w:rsid w:val="007C61AA"/>
    <w:rsid w:val="007C620A"/>
    <w:rsid w:val="007C6324"/>
    <w:rsid w:val="007C655F"/>
    <w:rsid w:val="007C65A9"/>
    <w:rsid w:val="007C65EF"/>
    <w:rsid w:val="007C69BC"/>
    <w:rsid w:val="007C6B78"/>
    <w:rsid w:val="007C6DA1"/>
    <w:rsid w:val="007C6E78"/>
    <w:rsid w:val="007C6EB7"/>
    <w:rsid w:val="007C6FD8"/>
    <w:rsid w:val="007C7045"/>
    <w:rsid w:val="007C7054"/>
    <w:rsid w:val="007C72C9"/>
    <w:rsid w:val="007C7395"/>
    <w:rsid w:val="007C76FD"/>
    <w:rsid w:val="007C7A01"/>
    <w:rsid w:val="007C7BCA"/>
    <w:rsid w:val="007C7C37"/>
    <w:rsid w:val="007C7CEC"/>
    <w:rsid w:val="007C7D86"/>
    <w:rsid w:val="007C7DC0"/>
    <w:rsid w:val="007C7EDF"/>
    <w:rsid w:val="007C7FB1"/>
    <w:rsid w:val="007C7FC5"/>
    <w:rsid w:val="007D0642"/>
    <w:rsid w:val="007D06B9"/>
    <w:rsid w:val="007D070A"/>
    <w:rsid w:val="007D0942"/>
    <w:rsid w:val="007D0D1B"/>
    <w:rsid w:val="007D1089"/>
    <w:rsid w:val="007D10FB"/>
    <w:rsid w:val="007D110E"/>
    <w:rsid w:val="007D15BA"/>
    <w:rsid w:val="007D1778"/>
    <w:rsid w:val="007D19FF"/>
    <w:rsid w:val="007D1E8E"/>
    <w:rsid w:val="007D1EDA"/>
    <w:rsid w:val="007D1F03"/>
    <w:rsid w:val="007D1FB0"/>
    <w:rsid w:val="007D208F"/>
    <w:rsid w:val="007D20A9"/>
    <w:rsid w:val="007D20C0"/>
    <w:rsid w:val="007D2121"/>
    <w:rsid w:val="007D2178"/>
    <w:rsid w:val="007D23FD"/>
    <w:rsid w:val="007D255C"/>
    <w:rsid w:val="007D26F6"/>
    <w:rsid w:val="007D2714"/>
    <w:rsid w:val="007D2C74"/>
    <w:rsid w:val="007D2C8C"/>
    <w:rsid w:val="007D2C9E"/>
    <w:rsid w:val="007D2F0D"/>
    <w:rsid w:val="007D3151"/>
    <w:rsid w:val="007D31B7"/>
    <w:rsid w:val="007D3291"/>
    <w:rsid w:val="007D32BA"/>
    <w:rsid w:val="007D33F1"/>
    <w:rsid w:val="007D341F"/>
    <w:rsid w:val="007D3782"/>
    <w:rsid w:val="007D3B96"/>
    <w:rsid w:val="007D3D21"/>
    <w:rsid w:val="007D3E3F"/>
    <w:rsid w:val="007D3E5E"/>
    <w:rsid w:val="007D3F03"/>
    <w:rsid w:val="007D3FDF"/>
    <w:rsid w:val="007D4047"/>
    <w:rsid w:val="007D42E8"/>
    <w:rsid w:val="007D432E"/>
    <w:rsid w:val="007D45E8"/>
    <w:rsid w:val="007D4613"/>
    <w:rsid w:val="007D4617"/>
    <w:rsid w:val="007D4660"/>
    <w:rsid w:val="007D4686"/>
    <w:rsid w:val="007D4803"/>
    <w:rsid w:val="007D4806"/>
    <w:rsid w:val="007D4872"/>
    <w:rsid w:val="007D4C3B"/>
    <w:rsid w:val="007D508A"/>
    <w:rsid w:val="007D519B"/>
    <w:rsid w:val="007D5246"/>
    <w:rsid w:val="007D52DC"/>
    <w:rsid w:val="007D54B1"/>
    <w:rsid w:val="007D5774"/>
    <w:rsid w:val="007D58B8"/>
    <w:rsid w:val="007D5996"/>
    <w:rsid w:val="007D59A1"/>
    <w:rsid w:val="007D5A6A"/>
    <w:rsid w:val="007D5AF9"/>
    <w:rsid w:val="007D5F20"/>
    <w:rsid w:val="007D6092"/>
    <w:rsid w:val="007D6132"/>
    <w:rsid w:val="007D628F"/>
    <w:rsid w:val="007D6308"/>
    <w:rsid w:val="007D63D6"/>
    <w:rsid w:val="007D6750"/>
    <w:rsid w:val="007D6816"/>
    <w:rsid w:val="007D6910"/>
    <w:rsid w:val="007D6A86"/>
    <w:rsid w:val="007D6D36"/>
    <w:rsid w:val="007D6E09"/>
    <w:rsid w:val="007D6E12"/>
    <w:rsid w:val="007D6F21"/>
    <w:rsid w:val="007D7083"/>
    <w:rsid w:val="007D73A5"/>
    <w:rsid w:val="007D73B0"/>
    <w:rsid w:val="007D73F2"/>
    <w:rsid w:val="007D7514"/>
    <w:rsid w:val="007D7537"/>
    <w:rsid w:val="007D7545"/>
    <w:rsid w:val="007D754B"/>
    <w:rsid w:val="007D76D0"/>
    <w:rsid w:val="007D7812"/>
    <w:rsid w:val="007D7AEF"/>
    <w:rsid w:val="007D7C37"/>
    <w:rsid w:val="007D7E2D"/>
    <w:rsid w:val="007E017C"/>
    <w:rsid w:val="007E03AC"/>
    <w:rsid w:val="007E0482"/>
    <w:rsid w:val="007E0539"/>
    <w:rsid w:val="007E0596"/>
    <w:rsid w:val="007E069C"/>
    <w:rsid w:val="007E07FE"/>
    <w:rsid w:val="007E0869"/>
    <w:rsid w:val="007E091F"/>
    <w:rsid w:val="007E0B76"/>
    <w:rsid w:val="007E0BB8"/>
    <w:rsid w:val="007E0CB3"/>
    <w:rsid w:val="007E0D5C"/>
    <w:rsid w:val="007E0E65"/>
    <w:rsid w:val="007E1326"/>
    <w:rsid w:val="007E1533"/>
    <w:rsid w:val="007E1970"/>
    <w:rsid w:val="007E1BE7"/>
    <w:rsid w:val="007E1C66"/>
    <w:rsid w:val="007E22F2"/>
    <w:rsid w:val="007E2303"/>
    <w:rsid w:val="007E23CB"/>
    <w:rsid w:val="007E2411"/>
    <w:rsid w:val="007E25EA"/>
    <w:rsid w:val="007E270A"/>
    <w:rsid w:val="007E2BED"/>
    <w:rsid w:val="007E2CDA"/>
    <w:rsid w:val="007E3086"/>
    <w:rsid w:val="007E3344"/>
    <w:rsid w:val="007E3415"/>
    <w:rsid w:val="007E342D"/>
    <w:rsid w:val="007E349F"/>
    <w:rsid w:val="007E352A"/>
    <w:rsid w:val="007E35CE"/>
    <w:rsid w:val="007E35F1"/>
    <w:rsid w:val="007E3647"/>
    <w:rsid w:val="007E36B6"/>
    <w:rsid w:val="007E3786"/>
    <w:rsid w:val="007E3934"/>
    <w:rsid w:val="007E3ABD"/>
    <w:rsid w:val="007E3D58"/>
    <w:rsid w:val="007E3D60"/>
    <w:rsid w:val="007E3E3D"/>
    <w:rsid w:val="007E404E"/>
    <w:rsid w:val="007E4242"/>
    <w:rsid w:val="007E4301"/>
    <w:rsid w:val="007E44C6"/>
    <w:rsid w:val="007E45FA"/>
    <w:rsid w:val="007E46B9"/>
    <w:rsid w:val="007E49FB"/>
    <w:rsid w:val="007E4B5D"/>
    <w:rsid w:val="007E4D05"/>
    <w:rsid w:val="007E521A"/>
    <w:rsid w:val="007E52C6"/>
    <w:rsid w:val="007E56A1"/>
    <w:rsid w:val="007E576C"/>
    <w:rsid w:val="007E597D"/>
    <w:rsid w:val="007E5C53"/>
    <w:rsid w:val="007E5DE7"/>
    <w:rsid w:val="007E5F30"/>
    <w:rsid w:val="007E5F57"/>
    <w:rsid w:val="007E6032"/>
    <w:rsid w:val="007E604E"/>
    <w:rsid w:val="007E61E8"/>
    <w:rsid w:val="007E6229"/>
    <w:rsid w:val="007E628A"/>
    <w:rsid w:val="007E62BA"/>
    <w:rsid w:val="007E64CD"/>
    <w:rsid w:val="007E6640"/>
    <w:rsid w:val="007E66FF"/>
    <w:rsid w:val="007E6825"/>
    <w:rsid w:val="007E68EE"/>
    <w:rsid w:val="007E69DC"/>
    <w:rsid w:val="007E6ABD"/>
    <w:rsid w:val="007E6B7A"/>
    <w:rsid w:val="007E6B82"/>
    <w:rsid w:val="007E6CB5"/>
    <w:rsid w:val="007E6F19"/>
    <w:rsid w:val="007E6F60"/>
    <w:rsid w:val="007E7118"/>
    <w:rsid w:val="007E71D9"/>
    <w:rsid w:val="007E7456"/>
    <w:rsid w:val="007E752F"/>
    <w:rsid w:val="007E76F4"/>
    <w:rsid w:val="007E7738"/>
    <w:rsid w:val="007E7A55"/>
    <w:rsid w:val="007E7ADB"/>
    <w:rsid w:val="007E7AF0"/>
    <w:rsid w:val="007E7D02"/>
    <w:rsid w:val="007F0077"/>
    <w:rsid w:val="007F0210"/>
    <w:rsid w:val="007F051E"/>
    <w:rsid w:val="007F0532"/>
    <w:rsid w:val="007F0568"/>
    <w:rsid w:val="007F06D4"/>
    <w:rsid w:val="007F0798"/>
    <w:rsid w:val="007F07E5"/>
    <w:rsid w:val="007F09C7"/>
    <w:rsid w:val="007F0C20"/>
    <w:rsid w:val="007F0D5A"/>
    <w:rsid w:val="007F0E5F"/>
    <w:rsid w:val="007F0FC0"/>
    <w:rsid w:val="007F0FD6"/>
    <w:rsid w:val="007F1037"/>
    <w:rsid w:val="007F12E8"/>
    <w:rsid w:val="007F13C8"/>
    <w:rsid w:val="007F1519"/>
    <w:rsid w:val="007F181F"/>
    <w:rsid w:val="007F1862"/>
    <w:rsid w:val="007F1953"/>
    <w:rsid w:val="007F19FC"/>
    <w:rsid w:val="007F1A04"/>
    <w:rsid w:val="007F1A3D"/>
    <w:rsid w:val="007F1A8F"/>
    <w:rsid w:val="007F1AE8"/>
    <w:rsid w:val="007F1B0A"/>
    <w:rsid w:val="007F1BC7"/>
    <w:rsid w:val="007F1D3A"/>
    <w:rsid w:val="007F1F5D"/>
    <w:rsid w:val="007F2254"/>
    <w:rsid w:val="007F24E6"/>
    <w:rsid w:val="007F2517"/>
    <w:rsid w:val="007F2586"/>
    <w:rsid w:val="007F2682"/>
    <w:rsid w:val="007F27E5"/>
    <w:rsid w:val="007F28EC"/>
    <w:rsid w:val="007F2A39"/>
    <w:rsid w:val="007F2B76"/>
    <w:rsid w:val="007F2CA0"/>
    <w:rsid w:val="007F2D0E"/>
    <w:rsid w:val="007F2FDE"/>
    <w:rsid w:val="007F3170"/>
    <w:rsid w:val="007F3265"/>
    <w:rsid w:val="007F32B1"/>
    <w:rsid w:val="007F33C7"/>
    <w:rsid w:val="007F33FE"/>
    <w:rsid w:val="007F3433"/>
    <w:rsid w:val="007F343C"/>
    <w:rsid w:val="007F35D6"/>
    <w:rsid w:val="007F35D9"/>
    <w:rsid w:val="007F36A5"/>
    <w:rsid w:val="007F36C9"/>
    <w:rsid w:val="007F36D4"/>
    <w:rsid w:val="007F3703"/>
    <w:rsid w:val="007F3935"/>
    <w:rsid w:val="007F3A15"/>
    <w:rsid w:val="007F3A9F"/>
    <w:rsid w:val="007F3AE6"/>
    <w:rsid w:val="007F3BDE"/>
    <w:rsid w:val="007F3BED"/>
    <w:rsid w:val="007F3D58"/>
    <w:rsid w:val="007F3F78"/>
    <w:rsid w:val="007F4057"/>
    <w:rsid w:val="007F40B0"/>
    <w:rsid w:val="007F41BB"/>
    <w:rsid w:val="007F4251"/>
    <w:rsid w:val="007F4444"/>
    <w:rsid w:val="007F448F"/>
    <w:rsid w:val="007F4778"/>
    <w:rsid w:val="007F4ADA"/>
    <w:rsid w:val="007F4C13"/>
    <w:rsid w:val="007F4CB7"/>
    <w:rsid w:val="007F4CF1"/>
    <w:rsid w:val="007F4D94"/>
    <w:rsid w:val="007F4EAD"/>
    <w:rsid w:val="007F4EE9"/>
    <w:rsid w:val="007F4FC0"/>
    <w:rsid w:val="007F50EE"/>
    <w:rsid w:val="007F5111"/>
    <w:rsid w:val="007F552A"/>
    <w:rsid w:val="007F55F0"/>
    <w:rsid w:val="007F59F2"/>
    <w:rsid w:val="007F59F7"/>
    <w:rsid w:val="007F5D62"/>
    <w:rsid w:val="007F62FC"/>
    <w:rsid w:val="007F65AC"/>
    <w:rsid w:val="007F683C"/>
    <w:rsid w:val="007F6B03"/>
    <w:rsid w:val="007F6BB0"/>
    <w:rsid w:val="007F6BF9"/>
    <w:rsid w:val="007F6C77"/>
    <w:rsid w:val="007F6D1B"/>
    <w:rsid w:val="007F702E"/>
    <w:rsid w:val="007F736E"/>
    <w:rsid w:val="007F740C"/>
    <w:rsid w:val="007F74F8"/>
    <w:rsid w:val="007F7525"/>
    <w:rsid w:val="007F7560"/>
    <w:rsid w:val="007F76A9"/>
    <w:rsid w:val="007F77E9"/>
    <w:rsid w:val="007F793F"/>
    <w:rsid w:val="007F79D3"/>
    <w:rsid w:val="007F7B52"/>
    <w:rsid w:val="007F7C8F"/>
    <w:rsid w:val="007F7D7F"/>
    <w:rsid w:val="00800084"/>
    <w:rsid w:val="00800104"/>
    <w:rsid w:val="00800114"/>
    <w:rsid w:val="0080013A"/>
    <w:rsid w:val="00800300"/>
    <w:rsid w:val="0080039A"/>
    <w:rsid w:val="0080049B"/>
    <w:rsid w:val="008005BC"/>
    <w:rsid w:val="008005E3"/>
    <w:rsid w:val="008009F4"/>
    <w:rsid w:val="00800A13"/>
    <w:rsid w:val="00800D43"/>
    <w:rsid w:val="00800E61"/>
    <w:rsid w:val="0080123F"/>
    <w:rsid w:val="0080124D"/>
    <w:rsid w:val="008012F2"/>
    <w:rsid w:val="00801318"/>
    <w:rsid w:val="008014D7"/>
    <w:rsid w:val="008015AD"/>
    <w:rsid w:val="00801756"/>
    <w:rsid w:val="00801792"/>
    <w:rsid w:val="008019D3"/>
    <w:rsid w:val="00801A50"/>
    <w:rsid w:val="00801B71"/>
    <w:rsid w:val="00801C7B"/>
    <w:rsid w:val="00801CC4"/>
    <w:rsid w:val="00801CCE"/>
    <w:rsid w:val="00801CCF"/>
    <w:rsid w:val="00801D7F"/>
    <w:rsid w:val="00801EC2"/>
    <w:rsid w:val="00801EC9"/>
    <w:rsid w:val="0080200B"/>
    <w:rsid w:val="0080211A"/>
    <w:rsid w:val="00802346"/>
    <w:rsid w:val="008023F3"/>
    <w:rsid w:val="008026A5"/>
    <w:rsid w:val="008026F1"/>
    <w:rsid w:val="00802972"/>
    <w:rsid w:val="008029D4"/>
    <w:rsid w:val="00802B43"/>
    <w:rsid w:val="00802B68"/>
    <w:rsid w:val="00802B88"/>
    <w:rsid w:val="00802B8B"/>
    <w:rsid w:val="00802B8D"/>
    <w:rsid w:val="00802BAE"/>
    <w:rsid w:val="00802BC7"/>
    <w:rsid w:val="00802C6F"/>
    <w:rsid w:val="00802C8A"/>
    <w:rsid w:val="00802CD6"/>
    <w:rsid w:val="00802D9F"/>
    <w:rsid w:val="00802EEC"/>
    <w:rsid w:val="008030B9"/>
    <w:rsid w:val="008031E4"/>
    <w:rsid w:val="008033D8"/>
    <w:rsid w:val="00803581"/>
    <w:rsid w:val="008035D7"/>
    <w:rsid w:val="0080369C"/>
    <w:rsid w:val="0080375F"/>
    <w:rsid w:val="00803873"/>
    <w:rsid w:val="008038F1"/>
    <w:rsid w:val="008039C6"/>
    <w:rsid w:val="00803B7A"/>
    <w:rsid w:val="00803D99"/>
    <w:rsid w:val="00803DFE"/>
    <w:rsid w:val="00803ED9"/>
    <w:rsid w:val="0080407B"/>
    <w:rsid w:val="008040A3"/>
    <w:rsid w:val="008040AE"/>
    <w:rsid w:val="008040E9"/>
    <w:rsid w:val="00804641"/>
    <w:rsid w:val="00804714"/>
    <w:rsid w:val="00804A89"/>
    <w:rsid w:val="00804AB1"/>
    <w:rsid w:val="00804ABC"/>
    <w:rsid w:val="00804B6A"/>
    <w:rsid w:val="00804BAF"/>
    <w:rsid w:val="00804C44"/>
    <w:rsid w:val="00804C6D"/>
    <w:rsid w:val="00804CDF"/>
    <w:rsid w:val="00804EC3"/>
    <w:rsid w:val="00804FE7"/>
    <w:rsid w:val="008052F2"/>
    <w:rsid w:val="008056D6"/>
    <w:rsid w:val="00805777"/>
    <w:rsid w:val="00805779"/>
    <w:rsid w:val="008058D7"/>
    <w:rsid w:val="00805A31"/>
    <w:rsid w:val="00805D78"/>
    <w:rsid w:val="00805EDE"/>
    <w:rsid w:val="00805FA3"/>
    <w:rsid w:val="00805FD6"/>
    <w:rsid w:val="0080602B"/>
    <w:rsid w:val="008062A3"/>
    <w:rsid w:val="008062C9"/>
    <w:rsid w:val="008062D6"/>
    <w:rsid w:val="008064B7"/>
    <w:rsid w:val="008065C1"/>
    <w:rsid w:val="00806619"/>
    <w:rsid w:val="008068AF"/>
    <w:rsid w:val="00807089"/>
    <w:rsid w:val="00807237"/>
    <w:rsid w:val="00807445"/>
    <w:rsid w:val="008077B5"/>
    <w:rsid w:val="0080784C"/>
    <w:rsid w:val="008078CA"/>
    <w:rsid w:val="008078E1"/>
    <w:rsid w:val="008079A7"/>
    <w:rsid w:val="00807A76"/>
    <w:rsid w:val="00807AC5"/>
    <w:rsid w:val="00807B8F"/>
    <w:rsid w:val="00807B94"/>
    <w:rsid w:val="00807BAD"/>
    <w:rsid w:val="00807CBA"/>
    <w:rsid w:val="00807D4C"/>
    <w:rsid w:val="00807EFF"/>
    <w:rsid w:val="00807FB1"/>
    <w:rsid w:val="00807FB4"/>
    <w:rsid w:val="0081040F"/>
    <w:rsid w:val="0081057C"/>
    <w:rsid w:val="0081059B"/>
    <w:rsid w:val="0081074B"/>
    <w:rsid w:val="00810867"/>
    <w:rsid w:val="008109D4"/>
    <w:rsid w:val="008109F1"/>
    <w:rsid w:val="00810A39"/>
    <w:rsid w:val="00810AB5"/>
    <w:rsid w:val="00810C84"/>
    <w:rsid w:val="00810FFC"/>
    <w:rsid w:val="00811106"/>
    <w:rsid w:val="00811166"/>
    <w:rsid w:val="008111C3"/>
    <w:rsid w:val="0081146B"/>
    <w:rsid w:val="008114DB"/>
    <w:rsid w:val="00811590"/>
    <w:rsid w:val="00811837"/>
    <w:rsid w:val="00811896"/>
    <w:rsid w:val="00811C41"/>
    <w:rsid w:val="00811C6F"/>
    <w:rsid w:val="00811C87"/>
    <w:rsid w:val="00811DA8"/>
    <w:rsid w:val="00812013"/>
    <w:rsid w:val="008120D0"/>
    <w:rsid w:val="008124E4"/>
    <w:rsid w:val="0081277A"/>
    <w:rsid w:val="008128C9"/>
    <w:rsid w:val="00812A9A"/>
    <w:rsid w:val="00812BB4"/>
    <w:rsid w:val="00812D89"/>
    <w:rsid w:val="0081301A"/>
    <w:rsid w:val="008131C0"/>
    <w:rsid w:val="008133E7"/>
    <w:rsid w:val="0081366F"/>
    <w:rsid w:val="00813798"/>
    <w:rsid w:val="008137A9"/>
    <w:rsid w:val="00813836"/>
    <w:rsid w:val="00813942"/>
    <w:rsid w:val="0081396C"/>
    <w:rsid w:val="00813ABD"/>
    <w:rsid w:val="00813BF4"/>
    <w:rsid w:val="00813D51"/>
    <w:rsid w:val="00813DC6"/>
    <w:rsid w:val="00813E55"/>
    <w:rsid w:val="00813E65"/>
    <w:rsid w:val="0081435F"/>
    <w:rsid w:val="0081438C"/>
    <w:rsid w:val="008145F2"/>
    <w:rsid w:val="00814611"/>
    <w:rsid w:val="0081496C"/>
    <w:rsid w:val="00814AC7"/>
    <w:rsid w:val="00814B57"/>
    <w:rsid w:val="00814E1F"/>
    <w:rsid w:val="008150F5"/>
    <w:rsid w:val="008155A9"/>
    <w:rsid w:val="00815625"/>
    <w:rsid w:val="0081563D"/>
    <w:rsid w:val="008156B6"/>
    <w:rsid w:val="008157BA"/>
    <w:rsid w:val="00815842"/>
    <w:rsid w:val="008158CB"/>
    <w:rsid w:val="00815A21"/>
    <w:rsid w:val="00815B1E"/>
    <w:rsid w:val="00815CFE"/>
    <w:rsid w:val="00815D91"/>
    <w:rsid w:val="00815EB2"/>
    <w:rsid w:val="00815EDF"/>
    <w:rsid w:val="00815EFE"/>
    <w:rsid w:val="00816061"/>
    <w:rsid w:val="008160E9"/>
    <w:rsid w:val="008162BE"/>
    <w:rsid w:val="008164AC"/>
    <w:rsid w:val="0081651E"/>
    <w:rsid w:val="008166D7"/>
    <w:rsid w:val="00816937"/>
    <w:rsid w:val="00816A6C"/>
    <w:rsid w:val="00816B19"/>
    <w:rsid w:val="00817043"/>
    <w:rsid w:val="00817065"/>
    <w:rsid w:val="008172F0"/>
    <w:rsid w:val="00817552"/>
    <w:rsid w:val="00817676"/>
    <w:rsid w:val="008177FF"/>
    <w:rsid w:val="00817BFF"/>
    <w:rsid w:val="00817D5C"/>
    <w:rsid w:val="00817DC4"/>
    <w:rsid w:val="00817F1C"/>
    <w:rsid w:val="00817FAD"/>
    <w:rsid w:val="00820001"/>
    <w:rsid w:val="008200B9"/>
    <w:rsid w:val="00820137"/>
    <w:rsid w:val="00820282"/>
    <w:rsid w:val="008205D7"/>
    <w:rsid w:val="008206F4"/>
    <w:rsid w:val="008207F9"/>
    <w:rsid w:val="008208C3"/>
    <w:rsid w:val="00820AEF"/>
    <w:rsid w:val="00820B44"/>
    <w:rsid w:val="00820D6D"/>
    <w:rsid w:val="00820DB6"/>
    <w:rsid w:val="00820DEC"/>
    <w:rsid w:val="00820F84"/>
    <w:rsid w:val="0082104D"/>
    <w:rsid w:val="008215A8"/>
    <w:rsid w:val="008215DE"/>
    <w:rsid w:val="00821635"/>
    <w:rsid w:val="008218F5"/>
    <w:rsid w:val="00821A0B"/>
    <w:rsid w:val="00821A74"/>
    <w:rsid w:val="00821B30"/>
    <w:rsid w:val="00821C63"/>
    <w:rsid w:val="00821CC6"/>
    <w:rsid w:val="00821D69"/>
    <w:rsid w:val="00821DC1"/>
    <w:rsid w:val="00821ED8"/>
    <w:rsid w:val="008222AC"/>
    <w:rsid w:val="008222C7"/>
    <w:rsid w:val="008222D3"/>
    <w:rsid w:val="008223EA"/>
    <w:rsid w:val="008225A0"/>
    <w:rsid w:val="008227ED"/>
    <w:rsid w:val="00822A78"/>
    <w:rsid w:val="00822AFF"/>
    <w:rsid w:val="00822BDB"/>
    <w:rsid w:val="00822DA9"/>
    <w:rsid w:val="00822E1A"/>
    <w:rsid w:val="00822E55"/>
    <w:rsid w:val="00822EB5"/>
    <w:rsid w:val="00823260"/>
    <w:rsid w:val="00823439"/>
    <w:rsid w:val="008236FD"/>
    <w:rsid w:val="00823756"/>
    <w:rsid w:val="00823B1F"/>
    <w:rsid w:val="00823C48"/>
    <w:rsid w:val="00823D81"/>
    <w:rsid w:val="00823F97"/>
    <w:rsid w:val="0082420E"/>
    <w:rsid w:val="00824425"/>
    <w:rsid w:val="00824450"/>
    <w:rsid w:val="008245D8"/>
    <w:rsid w:val="00824696"/>
    <w:rsid w:val="0082475D"/>
    <w:rsid w:val="008248F1"/>
    <w:rsid w:val="00824906"/>
    <w:rsid w:val="0082490A"/>
    <w:rsid w:val="00824A34"/>
    <w:rsid w:val="00824AB7"/>
    <w:rsid w:val="00824B1A"/>
    <w:rsid w:val="00824B48"/>
    <w:rsid w:val="00824B6B"/>
    <w:rsid w:val="00824C89"/>
    <w:rsid w:val="00824CF4"/>
    <w:rsid w:val="00824D9E"/>
    <w:rsid w:val="00824DEA"/>
    <w:rsid w:val="00824F7E"/>
    <w:rsid w:val="0082522F"/>
    <w:rsid w:val="008252DB"/>
    <w:rsid w:val="008257AA"/>
    <w:rsid w:val="00825980"/>
    <w:rsid w:val="00825A6B"/>
    <w:rsid w:val="00825A7E"/>
    <w:rsid w:val="00825B1D"/>
    <w:rsid w:val="00825B91"/>
    <w:rsid w:val="00825E1E"/>
    <w:rsid w:val="00825EED"/>
    <w:rsid w:val="00826184"/>
    <w:rsid w:val="008261D8"/>
    <w:rsid w:val="0082625E"/>
    <w:rsid w:val="008266C7"/>
    <w:rsid w:val="008269A2"/>
    <w:rsid w:val="008269C6"/>
    <w:rsid w:val="00826A70"/>
    <w:rsid w:val="00826BA6"/>
    <w:rsid w:val="00826EB4"/>
    <w:rsid w:val="00826FE6"/>
    <w:rsid w:val="00827274"/>
    <w:rsid w:val="00827312"/>
    <w:rsid w:val="0082751D"/>
    <w:rsid w:val="008275DF"/>
    <w:rsid w:val="008276B8"/>
    <w:rsid w:val="008277EC"/>
    <w:rsid w:val="008278A4"/>
    <w:rsid w:val="00827C2E"/>
    <w:rsid w:val="00827D96"/>
    <w:rsid w:val="00827EB1"/>
    <w:rsid w:val="00830115"/>
    <w:rsid w:val="00830203"/>
    <w:rsid w:val="00830364"/>
    <w:rsid w:val="008303E3"/>
    <w:rsid w:val="00830404"/>
    <w:rsid w:val="008305F7"/>
    <w:rsid w:val="008306A8"/>
    <w:rsid w:val="00830D0F"/>
    <w:rsid w:val="00830DCF"/>
    <w:rsid w:val="008313A2"/>
    <w:rsid w:val="00831498"/>
    <w:rsid w:val="008314A3"/>
    <w:rsid w:val="00831503"/>
    <w:rsid w:val="00831640"/>
    <w:rsid w:val="0083188A"/>
    <w:rsid w:val="008318DD"/>
    <w:rsid w:val="00831B51"/>
    <w:rsid w:val="00831FCF"/>
    <w:rsid w:val="008324CE"/>
    <w:rsid w:val="0083251E"/>
    <w:rsid w:val="008325DE"/>
    <w:rsid w:val="00832661"/>
    <w:rsid w:val="00832846"/>
    <w:rsid w:val="00832B6B"/>
    <w:rsid w:val="00832D5B"/>
    <w:rsid w:val="00832DEB"/>
    <w:rsid w:val="00832E82"/>
    <w:rsid w:val="00832EB8"/>
    <w:rsid w:val="00832F96"/>
    <w:rsid w:val="00833072"/>
    <w:rsid w:val="008331C4"/>
    <w:rsid w:val="0083322D"/>
    <w:rsid w:val="0083346B"/>
    <w:rsid w:val="008338F8"/>
    <w:rsid w:val="00833907"/>
    <w:rsid w:val="00833B66"/>
    <w:rsid w:val="00833BC2"/>
    <w:rsid w:val="00833C02"/>
    <w:rsid w:val="00833E80"/>
    <w:rsid w:val="00833F71"/>
    <w:rsid w:val="00834264"/>
    <w:rsid w:val="00834341"/>
    <w:rsid w:val="0083437C"/>
    <w:rsid w:val="00834479"/>
    <w:rsid w:val="00834660"/>
    <w:rsid w:val="008347D0"/>
    <w:rsid w:val="0083494B"/>
    <w:rsid w:val="00834A17"/>
    <w:rsid w:val="00834A64"/>
    <w:rsid w:val="00834BBA"/>
    <w:rsid w:val="00834FED"/>
    <w:rsid w:val="00835290"/>
    <w:rsid w:val="00835397"/>
    <w:rsid w:val="008355E9"/>
    <w:rsid w:val="0083566A"/>
    <w:rsid w:val="008356AA"/>
    <w:rsid w:val="008356CA"/>
    <w:rsid w:val="00835770"/>
    <w:rsid w:val="0083579A"/>
    <w:rsid w:val="00835824"/>
    <w:rsid w:val="008358A5"/>
    <w:rsid w:val="008358C7"/>
    <w:rsid w:val="008358D0"/>
    <w:rsid w:val="008358FC"/>
    <w:rsid w:val="00835958"/>
    <w:rsid w:val="008359DF"/>
    <w:rsid w:val="00835A98"/>
    <w:rsid w:val="00835B58"/>
    <w:rsid w:val="00835B7D"/>
    <w:rsid w:val="008360F2"/>
    <w:rsid w:val="00836127"/>
    <w:rsid w:val="00836279"/>
    <w:rsid w:val="00836480"/>
    <w:rsid w:val="0083672E"/>
    <w:rsid w:val="00836765"/>
    <w:rsid w:val="008368D5"/>
    <w:rsid w:val="008368F9"/>
    <w:rsid w:val="008369D2"/>
    <w:rsid w:val="00836A36"/>
    <w:rsid w:val="00836C26"/>
    <w:rsid w:val="00836C47"/>
    <w:rsid w:val="00836F88"/>
    <w:rsid w:val="00837309"/>
    <w:rsid w:val="00837446"/>
    <w:rsid w:val="0083756E"/>
    <w:rsid w:val="00837915"/>
    <w:rsid w:val="00837A64"/>
    <w:rsid w:val="00837B3B"/>
    <w:rsid w:val="00837C15"/>
    <w:rsid w:val="0084004B"/>
    <w:rsid w:val="00840244"/>
    <w:rsid w:val="0084030A"/>
    <w:rsid w:val="00840535"/>
    <w:rsid w:val="00840579"/>
    <w:rsid w:val="00840610"/>
    <w:rsid w:val="0084084A"/>
    <w:rsid w:val="00840A78"/>
    <w:rsid w:val="00840D21"/>
    <w:rsid w:val="00840D5A"/>
    <w:rsid w:val="00840EA1"/>
    <w:rsid w:val="00841034"/>
    <w:rsid w:val="00841039"/>
    <w:rsid w:val="008410A2"/>
    <w:rsid w:val="00841581"/>
    <w:rsid w:val="00841994"/>
    <w:rsid w:val="00841B2B"/>
    <w:rsid w:val="00841B4B"/>
    <w:rsid w:val="00841F77"/>
    <w:rsid w:val="00842156"/>
    <w:rsid w:val="00842275"/>
    <w:rsid w:val="00842321"/>
    <w:rsid w:val="0084277D"/>
    <w:rsid w:val="008428AD"/>
    <w:rsid w:val="008429E6"/>
    <w:rsid w:val="00842ACF"/>
    <w:rsid w:val="00842BDC"/>
    <w:rsid w:val="00842CBD"/>
    <w:rsid w:val="00842CC0"/>
    <w:rsid w:val="00842D29"/>
    <w:rsid w:val="00842DAC"/>
    <w:rsid w:val="0084307F"/>
    <w:rsid w:val="00843B06"/>
    <w:rsid w:val="00843C2B"/>
    <w:rsid w:val="0084410A"/>
    <w:rsid w:val="00844230"/>
    <w:rsid w:val="00844296"/>
    <w:rsid w:val="008442B3"/>
    <w:rsid w:val="00844999"/>
    <w:rsid w:val="00844C66"/>
    <w:rsid w:val="00844CF9"/>
    <w:rsid w:val="00844F4E"/>
    <w:rsid w:val="0084519C"/>
    <w:rsid w:val="0084562A"/>
    <w:rsid w:val="008456B0"/>
    <w:rsid w:val="008457B2"/>
    <w:rsid w:val="008458FB"/>
    <w:rsid w:val="008459EB"/>
    <w:rsid w:val="00845A88"/>
    <w:rsid w:val="00845BB6"/>
    <w:rsid w:val="00845C11"/>
    <w:rsid w:val="00845C1E"/>
    <w:rsid w:val="00845D1C"/>
    <w:rsid w:val="00845D58"/>
    <w:rsid w:val="00845D91"/>
    <w:rsid w:val="008461BF"/>
    <w:rsid w:val="008463CD"/>
    <w:rsid w:val="00846788"/>
    <w:rsid w:val="00846B2E"/>
    <w:rsid w:val="00846C10"/>
    <w:rsid w:val="00846C17"/>
    <w:rsid w:val="00846D91"/>
    <w:rsid w:val="00846F81"/>
    <w:rsid w:val="008470F5"/>
    <w:rsid w:val="008472B9"/>
    <w:rsid w:val="008473A9"/>
    <w:rsid w:val="00847603"/>
    <w:rsid w:val="00847678"/>
    <w:rsid w:val="008476D6"/>
    <w:rsid w:val="008477C6"/>
    <w:rsid w:val="0084781D"/>
    <w:rsid w:val="00847C92"/>
    <w:rsid w:val="00847CAD"/>
    <w:rsid w:val="00847F10"/>
    <w:rsid w:val="0085002B"/>
    <w:rsid w:val="008501A6"/>
    <w:rsid w:val="00850271"/>
    <w:rsid w:val="008502B1"/>
    <w:rsid w:val="00850542"/>
    <w:rsid w:val="008506E2"/>
    <w:rsid w:val="008506F9"/>
    <w:rsid w:val="00850743"/>
    <w:rsid w:val="008509B4"/>
    <w:rsid w:val="00850E5A"/>
    <w:rsid w:val="00851036"/>
    <w:rsid w:val="00851040"/>
    <w:rsid w:val="008513C5"/>
    <w:rsid w:val="00851462"/>
    <w:rsid w:val="0085148C"/>
    <w:rsid w:val="008515D3"/>
    <w:rsid w:val="00851686"/>
    <w:rsid w:val="0085169A"/>
    <w:rsid w:val="008518D1"/>
    <w:rsid w:val="008519F5"/>
    <w:rsid w:val="00851B4A"/>
    <w:rsid w:val="00851C04"/>
    <w:rsid w:val="00851C79"/>
    <w:rsid w:val="00851CA2"/>
    <w:rsid w:val="00851CE5"/>
    <w:rsid w:val="008520C4"/>
    <w:rsid w:val="008521C8"/>
    <w:rsid w:val="00852349"/>
    <w:rsid w:val="0085240C"/>
    <w:rsid w:val="008526C4"/>
    <w:rsid w:val="00852741"/>
    <w:rsid w:val="008528C1"/>
    <w:rsid w:val="008528F2"/>
    <w:rsid w:val="0085292E"/>
    <w:rsid w:val="00852A44"/>
    <w:rsid w:val="00852A5D"/>
    <w:rsid w:val="00852AEC"/>
    <w:rsid w:val="00852B24"/>
    <w:rsid w:val="00852B34"/>
    <w:rsid w:val="00852BC8"/>
    <w:rsid w:val="00852CC3"/>
    <w:rsid w:val="00852E28"/>
    <w:rsid w:val="00852F9E"/>
    <w:rsid w:val="008530D2"/>
    <w:rsid w:val="008530F0"/>
    <w:rsid w:val="008531A3"/>
    <w:rsid w:val="008531C2"/>
    <w:rsid w:val="00853279"/>
    <w:rsid w:val="008532AF"/>
    <w:rsid w:val="00853436"/>
    <w:rsid w:val="0085383B"/>
    <w:rsid w:val="00853850"/>
    <w:rsid w:val="0085389F"/>
    <w:rsid w:val="008538E8"/>
    <w:rsid w:val="00853A53"/>
    <w:rsid w:val="00853B86"/>
    <w:rsid w:val="00853CC3"/>
    <w:rsid w:val="00853ED7"/>
    <w:rsid w:val="00854020"/>
    <w:rsid w:val="00854345"/>
    <w:rsid w:val="00854417"/>
    <w:rsid w:val="00854575"/>
    <w:rsid w:val="008545C8"/>
    <w:rsid w:val="008547D6"/>
    <w:rsid w:val="008548E3"/>
    <w:rsid w:val="00854905"/>
    <w:rsid w:val="008549A0"/>
    <w:rsid w:val="00854A01"/>
    <w:rsid w:val="00854A06"/>
    <w:rsid w:val="00854BA4"/>
    <w:rsid w:val="0085517E"/>
    <w:rsid w:val="0085520B"/>
    <w:rsid w:val="00855366"/>
    <w:rsid w:val="008553FD"/>
    <w:rsid w:val="00855449"/>
    <w:rsid w:val="008557AC"/>
    <w:rsid w:val="00855AFD"/>
    <w:rsid w:val="00855B32"/>
    <w:rsid w:val="00855CE0"/>
    <w:rsid w:val="00855D59"/>
    <w:rsid w:val="00855DDD"/>
    <w:rsid w:val="00855F0F"/>
    <w:rsid w:val="008560D3"/>
    <w:rsid w:val="008561D7"/>
    <w:rsid w:val="008562EE"/>
    <w:rsid w:val="00856569"/>
    <w:rsid w:val="00856671"/>
    <w:rsid w:val="008566C2"/>
    <w:rsid w:val="00856771"/>
    <w:rsid w:val="00856B4E"/>
    <w:rsid w:val="00856E89"/>
    <w:rsid w:val="00856EFC"/>
    <w:rsid w:val="00856F18"/>
    <w:rsid w:val="00857507"/>
    <w:rsid w:val="00857526"/>
    <w:rsid w:val="00857538"/>
    <w:rsid w:val="00857685"/>
    <w:rsid w:val="008576BB"/>
    <w:rsid w:val="008576FD"/>
    <w:rsid w:val="0085778A"/>
    <w:rsid w:val="008577DB"/>
    <w:rsid w:val="008578A9"/>
    <w:rsid w:val="008578B2"/>
    <w:rsid w:val="00857969"/>
    <w:rsid w:val="00857A0F"/>
    <w:rsid w:val="00857BF8"/>
    <w:rsid w:val="00857DEF"/>
    <w:rsid w:val="00857E57"/>
    <w:rsid w:val="00860080"/>
    <w:rsid w:val="008601F6"/>
    <w:rsid w:val="00860506"/>
    <w:rsid w:val="00860695"/>
    <w:rsid w:val="008608B8"/>
    <w:rsid w:val="00860926"/>
    <w:rsid w:val="0086096E"/>
    <w:rsid w:val="008609AD"/>
    <w:rsid w:val="00860B14"/>
    <w:rsid w:val="00860B49"/>
    <w:rsid w:val="00860CE9"/>
    <w:rsid w:val="00860E1C"/>
    <w:rsid w:val="00860FB6"/>
    <w:rsid w:val="00860FDD"/>
    <w:rsid w:val="008610F0"/>
    <w:rsid w:val="00861225"/>
    <w:rsid w:val="0086158A"/>
    <w:rsid w:val="00861681"/>
    <w:rsid w:val="00861727"/>
    <w:rsid w:val="00861798"/>
    <w:rsid w:val="00861A6E"/>
    <w:rsid w:val="00861B1D"/>
    <w:rsid w:val="00861D84"/>
    <w:rsid w:val="00861E06"/>
    <w:rsid w:val="00862096"/>
    <w:rsid w:val="008620BE"/>
    <w:rsid w:val="00862115"/>
    <w:rsid w:val="00862172"/>
    <w:rsid w:val="008621CC"/>
    <w:rsid w:val="00862256"/>
    <w:rsid w:val="008624D3"/>
    <w:rsid w:val="00862918"/>
    <w:rsid w:val="00862941"/>
    <w:rsid w:val="00862A5A"/>
    <w:rsid w:val="00862AD5"/>
    <w:rsid w:val="00862AF2"/>
    <w:rsid w:val="00862C32"/>
    <w:rsid w:val="00862D4E"/>
    <w:rsid w:val="00863210"/>
    <w:rsid w:val="0086330D"/>
    <w:rsid w:val="0086335E"/>
    <w:rsid w:val="00863585"/>
    <w:rsid w:val="008636DE"/>
    <w:rsid w:val="00863787"/>
    <w:rsid w:val="00863919"/>
    <w:rsid w:val="00863A52"/>
    <w:rsid w:val="00863BF6"/>
    <w:rsid w:val="00863C10"/>
    <w:rsid w:val="00863F3B"/>
    <w:rsid w:val="00863FC1"/>
    <w:rsid w:val="00864051"/>
    <w:rsid w:val="0086409F"/>
    <w:rsid w:val="0086422A"/>
    <w:rsid w:val="00864312"/>
    <w:rsid w:val="00864425"/>
    <w:rsid w:val="00864615"/>
    <w:rsid w:val="00864649"/>
    <w:rsid w:val="00864D7C"/>
    <w:rsid w:val="00864F0E"/>
    <w:rsid w:val="008651A8"/>
    <w:rsid w:val="008653AE"/>
    <w:rsid w:val="0086567D"/>
    <w:rsid w:val="00865A66"/>
    <w:rsid w:val="00865E1B"/>
    <w:rsid w:val="00866171"/>
    <w:rsid w:val="00866344"/>
    <w:rsid w:val="00866423"/>
    <w:rsid w:val="008664BD"/>
    <w:rsid w:val="00866593"/>
    <w:rsid w:val="008668D9"/>
    <w:rsid w:val="0086691C"/>
    <w:rsid w:val="00866CA4"/>
    <w:rsid w:val="00866F03"/>
    <w:rsid w:val="00866F93"/>
    <w:rsid w:val="008670E5"/>
    <w:rsid w:val="008671C5"/>
    <w:rsid w:val="008673C3"/>
    <w:rsid w:val="008673C9"/>
    <w:rsid w:val="00867497"/>
    <w:rsid w:val="0086764C"/>
    <w:rsid w:val="00867A20"/>
    <w:rsid w:val="00867BFF"/>
    <w:rsid w:val="00867C6B"/>
    <w:rsid w:val="00867E20"/>
    <w:rsid w:val="0087002B"/>
    <w:rsid w:val="008700FF"/>
    <w:rsid w:val="008701A4"/>
    <w:rsid w:val="00870245"/>
    <w:rsid w:val="00870528"/>
    <w:rsid w:val="0087056F"/>
    <w:rsid w:val="008706E6"/>
    <w:rsid w:val="00870880"/>
    <w:rsid w:val="00870BFD"/>
    <w:rsid w:val="00870C8F"/>
    <w:rsid w:val="00870C9E"/>
    <w:rsid w:val="00870CE7"/>
    <w:rsid w:val="00870D8B"/>
    <w:rsid w:val="00870D99"/>
    <w:rsid w:val="00870F31"/>
    <w:rsid w:val="00871141"/>
    <w:rsid w:val="00871212"/>
    <w:rsid w:val="008712B0"/>
    <w:rsid w:val="008712BE"/>
    <w:rsid w:val="00871382"/>
    <w:rsid w:val="008713DA"/>
    <w:rsid w:val="00871454"/>
    <w:rsid w:val="00871545"/>
    <w:rsid w:val="00871552"/>
    <w:rsid w:val="00871581"/>
    <w:rsid w:val="00871780"/>
    <w:rsid w:val="008717E3"/>
    <w:rsid w:val="0087185E"/>
    <w:rsid w:val="008718E9"/>
    <w:rsid w:val="008719DF"/>
    <w:rsid w:val="00871A00"/>
    <w:rsid w:val="00871A33"/>
    <w:rsid w:val="00871B2D"/>
    <w:rsid w:val="00871B8E"/>
    <w:rsid w:val="00871CB8"/>
    <w:rsid w:val="0087207C"/>
    <w:rsid w:val="008722E0"/>
    <w:rsid w:val="00872301"/>
    <w:rsid w:val="008724F1"/>
    <w:rsid w:val="008725C7"/>
    <w:rsid w:val="008726EE"/>
    <w:rsid w:val="00872833"/>
    <w:rsid w:val="00872989"/>
    <w:rsid w:val="00872A07"/>
    <w:rsid w:val="00872EE4"/>
    <w:rsid w:val="00872EFE"/>
    <w:rsid w:val="008730C8"/>
    <w:rsid w:val="00873183"/>
    <w:rsid w:val="00873235"/>
    <w:rsid w:val="00873715"/>
    <w:rsid w:val="00873746"/>
    <w:rsid w:val="008737E4"/>
    <w:rsid w:val="0087387E"/>
    <w:rsid w:val="00873A10"/>
    <w:rsid w:val="00873A5E"/>
    <w:rsid w:val="00873B04"/>
    <w:rsid w:val="00873C73"/>
    <w:rsid w:val="00873D44"/>
    <w:rsid w:val="00873FCB"/>
    <w:rsid w:val="00873FE8"/>
    <w:rsid w:val="00874100"/>
    <w:rsid w:val="008746EB"/>
    <w:rsid w:val="008747CA"/>
    <w:rsid w:val="008747F9"/>
    <w:rsid w:val="0087480A"/>
    <w:rsid w:val="00874A73"/>
    <w:rsid w:val="00874B8F"/>
    <w:rsid w:val="00874BD8"/>
    <w:rsid w:val="00874DAE"/>
    <w:rsid w:val="00874E30"/>
    <w:rsid w:val="00874E94"/>
    <w:rsid w:val="00875027"/>
    <w:rsid w:val="0087514F"/>
    <w:rsid w:val="008752A6"/>
    <w:rsid w:val="00875972"/>
    <w:rsid w:val="00875981"/>
    <w:rsid w:val="00875D9C"/>
    <w:rsid w:val="00875E88"/>
    <w:rsid w:val="0087623D"/>
    <w:rsid w:val="00876250"/>
    <w:rsid w:val="00876648"/>
    <w:rsid w:val="00876657"/>
    <w:rsid w:val="00876762"/>
    <w:rsid w:val="00876A44"/>
    <w:rsid w:val="00876CF3"/>
    <w:rsid w:val="00876D51"/>
    <w:rsid w:val="00876EFA"/>
    <w:rsid w:val="0087703D"/>
    <w:rsid w:val="00877125"/>
    <w:rsid w:val="00877171"/>
    <w:rsid w:val="008771DC"/>
    <w:rsid w:val="008772DE"/>
    <w:rsid w:val="00877354"/>
    <w:rsid w:val="00877482"/>
    <w:rsid w:val="008774A6"/>
    <w:rsid w:val="008776D5"/>
    <w:rsid w:val="0087780F"/>
    <w:rsid w:val="00877A1F"/>
    <w:rsid w:val="00877B46"/>
    <w:rsid w:val="00877B7A"/>
    <w:rsid w:val="00877E85"/>
    <w:rsid w:val="008804B4"/>
    <w:rsid w:val="008804D3"/>
    <w:rsid w:val="00880639"/>
    <w:rsid w:val="008807DA"/>
    <w:rsid w:val="00880A5E"/>
    <w:rsid w:val="00880CB2"/>
    <w:rsid w:val="00880D55"/>
    <w:rsid w:val="00880D92"/>
    <w:rsid w:val="00880DFC"/>
    <w:rsid w:val="00880F28"/>
    <w:rsid w:val="00880FFD"/>
    <w:rsid w:val="008810DD"/>
    <w:rsid w:val="00881280"/>
    <w:rsid w:val="00881361"/>
    <w:rsid w:val="008813A9"/>
    <w:rsid w:val="00881403"/>
    <w:rsid w:val="008816C5"/>
    <w:rsid w:val="00881B71"/>
    <w:rsid w:val="00881CB7"/>
    <w:rsid w:val="00881E95"/>
    <w:rsid w:val="0088235E"/>
    <w:rsid w:val="008823A1"/>
    <w:rsid w:val="00882560"/>
    <w:rsid w:val="00882615"/>
    <w:rsid w:val="008827EA"/>
    <w:rsid w:val="00882836"/>
    <w:rsid w:val="00882888"/>
    <w:rsid w:val="00882AA2"/>
    <w:rsid w:val="00882AC8"/>
    <w:rsid w:val="00882C3C"/>
    <w:rsid w:val="00882C54"/>
    <w:rsid w:val="00882EAA"/>
    <w:rsid w:val="00882EB6"/>
    <w:rsid w:val="00882F28"/>
    <w:rsid w:val="00882F33"/>
    <w:rsid w:val="00883157"/>
    <w:rsid w:val="0088348B"/>
    <w:rsid w:val="008835D9"/>
    <w:rsid w:val="00883793"/>
    <w:rsid w:val="00883E03"/>
    <w:rsid w:val="00884579"/>
    <w:rsid w:val="008846DD"/>
    <w:rsid w:val="0088470C"/>
    <w:rsid w:val="00884766"/>
    <w:rsid w:val="008847BA"/>
    <w:rsid w:val="00884962"/>
    <w:rsid w:val="00884EED"/>
    <w:rsid w:val="008850E3"/>
    <w:rsid w:val="008851E7"/>
    <w:rsid w:val="008855D5"/>
    <w:rsid w:val="008855F6"/>
    <w:rsid w:val="00885655"/>
    <w:rsid w:val="008857EF"/>
    <w:rsid w:val="00885870"/>
    <w:rsid w:val="00885B0D"/>
    <w:rsid w:val="00885CBE"/>
    <w:rsid w:val="00885E65"/>
    <w:rsid w:val="00885F51"/>
    <w:rsid w:val="0088604D"/>
    <w:rsid w:val="008860C3"/>
    <w:rsid w:val="00886165"/>
    <w:rsid w:val="00886218"/>
    <w:rsid w:val="0088626B"/>
    <w:rsid w:val="008863C3"/>
    <w:rsid w:val="00886443"/>
    <w:rsid w:val="00886626"/>
    <w:rsid w:val="00886748"/>
    <w:rsid w:val="00886B20"/>
    <w:rsid w:val="00886C9C"/>
    <w:rsid w:val="00886EFA"/>
    <w:rsid w:val="00886F73"/>
    <w:rsid w:val="00886FC5"/>
    <w:rsid w:val="008871E8"/>
    <w:rsid w:val="0088742B"/>
    <w:rsid w:val="00887472"/>
    <w:rsid w:val="00887482"/>
    <w:rsid w:val="008875A7"/>
    <w:rsid w:val="00887654"/>
    <w:rsid w:val="00887664"/>
    <w:rsid w:val="00887684"/>
    <w:rsid w:val="00887763"/>
    <w:rsid w:val="0088788B"/>
    <w:rsid w:val="00887AE5"/>
    <w:rsid w:val="00887B46"/>
    <w:rsid w:val="00887E88"/>
    <w:rsid w:val="008904CD"/>
    <w:rsid w:val="008907B8"/>
    <w:rsid w:val="0089080F"/>
    <w:rsid w:val="00890954"/>
    <w:rsid w:val="00890AF2"/>
    <w:rsid w:val="00890C5B"/>
    <w:rsid w:val="00890C64"/>
    <w:rsid w:val="00890D00"/>
    <w:rsid w:val="00890D8C"/>
    <w:rsid w:val="00890F5E"/>
    <w:rsid w:val="00891050"/>
    <w:rsid w:val="008911F2"/>
    <w:rsid w:val="00891308"/>
    <w:rsid w:val="00891401"/>
    <w:rsid w:val="008914AB"/>
    <w:rsid w:val="0089153E"/>
    <w:rsid w:val="008915CD"/>
    <w:rsid w:val="008919BC"/>
    <w:rsid w:val="008919D2"/>
    <w:rsid w:val="00891A91"/>
    <w:rsid w:val="00891BDA"/>
    <w:rsid w:val="00891E2E"/>
    <w:rsid w:val="00891E53"/>
    <w:rsid w:val="0089200E"/>
    <w:rsid w:val="008921C5"/>
    <w:rsid w:val="00892211"/>
    <w:rsid w:val="00892275"/>
    <w:rsid w:val="008922E1"/>
    <w:rsid w:val="00892547"/>
    <w:rsid w:val="00892635"/>
    <w:rsid w:val="0089269B"/>
    <w:rsid w:val="0089281D"/>
    <w:rsid w:val="0089293A"/>
    <w:rsid w:val="00892AC8"/>
    <w:rsid w:val="00892D5E"/>
    <w:rsid w:val="00892E1B"/>
    <w:rsid w:val="00892FB3"/>
    <w:rsid w:val="00893154"/>
    <w:rsid w:val="00893176"/>
    <w:rsid w:val="00893266"/>
    <w:rsid w:val="00893297"/>
    <w:rsid w:val="00893369"/>
    <w:rsid w:val="00893504"/>
    <w:rsid w:val="00893ADB"/>
    <w:rsid w:val="00893B0A"/>
    <w:rsid w:val="00893C66"/>
    <w:rsid w:val="00893DBC"/>
    <w:rsid w:val="00893F0A"/>
    <w:rsid w:val="00893F6C"/>
    <w:rsid w:val="00894097"/>
    <w:rsid w:val="00894160"/>
    <w:rsid w:val="0089432C"/>
    <w:rsid w:val="0089462C"/>
    <w:rsid w:val="00894845"/>
    <w:rsid w:val="0089497F"/>
    <w:rsid w:val="00894AB4"/>
    <w:rsid w:val="00894AB5"/>
    <w:rsid w:val="00894ABE"/>
    <w:rsid w:val="00894B3C"/>
    <w:rsid w:val="00894B4A"/>
    <w:rsid w:val="00894BDE"/>
    <w:rsid w:val="00894C4E"/>
    <w:rsid w:val="00894FE6"/>
    <w:rsid w:val="0089503C"/>
    <w:rsid w:val="008950F6"/>
    <w:rsid w:val="008951F4"/>
    <w:rsid w:val="00895596"/>
    <w:rsid w:val="00895628"/>
    <w:rsid w:val="008957A4"/>
    <w:rsid w:val="0089586F"/>
    <w:rsid w:val="00895BCB"/>
    <w:rsid w:val="00896740"/>
    <w:rsid w:val="008968D4"/>
    <w:rsid w:val="00896C76"/>
    <w:rsid w:val="00896CF2"/>
    <w:rsid w:val="00896D8E"/>
    <w:rsid w:val="00897244"/>
    <w:rsid w:val="008973D9"/>
    <w:rsid w:val="008975FF"/>
    <w:rsid w:val="008976FF"/>
    <w:rsid w:val="008978C0"/>
    <w:rsid w:val="00897939"/>
    <w:rsid w:val="00897A65"/>
    <w:rsid w:val="00897CAE"/>
    <w:rsid w:val="00897F1B"/>
    <w:rsid w:val="00897F4A"/>
    <w:rsid w:val="00897FBA"/>
    <w:rsid w:val="008A02D3"/>
    <w:rsid w:val="008A035D"/>
    <w:rsid w:val="008A0371"/>
    <w:rsid w:val="008A0652"/>
    <w:rsid w:val="008A0855"/>
    <w:rsid w:val="008A0DFD"/>
    <w:rsid w:val="008A0E8C"/>
    <w:rsid w:val="008A0FF9"/>
    <w:rsid w:val="008A11A2"/>
    <w:rsid w:val="008A11D3"/>
    <w:rsid w:val="008A12FD"/>
    <w:rsid w:val="008A14B8"/>
    <w:rsid w:val="008A1596"/>
    <w:rsid w:val="008A17A8"/>
    <w:rsid w:val="008A18A9"/>
    <w:rsid w:val="008A18C4"/>
    <w:rsid w:val="008A1959"/>
    <w:rsid w:val="008A1F34"/>
    <w:rsid w:val="008A2045"/>
    <w:rsid w:val="008A2288"/>
    <w:rsid w:val="008A2340"/>
    <w:rsid w:val="008A2768"/>
    <w:rsid w:val="008A2A20"/>
    <w:rsid w:val="008A2D3D"/>
    <w:rsid w:val="008A2D78"/>
    <w:rsid w:val="008A2F94"/>
    <w:rsid w:val="008A30FF"/>
    <w:rsid w:val="008A312C"/>
    <w:rsid w:val="008A322C"/>
    <w:rsid w:val="008A3281"/>
    <w:rsid w:val="008A379F"/>
    <w:rsid w:val="008A38AA"/>
    <w:rsid w:val="008A39DF"/>
    <w:rsid w:val="008A3C55"/>
    <w:rsid w:val="008A3D13"/>
    <w:rsid w:val="008A4466"/>
    <w:rsid w:val="008A4604"/>
    <w:rsid w:val="008A4A74"/>
    <w:rsid w:val="008A4A84"/>
    <w:rsid w:val="008A4B9F"/>
    <w:rsid w:val="008A4CED"/>
    <w:rsid w:val="008A4EC6"/>
    <w:rsid w:val="008A51D3"/>
    <w:rsid w:val="008A5252"/>
    <w:rsid w:val="008A52BC"/>
    <w:rsid w:val="008A52E8"/>
    <w:rsid w:val="008A533E"/>
    <w:rsid w:val="008A537A"/>
    <w:rsid w:val="008A5655"/>
    <w:rsid w:val="008A56B9"/>
    <w:rsid w:val="008A587C"/>
    <w:rsid w:val="008A58C4"/>
    <w:rsid w:val="008A5B16"/>
    <w:rsid w:val="008A5B34"/>
    <w:rsid w:val="008A5F8A"/>
    <w:rsid w:val="008A60D7"/>
    <w:rsid w:val="008A631B"/>
    <w:rsid w:val="008A6464"/>
    <w:rsid w:val="008A6888"/>
    <w:rsid w:val="008A6A64"/>
    <w:rsid w:val="008A6A87"/>
    <w:rsid w:val="008A6AE3"/>
    <w:rsid w:val="008A6F1F"/>
    <w:rsid w:val="008A7248"/>
    <w:rsid w:val="008A7252"/>
    <w:rsid w:val="008A75F0"/>
    <w:rsid w:val="008A773C"/>
    <w:rsid w:val="008A773D"/>
    <w:rsid w:val="008A77DF"/>
    <w:rsid w:val="008A7834"/>
    <w:rsid w:val="008A789C"/>
    <w:rsid w:val="008A7AED"/>
    <w:rsid w:val="008A7B1D"/>
    <w:rsid w:val="008A7D22"/>
    <w:rsid w:val="008A7D3E"/>
    <w:rsid w:val="008A7DAF"/>
    <w:rsid w:val="008B006B"/>
    <w:rsid w:val="008B038A"/>
    <w:rsid w:val="008B03CF"/>
    <w:rsid w:val="008B0438"/>
    <w:rsid w:val="008B058E"/>
    <w:rsid w:val="008B078E"/>
    <w:rsid w:val="008B07FE"/>
    <w:rsid w:val="008B081B"/>
    <w:rsid w:val="008B0A01"/>
    <w:rsid w:val="008B0BD2"/>
    <w:rsid w:val="008B0C00"/>
    <w:rsid w:val="008B0D44"/>
    <w:rsid w:val="008B0E0F"/>
    <w:rsid w:val="008B0E25"/>
    <w:rsid w:val="008B0E87"/>
    <w:rsid w:val="008B11AB"/>
    <w:rsid w:val="008B126B"/>
    <w:rsid w:val="008B14AD"/>
    <w:rsid w:val="008B14CA"/>
    <w:rsid w:val="008B18D5"/>
    <w:rsid w:val="008B1913"/>
    <w:rsid w:val="008B1975"/>
    <w:rsid w:val="008B1B6E"/>
    <w:rsid w:val="008B1B6F"/>
    <w:rsid w:val="008B1BA6"/>
    <w:rsid w:val="008B1C13"/>
    <w:rsid w:val="008B1E09"/>
    <w:rsid w:val="008B20F6"/>
    <w:rsid w:val="008B216F"/>
    <w:rsid w:val="008B21DB"/>
    <w:rsid w:val="008B22DC"/>
    <w:rsid w:val="008B2395"/>
    <w:rsid w:val="008B2479"/>
    <w:rsid w:val="008B257F"/>
    <w:rsid w:val="008B26AA"/>
    <w:rsid w:val="008B2789"/>
    <w:rsid w:val="008B27B3"/>
    <w:rsid w:val="008B2880"/>
    <w:rsid w:val="008B2CDC"/>
    <w:rsid w:val="008B2EC3"/>
    <w:rsid w:val="008B33EE"/>
    <w:rsid w:val="008B3481"/>
    <w:rsid w:val="008B34F8"/>
    <w:rsid w:val="008B373F"/>
    <w:rsid w:val="008B37A8"/>
    <w:rsid w:val="008B382E"/>
    <w:rsid w:val="008B3A63"/>
    <w:rsid w:val="008B3A70"/>
    <w:rsid w:val="008B3E7B"/>
    <w:rsid w:val="008B4127"/>
    <w:rsid w:val="008B4213"/>
    <w:rsid w:val="008B44B5"/>
    <w:rsid w:val="008B4530"/>
    <w:rsid w:val="008B4612"/>
    <w:rsid w:val="008B4705"/>
    <w:rsid w:val="008B4837"/>
    <w:rsid w:val="008B4C09"/>
    <w:rsid w:val="008B4E43"/>
    <w:rsid w:val="008B4EB4"/>
    <w:rsid w:val="008B5603"/>
    <w:rsid w:val="008B567F"/>
    <w:rsid w:val="008B56AA"/>
    <w:rsid w:val="008B5790"/>
    <w:rsid w:val="008B5A29"/>
    <w:rsid w:val="008B5AE7"/>
    <w:rsid w:val="008B5D3B"/>
    <w:rsid w:val="008B5DB1"/>
    <w:rsid w:val="008B5E59"/>
    <w:rsid w:val="008B5EEC"/>
    <w:rsid w:val="008B6193"/>
    <w:rsid w:val="008B61B8"/>
    <w:rsid w:val="008B61FD"/>
    <w:rsid w:val="008B6202"/>
    <w:rsid w:val="008B62DA"/>
    <w:rsid w:val="008B6401"/>
    <w:rsid w:val="008B68B3"/>
    <w:rsid w:val="008B6964"/>
    <w:rsid w:val="008B6997"/>
    <w:rsid w:val="008B718A"/>
    <w:rsid w:val="008B71E1"/>
    <w:rsid w:val="008B74AF"/>
    <w:rsid w:val="008B75C3"/>
    <w:rsid w:val="008B7611"/>
    <w:rsid w:val="008B777F"/>
    <w:rsid w:val="008B7792"/>
    <w:rsid w:val="008B7810"/>
    <w:rsid w:val="008B79C0"/>
    <w:rsid w:val="008B7A47"/>
    <w:rsid w:val="008B7E95"/>
    <w:rsid w:val="008B7EAB"/>
    <w:rsid w:val="008B7F0A"/>
    <w:rsid w:val="008B7F70"/>
    <w:rsid w:val="008C0191"/>
    <w:rsid w:val="008C0416"/>
    <w:rsid w:val="008C0439"/>
    <w:rsid w:val="008C0610"/>
    <w:rsid w:val="008C09EC"/>
    <w:rsid w:val="008C0AEA"/>
    <w:rsid w:val="008C0D52"/>
    <w:rsid w:val="008C1015"/>
    <w:rsid w:val="008C1896"/>
    <w:rsid w:val="008C1941"/>
    <w:rsid w:val="008C1CF1"/>
    <w:rsid w:val="008C1D68"/>
    <w:rsid w:val="008C1F75"/>
    <w:rsid w:val="008C20AF"/>
    <w:rsid w:val="008C221D"/>
    <w:rsid w:val="008C228B"/>
    <w:rsid w:val="008C23EE"/>
    <w:rsid w:val="008C26DD"/>
    <w:rsid w:val="008C2872"/>
    <w:rsid w:val="008C2A25"/>
    <w:rsid w:val="008C2ADC"/>
    <w:rsid w:val="008C2BB6"/>
    <w:rsid w:val="008C2C07"/>
    <w:rsid w:val="008C2CCF"/>
    <w:rsid w:val="008C2CD7"/>
    <w:rsid w:val="008C2F57"/>
    <w:rsid w:val="008C33B8"/>
    <w:rsid w:val="008C3478"/>
    <w:rsid w:val="008C353C"/>
    <w:rsid w:val="008C3A21"/>
    <w:rsid w:val="008C3A9B"/>
    <w:rsid w:val="008C3AD0"/>
    <w:rsid w:val="008C3B23"/>
    <w:rsid w:val="008C3CD2"/>
    <w:rsid w:val="008C3E70"/>
    <w:rsid w:val="008C420E"/>
    <w:rsid w:val="008C426E"/>
    <w:rsid w:val="008C4413"/>
    <w:rsid w:val="008C4675"/>
    <w:rsid w:val="008C47D5"/>
    <w:rsid w:val="008C47E9"/>
    <w:rsid w:val="008C4834"/>
    <w:rsid w:val="008C49A2"/>
    <w:rsid w:val="008C49E6"/>
    <w:rsid w:val="008C4D42"/>
    <w:rsid w:val="008C4E5A"/>
    <w:rsid w:val="008C5088"/>
    <w:rsid w:val="008C51F9"/>
    <w:rsid w:val="008C5460"/>
    <w:rsid w:val="008C549C"/>
    <w:rsid w:val="008C5682"/>
    <w:rsid w:val="008C5864"/>
    <w:rsid w:val="008C5908"/>
    <w:rsid w:val="008C590A"/>
    <w:rsid w:val="008C5994"/>
    <w:rsid w:val="008C5B3E"/>
    <w:rsid w:val="008C5C02"/>
    <w:rsid w:val="008C5ECA"/>
    <w:rsid w:val="008C62B0"/>
    <w:rsid w:val="008C6408"/>
    <w:rsid w:val="008C6642"/>
    <w:rsid w:val="008C686F"/>
    <w:rsid w:val="008C6AD2"/>
    <w:rsid w:val="008C6B94"/>
    <w:rsid w:val="008C6C02"/>
    <w:rsid w:val="008C6DCF"/>
    <w:rsid w:val="008C6EF7"/>
    <w:rsid w:val="008C6FE1"/>
    <w:rsid w:val="008C7318"/>
    <w:rsid w:val="008C732C"/>
    <w:rsid w:val="008C736B"/>
    <w:rsid w:val="008C74CE"/>
    <w:rsid w:val="008C7524"/>
    <w:rsid w:val="008C75D0"/>
    <w:rsid w:val="008C760F"/>
    <w:rsid w:val="008C7615"/>
    <w:rsid w:val="008C7845"/>
    <w:rsid w:val="008C78CB"/>
    <w:rsid w:val="008C79CA"/>
    <w:rsid w:val="008C7B74"/>
    <w:rsid w:val="008C7EB6"/>
    <w:rsid w:val="008D00A4"/>
    <w:rsid w:val="008D03B6"/>
    <w:rsid w:val="008D05E8"/>
    <w:rsid w:val="008D0684"/>
    <w:rsid w:val="008D069E"/>
    <w:rsid w:val="008D06BC"/>
    <w:rsid w:val="008D0B33"/>
    <w:rsid w:val="008D0DEF"/>
    <w:rsid w:val="008D0F76"/>
    <w:rsid w:val="008D10CB"/>
    <w:rsid w:val="008D1190"/>
    <w:rsid w:val="008D11CA"/>
    <w:rsid w:val="008D11CF"/>
    <w:rsid w:val="008D1353"/>
    <w:rsid w:val="008D15E5"/>
    <w:rsid w:val="008D1A77"/>
    <w:rsid w:val="008D1CB9"/>
    <w:rsid w:val="008D1F90"/>
    <w:rsid w:val="008D204E"/>
    <w:rsid w:val="008D21B6"/>
    <w:rsid w:val="008D222D"/>
    <w:rsid w:val="008D2297"/>
    <w:rsid w:val="008D25B9"/>
    <w:rsid w:val="008D2735"/>
    <w:rsid w:val="008D292B"/>
    <w:rsid w:val="008D2B9B"/>
    <w:rsid w:val="008D2C03"/>
    <w:rsid w:val="008D2E99"/>
    <w:rsid w:val="008D2FB4"/>
    <w:rsid w:val="008D332C"/>
    <w:rsid w:val="008D3576"/>
    <w:rsid w:val="008D35CB"/>
    <w:rsid w:val="008D3787"/>
    <w:rsid w:val="008D383E"/>
    <w:rsid w:val="008D3958"/>
    <w:rsid w:val="008D3969"/>
    <w:rsid w:val="008D399A"/>
    <w:rsid w:val="008D3B21"/>
    <w:rsid w:val="008D3B28"/>
    <w:rsid w:val="008D3B5F"/>
    <w:rsid w:val="008D3B67"/>
    <w:rsid w:val="008D3B8C"/>
    <w:rsid w:val="008D3E12"/>
    <w:rsid w:val="008D3F46"/>
    <w:rsid w:val="008D40B8"/>
    <w:rsid w:val="008D41FC"/>
    <w:rsid w:val="008D4267"/>
    <w:rsid w:val="008D4294"/>
    <w:rsid w:val="008D4591"/>
    <w:rsid w:val="008D4668"/>
    <w:rsid w:val="008D46E1"/>
    <w:rsid w:val="008D47B4"/>
    <w:rsid w:val="008D47C5"/>
    <w:rsid w:val="008D4B15"/>
    <w:rsid w:val="008D4F96"/>
    <w:rsid w:val="008D535F"/>
    <w:rsid w:val="008D549D"/>
    <w:rsid w:val="008D54EA"/>
    <w:rsid w:val="008D5527"/>
    <w:rsid w:val="008D5610"/>
    <w:rsid w:val="008D5698"/>
    <w:rsid w:val="008D5A8B"/>
    <w:rsid w:val="008D5AAB"/>
    <w:rsid w:val="008D5B9B"/>
    <w:rsid w:val="008D5CEA"/>
    <w:rsid w:val="008D6089"/>
    <w:rsid w:val="008D6144"/>
    <w:rsid w:val="008D623F"/>
    <w:rsid w:val="008D6321"/>
    <w:rsid w:val="008D63BC"/>
    <w:rsid w:val="008D66E0"/>
    <w:rsid w:val="008D67AB"/>
    <w:rsid w:val="008D68DD"/>
    <w:rsid w:val="008D6952"/>
    <w:rsid w:val="008D69BC"/>
    <w:rsid w:val="008D6A79"/>
    <w:rsid w:val="008D6B07"/>
    <w:rsid w:val="008D6B18"/>
    <w:rsid w:val="008D6B46"/>
    <w:rsid w:val="008D6F31"/>
    <w:rsid w:val="008D7109"/>
    <w:rsid w:val="008D72B6"/>
    <w:rsid w:val="008D73CA"/>
    <w:rsid w:val="008D7750"/>
    <w:rsid w:val="008D77B1"/>
    <w:rsid w:val="008D7860"/>
    <w:rsid w:val="008D793C"/>
    <w:rsid w:val="008D7989"/>
    <w:rsid w:val="008D7A54"/>
    <w:rsid w:val="008D7AD7"/>
    <w:rsid w:val="008D7B8D"/>
    <w:rsid w:val="008D7EE0"/>
    <w:rsid w:val="008D7FDE"/>
    <w:rsid w:val="008E00E8"/>
    <w:rsid w:val="008E0104"/>
    <w:rsid w:val="008E03E0"/>
    <w:rsid w:val="008E0426"/>
    <w:rsid w:val="008E0506"/>
    <w:rsid w:val="008E0523"/>
    <w:rsid w:val="008E05A4"/>
    <w:rsid w:val="008E0958"/>
    <w:rsid w:val="008E0AC5"/>
    <w:rsid w:val="008E0AFC"/>
    <w:rsid w:val="008E0CAE"/>
    <w:rsid w:val="008E0DB1"/>
    <w:rsid w:val="008E0E6D"/>
    <w:rsid w:val="008E119C"/>
    <w:rsid w:val="008E11FE"/>
    <w:rsid w:val="008E1270"/>
    <w:rsid w:val="008E12FD"/>
    <w:rsid w:val="008E1395"/>
    <w:rsid w:val="008E155D"/>
    <w:rsid w:val="008E15BB"/>
    <w:rsid w:val="008E179C"/>
    <w:rsid w:val="008E1A46"/>
    <w:rsid w:val="008E1E1B"/>
    <w:rsid w:val="008E1F67"/>
    <w:rsid w:val="008E2062"/>
    <w:rsid w:val="008E259C"/>
    <w:rsid w:val="008E25E4"/>
    <w:rsid w:val="008E27D5"/>
    <w:rsid w:val="008E286A"/>
    <w:rsid w:val="008E2910"/>
    <w:rsid w:val="008E295D"/>
    <w:rsid w:val="008E2D50"/>
    <w:rsid w:val="008E2DA5"/>
    <w:rsid w:val="008E2F83"/>
    <w:rsid w:val="008E33AC"/>
    <w:rsid w:val="008E3470"/>
    <w:rsid w:val="008E347E"/>
    <w:rsid w:val="008E3505"/>
    <w:rsid w:val="008E3681"/>
    <w:rsid w:val="008E374F"/>
    <w:rsid w:val="008E38CF"/>
    <w:rsid w:val="008E3BA7"/>
    <w:rsid w:val="008E3D3D"/>
    <w:rsid w:val="008E410F"/>
    <w:rsid w:val="008E412A"/>
    <w:rsid w:val="008E4506"/>
    <w:rsid w:val="008E47AF"/>
    <w:rsid w:val="008E4914"/>
    <w:rsid w:val="008E49F7"/>
    <w:rsid w:val="008E4AA1"/>
    <w:rsid w:val="008E4AE5"/>
    <w:rsid w:val="008E4B0C"/>
    <w:rsid w:val="008E4BAC"/>
    <w:rsid w:val="008E4BEA"/>
    <w:rsid w:val="008E4DB9"/>
    <w:rsid w:val="008E51B7"/>
    <w:rsid w:val="008E5341"/>
    <w:rsid w:val="008E5408"/>
    <w:rsid w:val="008E57C9"/>
    <w:rsid w:val="008E58A2"/>
    <w:rsid w:val="008E5947"/>
    <w:rsid w:val="008E5A3D"/>
    <w:rsid w:val="008E5A3F"/>
    <w:rsid w:val="008E5AB7"/>
    <w:rsid w:val="008E5C70"/>
    <w:rsid w:val="008E5CE7"/>
    <w:rsid w:val="008E5E6F"/>
    <w:rsid w:val="008E6319"/>
    <w:rsid w:val="008E63BC"/>
    <w:rsid w:val="008E642D"/>
    <w:rsid w:val="008E6594"/>
    <w:rsid w:val="008E6601"/>
    <w:rsid w:val="008E68DD"/>
    <w:rsid w:val="008E6A04"/>
    <w:rsid w:val="008E6A09"/>
    <w:rsid w:val="008E6D9B"/>
    <w:rsid w:val="008E70C1"/>
    <w:rsid w:val="008E730D"/>
    <w:rsid w:val="008E73C7"/>
    <w:rsid w:val="008E75D8"/>
    <w:rsid w:val="008E77AC"/>
    <w:rsid w:val="008E79F5"/>
    <w:rsid w:val="008E7DB6"/>
    <w:rsid w:val="008E7FF5"/>
    <w:rsid w:val="008F006D"/>
    <w:rsid w:val="008F02EB"/>
    <w:rsid w:val="008F04AE"/>
    <w:rsid w:val="008F050C"/>
    <w:rsid w:val="008F0530"/>
    <w:rsid w:val="008F057F"/>
    <w:rsid w:val="008F05A6"/>
    <w:rsid w:val="008F080B"/>
    <w:rsid w:val="008F08A4"/>
    <w:rsid w:val="008F08A6"/>
    <w:rsid w:val="008F0F06"/>
    <w:rsid w:val="008F13B6"/>
    <w:rsid w:val="008F13CE"/>
    <w:rsid w:val="008F160E"/>
    <w:rsid w:val="008F16B2"/>
    <w:rsid w:val="008F17D7"/>
    <w:rsid w:val="008F17EC"/>
    <w:rsid w:val="008F18F0"/>
    <w:rsid w:val="008F1D15"/>
    <w:rsid w:val="008F1E77"/>
    <w:rsid w:val="008F1EC1"/>
    <w:rsid w:val="008F20BF"/>
    <w:rsid w:val="008F212C"/>
    <w:rsid w:val="008F21C2"/>
    <w:rsid w:val="008F2210"/>
    <w:rsid w:val="008F22B2"/>
    <w:rsid w:val="008F24D3"/>
    <w:rsid w:val="008F2575"/>
    <w:rsid w:val="008F25EB"/>
    <w:rsid w:val="008F2651"/>
    <w:rsid w:val="008F2A77"/>
    <w:rsid w:val="008F2AEB"/>
    <w:rsid w:val="008F2D62"/>
    <w:rsid w:val="008F306E"/>
    <w:rsid w:val="008F3235"/>
    <w:rsid w:val="008F335D"/>
    <w:rsid w:val="008F3696"/>
    <w:rsid w:val="008F3756"/>
    <w:rsid w:val="008F37E3"/>
    <w:rsid w:val="008F3806"/>
    <w:rsid w:val="008F3949"/>
    <w:rsid w:val="008F3AC9"/>
    <w:rsid w:val="008F3BB7"/>
    <w:rsid w:val="008F3BBB"/>
    <w:rsid w:val="008F3CED"/>
    <w:rsid w:val="008F3D88"/>
    <w:rsid w:val="008F3E5F"/>
    <w:rsid w:val="008F3F33"/>
    <w:rsid w:val="008F3F40"/>
    <w:rsid w:val="008F3F85"/>
    <w:rsid w:val="008F432B"/>
    <w:rsid w:val="008F4510"/>
    <w:rsid w:val="008F4545"/>
    <w:rsid w:val="008F457E"/>
    <w:rsid w:val="008F464D"/>
    <w:rsid w:val="008F49E8"/>
    <w:rsid w:val="008F4A16"/>
    <w:rsid w:val="008F4B0E"/>
    <w:rsid w:val="008F4D77"/>
    <w:rsid w:val="008F5059"/>
    <w:rsid w:val="008F505D"/>
    <w:rsid w:val="008F527D"/>
    <w:rsid w:val="008F5280"/>
    <w:rsid w:val="008F528D"/>
    <w:rsid w:val="008F52CC"/>
    <w:rsid w:val="008F5583"/>
    <w:rsid w:val="008F5585"/>
    <w:rsid w:val="008F564F"/>
    <w:rsid w:val="008F5688"/>
    <w:rsid w:val="008F56DA"/>
    <w:rsid w:val="008F5719"/>
    <w:rsid w:val="008F581B"/>
    <w:rsid w:val="008F58BB"/>
    <w:rsid w:val="008F5ABF"/>
    <w:rsid w:val="008F5B21"/>
    <w:rsid w:val="008F5DF1"/>
    <w:rsid w:val="008F5E6B"/>
    <w:rsid w:val="008F5F8E"/>
    <w:rsid w:val="008F5F9A"/>
    <w:rsid w:val="008F6226"/>
    <w:rsid w:val="008F6246"/>
    <w:rsid w:val="008F657E"/>
    <w:rsid w:val="008F674E"/>
    <w:rsid w:val="008F6900"/>
    <w:rsid w:val="008F6AD4"/>
    <w:rsid w:val="008F6C7D"/>
    <w:rsid w:val="008F6E8E"/>
    <w:rsid w:val="008F70CA"/>
    <w:rsid w:val="008F70FD"/>
    <w:rsid w:val="008F7282"/>
    <w:rsid w:val="008F7300"/>
    <w:rsid w:val="008F7B12"/>
    <w:rsid w:val="008F7B9B"/>
    <w:rsid w:val="008F7C95"/>
    <w:rsid w:val="008F7D8F"/>
    <w:rsid w:val="008F7DA1"/>
    <w:rsid w:val="008F7DC4"/>
    <w:rsid w:val="008F7E38"/>
    <w:rsid w:val="008F7E87"/>
    <w:rsid w:val="008F7E94"/>
    <w:rsid w:val="008F7EAF"/>
    <w:rsid w:val="008F7FDB"/>
    <w:rsid w:val="0090008B"/>
    <w:rsid w:val="0090015D"/>
    <w:rsid w:val="00900554"/>
    <w:rsid w:val="00900664"/>
    <w:rsid w:val="009006B7"/>
    <w:rsid w:val="00900755"/>
    <w:rsid w:val="009007E2"/>
    <w:rsid w:val="00900845"/>
    <w:rsid w:val="009009D3"/>
    <w:rsid w:val="00900BE6"/>
    <w:rsid w:val="0090100D"/>
    <w:rsid w:val="00901039"/>
    <w:rsid w:val="009011D1"/>
    <w:rsid w:val="00901476"/>
    <w:rsid w:val="009014A8"/>
    <w:rsid w:val="00901530"/>
    <w:rsid w:val="00901579"/>
    <w:rsid w:val="00901666"/>
    <w:rsid w:val="009016B5"/>
    <w:rsid w:val="00901C40"/>
    <w:rsid w:val="0090209E"/>
    <w:rsid w:val="0090219C"/>
    <w:rsid w:val="009021B3"/>
    <w:rsid w:val="009021F5"/>
    <w:rsid w:val="00902298"/>
    <w:rsid w:val="00902471"/>
    <w:rsid w:val="0090252E"/>
    <w:rsid w:val="0090291E"/>
    <w:rsid w:val="00902983"/>
    <w:rsid w:val="00902D4F"/>
    <w:rsid w:val="00902F60"/>
    <w:rsid w:val="00902FFD"/>
    <w:rsid w:val="0090314F"/>
    <w:rsid w:val="009032A5"/>
    <w:rsid w:val="00903380"/>
    <w:rsid w:val="00903644"/>
    <w:rsid w:val="0090384F"/>
    <w:rsid w:val="00903875"/>
    <w:rsid w:val="00903E9A"/>
    <w:rsid w:val="00903F75"/>
    <w:rsid w:val="00903FE7"/>
    <w:rsid w:val="0090400B"/>
    <w:rsid w:val="009041B6"/>
    <w:rsid w:val="00904401"/>
    <w:rsid w:val="00904413"/>
    <w:rsid w:val="009044B9"/>
    <w:rsid w:val="009045A1"/>
    <w:rsid w:val="009046E0"/>
    <w:rsid w:val="0090482A"/>
    <w:rsid w:val="009048EC"/>
    <w:rsid w:val="00904986"/>
    <w:rsid w:val="009049F5"/>
    <w:rsid w:val="00904B7E"/>
    <w:rsid w:val="00904F4B"/>
    <w:rsid w:val="0090533A"/>
    <w:rsid w:val="00905534"/>
    <w:rsid w:val="009055E8"/>
    <w:rsid w:val="009057FA"/>
    <w:rsid w:val="0090597E"/>
    <w:rsid w:val="00905A44"/>
    <w:rsid w:val="00905C5A"/>
    <w:rsid w:val="00905D2B"/>
    <w:rsid w:val="0090626A"/>
    <w:rsid w:val="009065C6"/>
    <w:rsid w:val="00906813"/>
    <w:rsid w:val="009068A2"/>
    <w:rsid w:val="00906921"/>
    <w:rsid w:val="00906C00"/>
    <w:rsid w:val="00906CC2"/>
    <w:rsid w:val="00906ECE"/>
    <w:rsid w:val="00906FF8"/>
    <w:rsid w:val="009070B5"/>
    <w:rsid w:val="009072B7"/>
    <w:rsid w:val="0090730F"/>
    <w:rsid w:val="00907396"/>
    <w:rsid w:val="0090750F"/>
    <w:rsid w:val="00907579"/>
    <w:rsid w:val="00907673"/>
    <w:rsid w:val="00907955"/>
    <w:rsid w:val="00907962"/>
    <w:rsid w:val="0090797B"/>
    <w:rsid w:val="00907A25"/>
    <w:rsid w:val="00907D1E"/>
    <w:rsid w:val="00907D53"/>
    <w:rsid w:val="0091023E"/>
    <w:rsid w:val="009103C9"/>
    <w:rsid w:val="009105FA"/>
    <w:rsid w:val="0091077A"/>
    <w:rsid w:val="0091078E"/>
    <w:rsid w:val="009107FB"/>
    <w:rsid w:val="0091085C"/>
    <w:rsid w:val="00910D10"/>
    <w:rsid w:val="00910D37"/>
    <w:rsid w:val="00910E28"/>
    <w:rsid w:val="00911037"/>
    <w:rsid w:val="009110CB"/>
    <w:rsid w:val="009110D1"/>
    <w:rsid w:val="0091131C"/>
    <w:rsid w:val="009113F6"/>
    <w:rsid w:val="0091142D"/>
    <w:rsid w:val="009114CA"/>
    <w:rsid w:val="009114D2"/>
    <w:rsid w:val="00911568"/>
    <w:rsid w:val="009116F8"/>
    <w:rsid w:val="0091174C"/>
    <w:rsid w:val="009117EF"/>
    <w:rsid w:val="00911C35"/>
    <w:rsid w:val="00911CBC"/>
    <w:rsid w:val="009120CA"/>
    <w:rsid w:val="009123B6"/>
    <w:rsid w:val="009124AD"/>
    <w:rsid w:val="00912552"/>
    <w:rsid w:val="009125DE"/>
    <w:rsid w:val="00912739"/>
    <w:rsid w:val="00912754"/>
    <w:rsid w:val="009127F8"/>
    <w:rsid w:val="00912801"/>
    <w:rsid w:val="0091280B"/>
    <w:rsid w:val="00912853"/>
    <w:rsid w:val="00912B4F"/>
    <w:rsid w:val="00912BE1"/>
    <w:rsid w:val="00912F4E"/>
    <w:rsid w:val="00913434"/>
    <w:rsid w:val="0091343B"/>
    <w:rsid w:val="0091347A"/>
    <w:rsid w:val="00913581"/>
    <w:rsid w:val="00913635"/>
    <w:rsid w:val="0091373E"/>
    <w:rsid w:val="00913A7B"/>
    <w:rsid w:val="00913D61"/>
    <w:rsid w:val="00913F75"/>
    <w:rsid w:val="0091431D"/>
    <w:rsid w:val="00914396"/>
    <w:rsid w:val="009149A3"/>
    <w:rsid w:val="00914D08"/>
    <w:rsid w:val="00914EC1"/>
    <w:rsid w:val="00914EC7"/>
    <w:rsid w:val="00914FED"/>
    <w:rsid w:val="00915060"/>
    <w:rsid w:val="009151D0"/>
    <w:rsid w:val="009153B8"/>
    <w:rsid w:val="00915906"/>
    <w:rsid w:val="00915957"/>
    <w:rsid w:val="00915AC7"/>
    <w:rsid w:val="00915B48"/>
    <w:rsid w:val="00915D24"/>
    <w:rsid w:val="00915DA5"/>
    <w:rsid w:val="00915DA8"/>
    <w:rsid w:val="00915DD7"/>
    <w:rsid w:val="00915E5A"/>
    <w:rsid w:val="00915EF5"/>
    <w:rsid w:val="00915FB3"/>
    <w:rsid w:val="00916775"/>
    <w:rsid w:val="00916827"/>
    <w:rsid w:val="00916A22"/>
    <w:rsid w:val="00916C88"/>
    <w:rsid w:val="00916C9B"/>
    <w:rsid w:val="00916CFC"/>
    <w:rsid w:val="00916E49"/>
    <w:rsid w:val="00916F7A"/>
    <w:rsid w:val="00916FE4"/>
    <w:rsid w:val="00917171"/>
    <w:rsid w:val="00917389"/>
    <w:rsid w:val="009173D4"/>
    <w:rsid w:val="0091752B"/>
    <w:rsid w:val="0091752E"/>
    <w:rsid w:val="009175EB"/>
    <w:rsid w:val="0091764A"/>
    <w:rsid w:val="0091780B"/>
    <w:rsid w:val="00917C54"/>
    <w:rsid w:val="00917C9A"/>
    <w:rsid w:val="00917DBF"/>
    <w:rsid w:val="00917FEE"/>
    <w:rsid w:val="00920091"/>
    <w:rsid w:val="0092035B"/>
    <w:rsid w:val="009203D2"/>
    <w:rsid w:val="009209A4"/>
    <w:rsid w:val="00920E1F"/>
    <w:rsid w:val="00920E71"/>
    <w:rsid w:val="00921239"/>
    <w:rsid w:val="009213CD"/>
    <w:rsid w:val="00921408"/>
    <w:rsid w:val="009217CA"/>
    <w:rsid w:val="009218CC"/>
    <w:rsid w:val="00921A3D"/>
    <w:rsid w:val="00921B3C"/>
    <w:rsid w:val="00921C31"/>
    <w:rsid w:val="00921C5A"/>
    <w:rsid w:val="00921C68"/>
    <w:rsid w:val="00921F5B"/>
    <w:rsid w:val="0092213F"/>
    <w:rsid w:val="00922271"/>
    <w:rsid w:val="009222F3"/>
    <w:rsid w:val="0092261D"/>
    <w:rsid w:val="009227A3"/>
    <w:rsid w:val="00922A42"/>
    <w:rsid w:val="00922A61"/>
    <w:rsid w:val="00922BCA"/>
    <w:rsid w:val="00922DF3"/>
    <w:rsid w:val="00922E0A"/>
    <w:rsid w:val="00922E0F"/>
    <w:rsid w:val="00922F3E"/>
    <w:rsid w:val="00923024"/>
    <w:rsid w:val="009232BA"/>
    <w:rsid w:val="0092339F"/>
    <w:rsid w:val="009233BE"/>
    <w:rsid w:val="009233D1"/>
    <w:rsid w:val="009233F1"/>
    <w:rsid w:val="0092356C"/>
    <w:rsid w:val="009237EB"/>
    <w:rsid w:val="009239B0"/>
    <w:rsid w:val="00923FCC"/>
    <w:rsid w:val="009241C5"/>
    <w:rsid w:val="0092427B"/>
    <w:rsid w:val="009242EF"/>
    <w:rsid w:val="009242FD"/>
    <w:rsid w:val="0092442D"/>
    <w:rsid w:val="00924434"/>
    <w:rsid w:val="0092443C"/>
    <w:rsid w:val="0092445F"/>
    <w:rsid w:val="00924607"/>
    <w:rsid w:val="00924613"/>
    <w:rsid w:val="009247F8"/>
    <w:rsid w:val="0092484E"/>
    <w:rsid w:val="009248B0"/>
    <w:rsid w:val="00924BC4"/>
    <w:rsid w:val="00924CC4"/>
    <w:rsid w:val="00924F4A"/>
    <w:rsid w:val="00924FF8"/>
    <w:rsid w:val="009251C5"/>
    <w:rsid w:val="0092520A"/>
    <w:rsid w:val="00925237"/>
    <w:rsid w:val="00925392"/>
    <w:rsid w:val="00925678"/>
    <w:rsid w:val="00925C35"/>
    <w:rsid w:val="00925DCD"/>
    <w:rsid w:val="00925E07"/>
    <w:rsid w:val="00925E91"/>
    <w:rsid w:val="00925F62"/>
    <w:rsid w:val="00925FD1"/>
    <w:rsid w:val="00925FDC"/>
    <w:rsid w:val="009260C1"/>
    <w:rsid w:val="009265CA"/>
    <w:rsid w:val="00926937"/>
    <w:rsid w:val="00926F15"/>
    <w:rsid w:val="00926FB9"/>
    <w:rsid w:val="00926FE4"/>
    <w:rsid w:val="00927010"/>
    <w:rsid w:val="00927075"/>
    <w:rsid w:val="0092707B"/>
    <w:rsid w:val="0092707F"/>
    <w:rsid w:val="0092728B"/>
    <w:rsid w:val="0092734B"/>
    <w:rsid w:val="009273B6"/>
    <w:rsid w:val="00927645"/>
    <w:rsid w:val="00927740"/>
    <w:rsid w:val="009277A6"/>
    <w:rsid w:val="00927828"/>
    <w:rsid w:val="0092785A"/>
    <w:rsid w:val="00927B17"/>
    <w:rsid w:val="00927C35"/>
    <w:rsid w:val="00927D31"/>
    <w:rsid w:val="00927E27"/>
    <w:rsid w:val="00927E54"/>
    <w:rsid w:val="00927E61"/>
    <w:rsid w:val="00927ECE"/>
    <w:rsid w:val="00927FF4"/>
    <w:rsid w:val="0093001F"/>
    <w:rsid w:val="009301FE"/>
    <w:rsid w:val="00930419"/>
    <w:rsid w:val="00930597"/>
    <w:rsid w:val="00930627"/>
    <w:rsid w:val="0093083A"/>
    <w:rsid w:val="00930848"/>
    <w:rsid w:val="009308C3"/>
    <w:rsid w:val="00930959"/>
    <w:rsid w:val="00930AAA"/>
    <w:rsid w:val="00930C30"/>
    <w:rsid w:val="00930D81"/>
    <w:rsid w:val="00930DAA"/>
    <w:rsid w:val="00930E6C"/>
    <w:rsid w:val="00931063"/>
    <w:rsid w:val="00931171"/>
    <w:rsid w:val="00931866"/>
    <w:rsid w:val="009319A2"/>
    <w:rsid w:val="009319B5"/>
    <w:rsid w:val="00931B68"/>
    <w:rsid w:val="00932203"/>
    <w:rsid w:val="00932365"/>
    <w:rsid w:val="009323B0"/>
    <w:rsid w:val="00932433"/>
    <w:rsid w:val="0093257B"/>
    <w:rsid w:val="009326DE"/>
    <w:rsid w:val="009329BF"/>
    <w:rsid w:val="00932A1E"/>
    <w:rsid w:val="00932A5D"/>
    <w:rsid w:val="00932EB3"/>
    <w:rsid w:val="00932ED0"/>
    <w:rsid w:val="00932F0E"/>
    <w:rsid w:val="00932F8A"/>
    <w:rsid w:val="0093305D"/>
    <w:rsid w:val="0093310E"/>
    <w:rsid w:val="00933748"/>
    <w:rsid w:val="00933845"/>
    <w:rsid w:val="009338FF"/>
    <w:rsid w:val="0093390D"/>
    <w:rsid w:val="009339B8"/>
    <w:rsid w:val="00933AC4"/>
    <w:rsid w:val="00933BA8"/>
    <w:rsid w:val="00933BC4"/>
    <w:rsid w:val="00933CC9"/>
    <w:rsid w:val="00933F28"/>
    <w:rsid w:val="00933FF5"/>
    <w:rsid w:val="00933FFC"/>
    <w:rsid w:val="00934091"/>
    <w:rsid w:val="009344BB"/>
    <w:rsid w:val="00934538"/>
    <w:rsid w:val="009345F7"/>
    <w:rsid w:val="00934ADC"/>
    <w:rsid w:val="00934C9A"/>
    <w:rsid w:val="00934CB9"/>
    <w:rsid w:val="00934E58"/>
    <w:rsid w:val="00934F27"/>
    <w:rsid w:val="00935049"/>
    <w:rsid w:val="0093509A"/>
    <w:rsid w:val="0093516E"/>
    <w:rsid w:val="00935829"/>
    <w:rsid w:val="00935858"/>
    <w:rsid w:val="009359AF"/>
    <w:rsid w:val="009359D1"/>
    <w:rsid w:val="009359EE"/>
    <w:rsid w:val="00935A3F"/>
    <w:rsid w:val="00935E0A"/>
    <w:rsid w:val="00935EB9"/>
    <w:rsid w:val="00935FCA"/>
    <w:rsid w:val="0093618F"/>
    <w:rsid w:val="009363A3"/>
    <w:rsid w:val="009363F1"/>
    <w:rsid w:val="009366AC"/>
    <w:rsid w:val="009368AD"/>
    <w:rsid w:val="0093690A"/>
    <w:rsid w:val="00936C13"/>
    <w:rsid w:val="00936C57"/>
    <w:rsid w:val="00936CA2"/>
    <w:rsid w:val="00936DF5"/>
    <w:rsid w:val="00937277"/>
    <w:rsid w:val="00937368"/>
    <w:rsid w:val="009374AF"/>
    <w:rsid w:val="009375BF"/>
    <w:rsid w:val="0093767B"/>
    <w:rsid w:val="009377C7"/>
    <w:rsid w:val="00937808"/>
    <w:rsid w:val="00937932"/>
    <w:rsid w:val="0093793A"/>
    <w:rsid w:val="0093799E"/>
    <w:rsid w:val="00937B02"/>
    <w:rsid w:val="00937E1D"/>
    <w:rsid w:val="00937E75"/>
    <w:rsid w:val="00937ED3"/>
    <w:rsid w:val="00940C1A"/>
    <w:rsid w:val="00940FAA"/>
    <w:rsid w:val="00941030"/>
    <w:rsid w:val="00941066"/>
    <w:rsid w:val="0094134E"/>
    <w:rsid w:val="009414B0"/>
    <w:rsid w:val="00941550"/>
    <w:rsid w:val="009415CA"/>
    <w:rsid w:val="009416D8"/>
    <w:rsid w:val="0094185D"/>
    <w:rsid w:val="009419F6"/>
    <w:rsid w:val="00941D44"/>
    <w:rsid w:val="00941E11"/>
    <w:rsid w:val="00941EE9"/>
    <w:rsid w:val="00941F19"/>
    <w:rsid w:val="009420FD"/>
    <w:rsid w:val="00942123"/>
    <w:rsid w:val="00942133"/>
    <w:rsid w:val="00942199"/>
    <w:rsid w:val="00942384"/>
    <w:rsid w:val="0094240E"/>
    <w:rsid w:val="00942539"/>
    <w:rsid w:val="00942617"/>
    <w:rsid w:val="00942801"/>
    <w:rsid w:val="009428E6"/>
    <w:rsid w:val="00942926"/>
    <w:rsid w:val="00942AB0"/>
    <w:rsid w:val="00942D88"/>
    <w:rsid w:val="00942EDA"/>
    <w:rsid w:val="00943092"/>
    <w:rsid w:val="0094310B"/>
    <w:rsid w:val="0094315A"/>
    <w:rsid w:val="0094316F"/>
    <w:rsid w:val="009431DD"/>
    <w:rsid w:val="00943348"/>
    <w:rsid w:val="009433D5"/>
    <w:rsid w:val="0094383E"/>
    <w:rsid w:val="0094384F"/>
    <w:rsid w:val="009438D1"/>
    <w:rsid w:val="00943AA0"/>
    <w:rsid w:val="00943AF3"/>
    <w:rsid w:val="00943C30"/>
    <w:rsid w:val="00943D5D"/>
    <w:rsid w:val="00943DE7"/>
    <w:rsid w:val="00943E6D"/>
    <w:rsid w:val="009442D3"/>
    <w:rsid w:val="00944357"/>
    <w:rsid w:val="00944387"/>
    <w:rsid w:val="009443B4"/>
    <w:rsid w:val="00944931"/>
    <w:rsid w:val="00944AEA"/>
    <w:rsid w:val="00944BAB"/>
    <w:rsid w:val="00944F5B"/>
    <w:rsid w:val="00944F92"/>
    <w:rsid w:val="00944FE0"/>
    <w:rsid w:val="009450C9"/>
    <w:rsid w:val="0094526F"/>
    <w:rsid w:val="00945447"/>
    <w:rsid w:val="009454D7"/>
    <w:rsid w:val="00945506"/>
    <w:rsid w:val="00945683"/>
    <w:rsid w:val="00945965"/>
    <w:rsid w:val="00945AAC"/>
    <w:rsid w:val="00945B0E"/>
    <w:rsid w:val="00945BC3"/>
    <w:rsid w:val="00945C5F"/>
    <w:rsid w:val="00945E34"/>
    <w:rsid w:val="00945FF0"/>
    <w:rsid w:val="00946070"/>
    <w:rsid w:val="00946170"/>
    <w:rsid w:val="009463C1"/>
    <w:rsid w:val="009467C6"/>
    <w:rsid w:val="0094686F"/>
    <w:rsid w:val="00946AFE"/>
    <w:rsid w:val="00946DA2"/>
    <w:rsid w:val="00946F8B"/>
    <w:rsid w:val="0094736E"/>
    <w:rsid w:val="009473B7"/>
    <w:rsid w:val="009474A6"/>
    <w:rsid w:val="009477B4"/>
    <w:rsid w:val="00947AE1"/>
    <w:rsid w:val="00947C35"/>
    <w:rsid w:val="00947C38"/>
    <w:rsid w:val="0095005E"/>
    <w:rsid w:val="009501F6"/>
    <w:rsid w:val="0095028D"/>
    <w:rsid w:val="009502CE"/>
    <w:rsid w:val="009503A4"/>
    <w:rsid w:val="00950482"/>
    <w:rsid w:val="009504C9"/>
    <w:rsid w:val="00950596"/>
    <w:rsid w:val="0095059F"/>
    <w:rsid w:val="009506EF"/>
    <w:rsid w:val="00950784"/>
    <w:rsid w:val="0095099B"/>
    <w:rsid w:val="00950ADF"/>
    <w:rsid w:val="00950C5F"/>
    <w:rsid w:val="00950CD7"/>
    <w:rsid w:val="0095124F"/>
    <w:rsid w:val="00951272"/>
    <w:rsid w:val="00951453"/>
    <w:rsid w:val="00951548"/>
    <w:rsid w:val="009517B9"/>
    <w:rsid w:val="00951919"/>
    <w:rsid w:val="009519D4"/>
    <w:rsid w:val="00951A02"/>
    <w:rsid w:val="00951A4C"/>
    <w:rsid w:val="00951FC2"/>
    <w:rsid w:val="00951FF6"/>
    <w:rsid w:val="009521AB"/>
    <w:rsid w:val="0095224B"/>
    <w:rsid w:val="0095247F"/>
    <w:rsid w:val="00952504"/>
    <w:rsid w:val="00952530"/>
    <w:rsid w:val="009525E5"/>
    <w:rsid w:val="0095297B"/>
    <w:rsid w:val="00952A7D"/>
    <w:rsid w:val="00952AD9"/>
    <w:rsid w:val="00952B4C"/>
    <w:rsid w:val="00952C0E"/>
    <w:rsid w:val="00952DFB"/>
    <w:rsid w:val="00952EB1"/>
    <w:rsid w:val="00952EE8"/>
    <w:rsid w:val="00952F21"/>
    <w:rsid w:val="00952F27"/>
    <w:rsid w:val="00953277"/>
    <w:rsid w:val="009532CF"/>
    <w:rsid w:val="009532D7"/>
    <w:rsid w:val="00953416"/>
    <w:rsid w:val="0095346A"/>
    <w:rsid w:val="00953485"/>
    <w:rsid w:val="009534AD"/>
    <w:rsid w:val="00953845"/>
    <w:rsid w:val="00953A46"/>
    <w:rsid w:val="00953A81"/>
    <w:rsid w:val="00953C2B"/>
    <w:rsid w:val="00953F9A"/>
    <w:rsid w:val="00953FC8"/>
    <w:rsid w:val="00954338"/>
    <w:rsid w:val="009543F7"/>
    <w:rsid w:val="0095445C"/>
    <w:rsid w:val="00954530"/>
    <w:rsid w:val="00954A35"/>
    <w:rsid w:val="00954B41"/>
    <w:rsid w:val="00954D4C"/>
    <w:rsid w:val="00954D99"/>
    <w:rsid w:val="00954DD8"/>
    <w:rsid w:val="00954E62"/>
    <w:rsid w:val="00955143"/>
    <w:rsid w:val="0095517D"/>
    <w:rsid w:val="009551A2"/>
    <w:rsid w:val="00955387"/>
    <w:rsid w:val="009553D7"/>
    <w:rsid w:val="0095551B"/>
    <w:rsid w:val="00955561"/>
    <w:rsid w:val="009555C1"/>
    <w:rsid w:val="00955620"/>
    <w:rsid w:val="009556B6"/>
    <w:rsid w:val="009557FB"/>
    <w:rsid w:val="009558B8"/>
    <w:rsid w:val="009559F3"/>
    <w:rsid w:val="00955B9A"/>
    <w:rsid w:val="00955E90"/>
    <w:rsid w:val="00955F44"/>
    <w:rsid w:val="00955F7B"/>
    <w:rsid w:val="00956047"/>
    <w:rsid w:val="00956093"/>
    <w:rsid w:val="009561E7"/>
    <w:rsid w:val="00956379"/>
    <w:rsid w:val="009566EC"/>
    <w:rsid w:val="009566FB"/>
    <w:rsid w:val="00956AB6"/>
    <w:rsid w:val="00956AF2"/>
    <w:rsid w:val="00956B07"/>
    <w:rsid w:val="00956CC3"/>
    <w:rsid w:val="00957066"/>
    <w:rsid w:val="009571C7"/>
    <w:rsid w:val="00957527"/>
    <w:rsid w:val="00957591"/>
    <w:rsid w:val="009575E6"/>
    <w:rsid w:val="009576D3"/>
    <w:rsid w:val="009578DC"/>
    <w:rsid w:val="0095790F"/>
    <w:rsid w:val="00957930"/>
    <w:rsid w:val="00957A79"/>
    <w:rsid w:val="00957AFA"/>
    <w:rsid w:val="00957BB3"/>
    <w:rsid w:val="00957DFF"/>
    <w:rsid w:val="00957EED"/>
    <w:rsid w:val="00960347"/>
    <w:rsid w:val="009604D0"/>
    <w:rsid w:val="009605E7"/>
    <w:rsid w:val="0096061B"/>
    <w:rsid w:val="009606EE"/>
    <w:rsid w:val="0096070B"/>
    <w:rsid w:val="00960CE6"/>
    <w:rsid w:val="00960DC9"/>
    <w:rsid w:val="00960FF5"/>
    <w:rsid w:val="009610CE"/>
    <w:rsid w:val="009610E2"/>
    <w:rsid w:val="00961281"/>
    <w:rsid w:val="00961317"/>
    <w:rsid w:val="009617F1"/>
    <w:rsid w:val="009618D5"/>
    <w:rsid w:val="00961990"/>
    <w:rsid w:val="00961B5E"/>
    <w:rsid w:val="00961D24"/>
    <w:rsid w:val="00961D67"/>
    <w:rsid w:val="00961E22"/>
    <w:rsid w:val="00961E56"/>
    <w:rsid w:val="00961ED2"/>
    <w:rsid w:val="00962071"/>
    <w:rsid w:val="00962090"/>
    <w:rsid w:val="00962128"/>
    <w:rsid w:val="009623CE"/>
    <w:rsid w:val="0096241B"/>
    <w:rsid w:val="009625B9"/>
    <w:rsid w:val="00962739"/>
    <w:rsid w:val="00962853"/>
    <w:rsid w:val="00962891"/>
    <w:rsid w:val="00962A1C"/>
    <w:rsid w:val="00962AD0"/>
    <w:rsid w:val="00962B81"/>
    <w:rsid w:val="00962D39"/>
    <w:rsid w:val="00962DB2"/>
    <w:rsid w:val="00962F0D"/>
    <w:rsid w:val="00963001"/>
    <w:rsid w:val="0096371A"/>
    <w:rsid w:val="009638FA"/>
    <w:rsid w:val="0096396D"/>
    <w:rsid w:val="0096398F"/>
    <w:rsid w:val="00963A5C"/>
    <w:rsid w:val="00963B8B"/>
    <w:rsid w:val="009640B8"/>
    <w:rsid w:val="009640DE"/>
    <w:rsid w:val="00964145"/>
    <w:rsid w:val="0096419C"/>
    <w:rsid w:val="009643F1"/>
    <w:rsid w:val="009643F4"/>
    <w:rsid w:val="00964483"/>
    <w:rsid w:val="00964531"/>
    <w:rsid w:val="009645F6"/>
    <w:rsid w:val="00964734"/>
    <w:rsid w:val="00964776"/>
    <w:rsid w:val="0096489B"/>
    <w:rsid w:val="009649E1"/>
    <w:rsid w:val="00964A2A"/>
    <w:rsid w:val="00964A48"/>
    <w:rsid w:val="00964AA6"/>
    <w:rsid w:val="00964BE2"/>
    <w:rsid w:val="009650DE"/>
    <w:rsid w:val="009651BD"/>
    <w:rsid w:val="0096554D"/>
    <w:rsid w:val="0096554E"/>
    <w:rsid w:val="009656D5"/>
    <w:rsid w:val="00965774"/>
    <w:rsid w:val="00965B6F"/>
    <w:rsid w:val="00965DE4"/>
    <w:rsid w:val="00965EB7"/>
    <w:rsid w:val="00965EE3"/>
    <w:rsid w:val="00965FE1"/>
    <w:rsid w:val="009660AE"/>
    <w:rsid w:val="00966433"/>
    <w:rsid w:val="00966475"/>
    <w:rsid w:val="009664D2"/>
    <w:rsid w:val="0096651F"/>
    <w:rsid w:val="0096671C"/>
    <w:rsid w:val="0096691E"/>
    <w:rsid w:val="00966A3D"/>
    <w:rsid w:val="00966A96"/>
    <w:rsid w:val="00966AF2"/>
    <w:rsid w:val="00966B5A"/>
    <w:rsid w:val="00966F76"/>
    <w:rsid w:val="00967172"/>
    <w:rsid w:val="00967221"/>
    <w:rsid w:val="009673C0"/>
    <w:rsid w:val="00967421"/>
    <w:rsid w:val="0096751B"/>
    <w:rsid w:val="009678F0"/>
    <w:rsid w:val="00967926"/>
    <w:rsid w:val="00967BA3"/>
    <w:rsid w:val="00967BCE"/>
    <w:rsid w:val="00967E6C"/>
    <w:rsid w:val="00970024"/>
    <w:rsid w:val="009701D8"/>
    <w:rsid w:val="00970249"/>
    <w:rsid w:val="009703D3"/>
    <w:rsid w:val="00970502"/>
    <w:rsid w:val="00970595"/>
    <w:rsid w:val="00970597"/>
    <w:rsid w:val="009706AC"/>
    <w:rsid w:val="009707E3"/>
    <w:rsid w:val="00970999"/>
    <w:rsid w:val="009709F4"/>
    <w:rsid w:val="00970C31"/>
    <w:rsid w:val="00970EF9"/>
    <w:rsid w:val="00970F42"/>
    <w:rsid w:val="00971110"/>
    <w:rsid w:val="009714CC"/>
    <w:rsid w:val="00971622"/>
    <w:rsid w:val="00971696"/>
    <w:rsid w:val="009717D5"/>
    <w:rsid w:val="009717DC"/>
    <w:rsid w:val="0097199F"/>
    <w:rsid w:val="00971A65"/>
    <w:rsid w:val="00971B56"/>
    <w:rsid w:val="009721F6"/>
    <w:rsid w:val="009722C4"/>
    <w:rsid w:val="009723A6"/>
    <w:rsid w:val="0097249D"/>
    <w:rsid w:val="009726C3"/>
    <w:rsid w:val="0097273A"/>
    <w:rsid w:val="00972854"/>
    <w:rsid w:val="009729BB"/>
    <w:rsid w:val="00972BA7"/>
    <w:rsid w:val="00972D2A"/>
    <w:rsid w:val="00972D63"/>
    <w:rsid w:val="009731B9"/>
    <w:rsid w:val="009733D1"/>
    <w:rsid w:val="009734E8"/>
    <w:rsid w:val="00973827"/>
    <w:rsid w:val="009738DD"/>
    <w:rsid w:val="009738E2"/>
    <w:rsid w:val="0097395C"/>
    <w:rsid w:val="00973966"/>
    <w:rsid w:val="00973ADA"/>
    <w:rsid w:val="00973B53"/>
    <w:rsid w:val="00973EA4"/>
    <w:rsid w:val="0097403A"/>
    <w:rsid w:val="00974291"/>
    <w:rsid w:val="00974CDE"/>
    <w:rsid w:val="00974D00"/>
    <w:rsid w:val="00974D72"/>
    <w:rsid w:val="00974F00"/>
    <w:rsid w:val="00975021"/>
    <w:rsid w:val="009750E1"/>
    <w:rsid w:val="009752B6"/>
    <w:rsid w:val="00975342"/>
    <w:rsid w:val="009753DE"/>
    <w:rsid w:val="009756F5"/>
    <w:rsid w:val="009757E5"/>
    <w:rsid w:val="009757FF"/>
    <w:rsid w:val="00975834"/>
    <w:rsid w:val="00975A0E"/>
    <w:rsid w:val="00975AE0"/>
    <w:rsid w:val="00975E03"/>
    <w:rsid w:val="00975F02"/>
    <w:rsid w:val="00976044"/>
    <w:rsid w:val="009761FC"/>
    <w:rsid w:val="0097628F"/>
    <w:rsid w:val="00976446"/>
    <w:rsid w:val="00976522"/>
    <w:rsid w:val="009765A7"/>
    <w:rsid w:val="009765BB"/>
    <w:rsid w:val="00976841"/>
    <w:rsid w:val="009770AF"/>
    <w:rsid w:val="00977182"/>
    <w:rsid w:val="0097725E"/>
    <w:rsid w:val="0097773C"/>
    <w:rsid w:val="00977C9E"/>
    <w:rsid w:val="00977E6C"/>
    <w:rsid w:val="00977F5D"/>
    <w:rsid w:val="00980063"/>
    <w:rsid w:val="00980240"/>
    <w:rsid w:val="00980357"/>
    <w:rsid w:val="0098049A"/>
    <w:rsid w:val="00980819"/>
    <w:rsid w:val="009808A7"/>
    <w:rsid w:val="00980930"/>
    <w:rsid w:val="009810C8"/>
    <w:rsid w:val="00981107"/>
    <w:rsid w:val="0098146E"/>
    <w:rsid w:val="00981492"/>
    <w:rsid w:val="009814B4"/>
    <w:rsid w:val="0098166D"/>
    <w:rsid w:val="00981709"/>
    <w:rsid w:val="0098194D"/>
    <w:rsid w:val="00981A2C"/>
    <w:rsid w:val="00981BE5"/>
    <w:rsid w:val="00981D8A"/>
    <w:rsid w:val="00981D91"/>
    <w:rsid w:val="00981DA2"/>
    <w:rsid w:val="00981E02"/>
    <w:rsid w:val="00981F25"/>
    <w:rsid w:val="009820F2"/>
    <w:rsid w:val="0098216A"/>
    <w:rsid w:val="00982244"/>
    <w:rsid w:val="0098229A"/>
    <w:rsid w:val="00982415"/>
    <w:rsid w:val="009825A8"/>
    <w:rsid w:val="00982614"/>
    <w:rsid w:val="00982651"/>
    <w:rsid w:val="009826A2"/>
    <w:rsid w:val="00982977"/>
    <w:rsid w:val="0098298F"/>
    <w:rsid w:val="00982A8C"/>
    <w:rsid w:val="00982AFC"/>
    <w:rsid w:val="00982DA7"/>
    <w:rsid w:val="00982F0B"/>
    <w:rsid w:val="009830B7"/>
    <w:rsid w:val="00983212"/>
    <w:rsid w:val="009833CF"/>
    <w:rsid w:val="00983656"/>
    <w:rsid w:val="009838B3"/>
    <w:rsid w:val="009839ED"/>
    <w:rsid w:val="00983AC1"/>
    <w:rsid w:val="00983B3E"/>
    <w:rsid w:val="00983C2F"/>
    <w:rsid w:val="00983D92"/>
    <w:rsid w:val="00983F4B"/>
    <w:rsid w:val="0098414A"/>
    <w:rsid w:val="00984276"/>
    <w:rsid w:val="009842CD"/>
    <w:rsid w:val="009843A5"/>
    <w:rsid w:val="009843BB"/>
    <w:rsid w:val="009844F2"/>
    <w:rsid w:val="00984626"/>
    <w:rsid w:val="00984693"/>
    <w:rsid w:val="00984776"/>
    <w:rsid w:val="0098492E"/>
    <w:rsid w:val="00984BF2"/>
    <w:rsid w:val="00984CAD"/>
    <w:rsid w:val="00984E86"/>
    <w:rsid w:val="00984F0D"/>
    <w:rsid w:val="00984F2F"/>
    <w:rsid w:val="009851D3"/>
    <w:rsid w:val="0098520A"/>
    <w:rsid w:val="0098543E"/>
    <w:rsid w:val="009854C1"/>
    <w:rsid w:val="0098581F"/>
    <w:rsid w:val="009858DE"/>
    <w:rsid w:val="00985900"/>
    <w:rsid w:val="00985AE0"/>
    <w:rsid w:val="00985C8C"/>
    <w:rsid w:val="00985D23"/>
    <w:rsid w:val="00985E9F"/>
    <w:rsid w:val="00985EEF"/>
    <w:rsid w:val="0098601F"/>
    <w:rsid w:val="0098619A"/>
    <w:rsid w:val="0098621C"/>
    <w:rsid w:val="0098636F"/>
    <w:rsid w:val="00986650"/>
    <w:rsid w:val="00986826"/>
    <w:rsid w:val="00986894"/>
    <w:rsid w:val="00986A8D"/>
    <w:rsid w:val="00986ABF"/>
    <w:rsid w:val="00986D8A"/>
    <w:rsid w:val="009871A6"/>
    <w:rsid w:val="009872DE"/>
    <w:rsid w:val="0098731A"/>
    <w:rsid w:val="0098736D"/>
    <w:rsid w:val="0098745D"/>
    <w:rsid w:val="009877EB"/>
    <w:rsid w:val="00987B29"/>
    <w:rsid w:val="00987B64"/>
    <w:rsid w:val="00987BE9"/>
    <w:rsid w:val="00987C95"/>
    <w:rsid w:val="00987DE1"/>
    <w:rsid w:val="00987FA9"/>
    <w:rsid w:val="00990003"/>
    <w:rsid w:val="00990102"/>
    <w:rsid w:val="0099016A"/>
    <w:rsid w:val="0099052E"/>
    <w:rsid w:val="009905AF"/>
    <w:rsid w:val="009906DE"/>
    <w:rsid w:val="00990CDE"/>
    <w:rsid w:val="00990DF7"/>
    <w:rsid w:val="00990F78"/>
    <w:rsid w:val="00990F9D"/>
    <w:rsid w:val="009913F9"/>
    <w:rsid w:val="0099153B"/>
    <w:rsid w:val="009916D5"/>
    <w:rsid w:val="009917E4"/>
    <w:rsid w:val="009918BD"/>
    <w:rsid w:val="0099198F"/>
    <w:rsid w:val="009919CE"/>
    <w:rsid w:val="00991DF9"/>
    <w:rsid w:val="00991FE8"/>
    <w:rsid w:val="00991FF7"/>
    <w:rsid w:val="009923FA"/>
    <w:rsid w:val="0099246C"/>
    <w:rsid w:val="009924E9"/>
    <w:rsid w:val="00992630"/>
    <w:rsid w:val="0099267A"/>
    <w:rsid w:val="00992B52"/>
    <w:rsid w:val="00992C87"/>
    <w:rsid w:val="00992CC2"/>
    <w:rsid w:val="00992EEB"/>
    <w:rsid w:val="00993134"/>
    <w:rsid w:val="0099330D"/>
    <w:rsid w:val="00993345"/>
    <w:rsid w:val="009933D8"/>
    <w:rsid w:val="009938F4"/>
    <w:rsid w:val="00993CC3"/>
    <w:rsid w:val="00993F16"/>
    <w:rsid w:val="00993F70"/>
    <w:rsid w:val="00993FEC"/>
    <w:rsid w:val="0099410E"/>
    <w:rsid w:val="00994116"/>
    <w:rsid w:val="009941AA"/>
    <w:rsid w:val="009942E6"/>
    <w:rsid w:val="0099431B"/>
    <w:rsid w:val="00994350"/>
    <w:rsid w:val="009946D5"/>
    <w:rsid w:val="009946FA"/>
    <w:rsid w:val="00994704"/>
    <w:rsid w:val="0099489A"/>
    <w:rsid w:val="009949A1"/>
    <w:rsid w:val="009949CD"/>
    <w:rsid w:val="00994A99"/>
    <w:rsid w:val="00994AE5"/>
    <w:rsid w:val="00994E0E"/>
    <w:rsid w:val="00995096"/>
    <w:rsid w:val="009951CB"/>
    <w:rsid w:val="009951D8"/>
    <w:rsid w:val="009951D9"/>
    <w:rsid w:val="009952F1"/>
    <w:rsid w:val="009952F3"/>
    <w:rsid w:val="009954AD"/>
    <w:rsid w:val="009955FD"/>
    <w:rsid w:val="00995812"/>
    <w:rsid w:val="0099593A"/>
    <w:rsid w:val="00995943"/>
    <w:rsid w:val="00995997"/>
    <w:rsid w:val="00995B5C"/>
    <w:rsid w:val="00995BD1"/>
    <w:rsid w:val="00995D57"/>
    <w:rsid w:val="00995EAE"/>
    <w:rsid w:val="0099600E"/>
    <w:rsid w:val="00996292"/>
    <w:rsid w:val="00996563"/>
    <w:rsid w:val="00996768"/>
    <w:rsid w:val="009968BD"/>
    <w:rsid w:val="00996946"/>
    <w:rsid w:val="00996ECB"/>
    <w:rsid w:val="00996ED5"/>
    <w:rsid w:val="00996F4F"/>
    <w:rsid w:val="00996F91"/>
    <w:rsid w:val="00997268"/>
    <w:rsid w:val="009972CB"/>
    <w:rsid w:val="00997633"/>
    <w:rsid w:val="00997724"/>
    <w:rsid w:val="00997792"/>
    <w:rsid w:val="009977DB"/>
    <w:rsid w:val="00997885"/>
    <w:rsid w:val="009979BA"/>
    <w:rsid w:val="00997A8E"/>
    <w:rsid w:val="00997B43"/>
    <w:rsid w:val="00997B44"/>
    <w:rsid w:val="00997BE6"/>
    <w:rsid w:val="00997C1E"/>
    <w:rsid w:val="00997CD1"/>
    <w:rsid w:val="00997D5D"/>
    <w:rsid w:val="009A0030"/>
    <w:rsid w:val="009A0103"/>
    <w:rsid w:val="009A022B"/>
    <w:rsid w:val="009A0268"/>
    <w:rsid w:val="009A037A"/>
    <w:rsid w:val="009A05E9"/>
    <w:rsid w:val="009A061F"/>
    <w:rsid w:val="009A0710"/>
    <w:rsid w:val="009A0855"/>
    <w:rsid w:val="009A0CEA"/>
    <w:rsid w:val="009A0DFC"/>
    <w:rsid w:val="009A0EFD"/>
    <w:rsid w:val="009A10A5"/>
    <w:rsid w:val="009A1445"/>
    <w:rsid w:val="009A16DF"/>
    <w:rsid w:val="009A1759"/>
    <w:rsid w:val="009A1764"/>
    <w:rsid w:val="009A17DD"/>
    <w:rsid w:val="009A17E0"/>
    <w:rsid w:val="009A197C"/>
    <w:rsid w:val="009A197E"/>
    <w:rsid w:val="009A1A30"/>
    <w:rsid w:val="009A1A98"/>
    <w:rsid w:val="009A1AA0"/>
    <w:rsid w:val="009A1C3F"/>
    <w:rsid w:val="009A1DA3"/>
    <w:rsid w:val="009A2360"/>
    <w:rsid w:val="009A2481"/>
    <w:rsid w:val="009A24EA"/>
    <w:rsid w:val="009A25CB"/>
    <w:rsid w:val="009A25D7"/>
    <w:rsid w:val="009A2673"/>
    <w:rsid w:val="009A26A0"/>
    <w:rsid w:val="009A2A72"/>
    <w:rsid w:val="009A2AC3"/>
    <w:rsid w:val="009A2CBB"/>
    <w:rsid w:val="009A2E64"/>
    <w:rsid w:val="009A3117"/>
    <w:rsid w:val="009A331D"/>
    <w:rsid w:val="009A3607"/>
    <w:rsid w:val="009A363D"/>
    <w:rsid w:val="009A3A77"/>
    <w:rsid w:val="009A3BA4"/>
    <w:rsid w:val="009A3FEF"/>
    <w:rsid w:val="009A463F"/>
    <w:rsid w:val="009A481F"/>
    <w:rsid w:val="009A4979"/>
    <w:rsid w:val="009A4B4B"/>
    <w:rsid w:val="009A4B81"/>
    <w:rsid w:val="009A4CA2"/>
    <w:rsid w:val="009A4D26"/>
    <w:rsid w:val="009A4E0A"/>
    <w:rsid w:val="009A4E4D"/>
    <w:rsid w:val="009A4F2F"/>
    <w:rsid w:val="009A4FA8"/>
    <w:rsid w:val="009A518D"/>
    <w:rsid w:val="009A5247"/>
    <w:rsid w:val="009A52CD"/>
    <w:rsid w:val="009A5529"/>
    <w:rsid w:val="009A5698"/>
    <w:rsid w:val="009A57BD"/>
    <w:rsid w:val="009A5891"/>
    <w:rsid w:val="009A5991"/>
    <w:rsid w:val="009A5BC6"/>
    <w:rsid w:val="009A5D5B"/>
    <w:rsid w:val="009A5E43"/>
    <w:rsid w:val="009A6186"/>
    <w:rsid w:val="009A66EC"/>
    <w:rsid w:val="009A67D0"/>
    <w:rsid w:val="009A6AD8"/>
    <w:rsid w:val="009A6B70"/>
    <w:rsid w:val="009A6D63"/>
    <w:rsid w:val="009A6DF1"/>
    <w:rsid w:val="009A6ED0"/>
    <w:rsid w:val="009A72F6"/>
    <w:rsid w:val="009A737C"/>
    <w:rsid w:val="009A765E"/>
    <w:rsid w:val="009A7712"/>
    <w:rsid w:val="009A7820"/>
    <w:rsid w:val="009A7AED"/>
    <w:rsid w:val="009A7BC0"/>
    <w:rsid w:val="009A7D94"/>
    <w:rsid w:val="009A7E6D"/>
    <w:rsid w:val="009A7F02"/>
    <w:rsid w:val="009B01E2"/>
    <w:rsid w:val="009B03E6"/>
    <w:rsid w:val="009B03E9"/>
    <w:rsid w:val="009B061F"/>
    <w:rsid w:val="009B073F"/>
    <w:rsid w:val="009B0ADC"/>
    <w:rsid w:val="009B0B02"/>
    <w:rsid w:val="009B0DF1"/>
    <w:rsid w:val="009B0E4E"/>
    <w:rsid w:val="009B0F46"/>
    <w:rsid w:val="009B0F4D"/>
    <w:rsid w:val="009B17B8"/>
    <w:rsid w:val="009B18A3"/>
    <w:rsid w:val="009B1A16"/>
    <w:rsid w:val="009B1E0F"/>
    <w:rsid w:val="009B1E59"/>
    <w:rsid w:val="009B1F0D"/>
    <w:rsid w:val="009B1F6E"/>
    <w:rsid w:val="009B2250"/>
    <w:rsid w:val="009B2356"/>
    <w:rsid w:val="009B23DB"/>
    <w:rsid w:val="009B2424"/>
    <w:rsid w:val="009B24AC"/>
    <w:rsid w:val="009B257B"/>
    <w:rsid w:val="009B2596"/>
    <w:rsid w:val="009B265F"/>
    <w:rsid w:val="009B26E5"/>
    <w:rsid w:val="009B27B4"/>
    <w:rsid w:val="009B29FF"/>
    <w:rsid w:val="009B2A2B"/>
    <w:rsid w:val="009B2A4F"/>
    <w:rsid w:val="009B2B9A"/>
    <w:rsid w:val="009B2E42"/>
    <w:rsid w:val="009B2EBD"/>
    <w:rsid w:val="009B2F54"/>
    <w:rsid w:val="009B2FC9"/>
    <w:rsid w:val="009B305B"/>
    <w:rsid w:val="009B316F"/>
    <w:rsid w:val="009B319E"/>
    <w:rsid w:val="009B3533"/>
    <w:rsid w:val="009B35E0"/>
    <w:rsid w:val="009B36D2"/>
    <w:rsid w:val="009B38C1"/>
    <w:rsid w:val="009B399B"/>
    <w:rsid w:val="009B3A35"/>
    <w:rsid w:val="009B3C7D"/>
    <w:rsid w:val="009B3CE8"/>
    <w:rsid w:val="009B3D9A"/>
    <w:rsid w:val="009B40D6"/>
    <w:rsid w:val="009B40F1"/>
    <w:rsid w:val="009B42B8"/>
    <w:rsid w:val="009B4441"/>
    <w:rsid w:val="009B480F"/>
    <w:rsid w:val="009B49CD"/>
    <w:rsid w:val="009B4DBA"/>
    <w:rsid w:val="009B4F9D"/>
    <w:rsid w:val="009B5005"/>
    <w:rsid w:val="009B5023"/>
    <w:rsid w:val="009B506E"/>
    <w:rsid w:val="009B5179"/>
    <w:rsid w:val="009B51E3"/>
    <w:rsid w:val="009B551C"/>
    <w:rsid w:val="009B58B1"/>
    <w:rsid w:val="009B596E"/>
    <w:rsid w:val="009B59AA"/>
    <w:rsid w:val="009B5B51"/>
    <w:rsid w:val="009B5D19"/>
    <w:rsid w:val="009B5D3D"/>
    <w:rsid w:val="009B5DB0"/>
    <w:rsid w:val="009B5F0E"/>
    <w:rsid w:val="009B5F97"/>
    <w:rsid w:val="009B6193"/>
    <w:rsid w:val="009B6263"/>
    <w:rsid w:val="009B62B0"/>
    <w:rsid w:val="009B640C"/>
    <w:rsid w:val="009B67CA"/>
    <w:rsid w:val="009B693A"/>
    <w:rsid w:val="009B6A6D"/>
    <w:rsid w:val="009B6A70"/>
    <w:rsid w:val="009B70CA"/>
    <w:rsid w:val="009B71CE"/>
    <w:rsid w:val="009B7223"/>
    <w:rsid w:val="009B7245"/>
    <w:rsid w:val="009B753E"/>
    <w:rsid w:val="009B77A6"/>
    <w:rsid w:val="009B7923"/>
    <w:rsid w:val="009B79AC"/>
    <w:rsid w:val="009B7BBB"/>
    <w:rsid w:val="009B7D82"/>
    <w:rsid w:val="009B7D8B"/>
    <w:rsid w:val="009B7FAF"/>
    <w:rsid w:val="009B7FDE"/>
    <w:rsid w:val="009C00A3"/>
    <w:rsid w:val="009C0297"/>
    <w:rsid w:val="009C071C"/>
    <w:rsid w:val="009C0770"/>
    <w:rsid w:val="009C08BF"/>
    <w:rsid w:val="009C0910"/>
    <w:rsid w:val="009C0B6F"/>
    <w:rsid w:val="009C0D83"/>
    <w:rsid w:val="009C0ECB"/>
    <w:rsid w:val="009C1075"/>
    <w:rsid w:val="009C1133"/>
    <w:rsid w:val="009C16BD"/>
    <w:rsid w:val="009C16F0"/>
    <w:rsid w:val="009C175C"/>
    <w:rsid w:val="009C1770"/>
    <w:rsid w:val="009C1A0D"/>
    <w:rsid w:val="009C1A4B"/>
    <w:rsid w:val="009C1B2F"/>
    <w:rsid w:val="009C1BA8"/>
    <w:rsid w:val="009C1DBE"/>
    <w:rsid w:val="009C1DC5"/>
    <w:rsid w:val="009C2055"/>
    <w:rsid w:val="009C21B9"/>
    <w:rsid w:val="009C21EB"/>
    <w:rsid w:val="009C21EF"/>
    <w:rsid w:val="009C21FB"/>
    <w:rsid w:val="009C2349"/>
    <w:rsid w:val="009C2368"/>
    <w:rsid w:val="009C2433"/>
    <w:rsid w:val="009C25B7"/>
    <w:rsid w:val="009C25DB"/>
    <w:rsid w:val="009C2785"/>
    <w:rsid w:val="009C2818"/>
    <w:rsid w:val="009C2878"/>
    <w:rsid w:val="009C2905"/>
    <w:rsid w:val="009C2912"/>
    <w:rsid w:val="009C293B"/>
    <w:rsid w:val="009C2A80"/>
    <w:rsid w:val="009C2A89"/>
    <w:rsid w:val="009C2DA5"/>
    <w:rsid w:val="009C3010"/>
    <w:rsid w:val="009C3311"/>
    <w:rsid w:val="009C3440"/>
    <w:rsid w:val="009C3816"/>
    <w:rsid w:val="009C384B"/>
    <w:rsid w:val="009C3C7E"/>
    <w:rsid w:val="009C3D9D"/>
    <w:rsid w:val="009C3F5C"/>
    <w:rsid w:val="009C4132"/>
    <w:rsid w:val="009C4282"/>
    <w:rsid w:val="009C4522"/>
    <w:rsid w:val="009C461C"/>
    <w:rsid w:val="009C4750"/>
    <w:rsid w:val="009C48F1"/>
    <w:rsid w:val="009C496A"/>
    <w:rsid w:val="009C49E4"/>
    <w:rsid w:val="009C4C46"/>
    <w:rsid w:val="009C5168"/>
    <w:rsid w:val="009C51DD"/>
    <w:rsid w:val="009C5258"/>
    <w:rsid w:val="009C534B"/>
    <w:rsid w:val="009C55AC"/>
    <w:rsid w:val="009C56DB"/>
    <w:rsid w:val="009C5754"/>
    <w:rsid w:val="009C5988"/>
    <w:rsid w:val="009C598B"/>
    <w:rsid w:val="009C5A34"/>
    <w:rsid w:val="009C5AEA"/>
    <w:rsid w:val="009C5B92"/>
    <w:rsid w:val="009C5C9E"/>
    <w:rsid w:val="009C5CC3"/>
    <w:rsid w:val="009C5CEA"/>
    <w:rsid w:val="009C5FA4"/>
    <w:rsid w:val="009C6094"/>
    <w:rsid w:val="009C627C"/>
    <w:rsid w:val="009C62A4"/>
    <w:rsid w:val="009C6336"/>
    <w:rsid w:val="009C6446"/>
    <w:rsid w:val="009C6555"/>
    <w:rsid w:val="009C6674"/>
    <w:rsid w:val="009C66FC"/>
    <w:rsid w:val="009C682F"/>
    <w:rsid w:val="009C68B6"/>
    <w:rsid w:val="009C6997"/>
    <w:rsid w:val="009C69FE"/>
    <w:rsid w:val="009C6A26"/>
    <w:rsid w:val="009C6C7E"/>
    <w:rsid w:val="009C6CC0"/>
    <w:rsid w:val="009C6D38"/>
    <w:rsid w:val="009C6E54"/>
    <w:rsid w:val="009C6E5D"/>
    <w:rsid w:val="009C6F01"/>
    <w:rsid w:val="009C6F33"/>
    <w:rsid w:val="009C6F6F"/>
    <w:rsid w:val="009C71BB"/>
    <w:rsid w:val="009C7426"/>
    <w:rsid w:val="009C77F5"/>
    <w:rsid w:val="009C7893"/>
    <w:rsid w:val="009C7AC9"/>
    <w:rsid w:val="009C7CCF"/>
    <w:rsid w:val="009D01D1"/>
    <w:rsid w:val="009D09E8"/>
    <w:rsid w:val="009D0BE2"/>
    <w:rsid w:val="009D0C3B"/>
    <w:rsid w:val="009D0C65"/>
    <w:rsid w:val="009D0CEE"/>
    <w:rsid w:val="009D0EBD"/>
    <w:rsid w:val="009D1420"/>
    <w:rsid w:val="009D15EA"/>
    <w:rsid w:val="009D1854"/>
    <w:rsid w:val="009D18A8"/>
    <w:rsid w:val="009D1C6D"/>
    <w:rsid w:val="009D1C87"/>
    <w:rsid w:val="009D1CCA"/>
    <w:rsid w:val="009D1E86"/>
    <w:rsid w:val="009D1F53"/>
    <w:rsid w:val="009D1FD1"/>
    <w:rsid w:val="009D2064"/>
    <w:rsid w:val="009D22C6"/>
    <w:rsid w:val="009D2592"/>
    <w:rsid w:val="009D25C6"/>
    <w:rsid w:val="009D2776"/>
    <w:rsid w:val="009D28FE"/>
    <w:rsid w:val="009D29CC"/>
    <w:rsid w:val="009D2BD3"/>
    <w:rsid w:val="009D2F7D"/>
    <w:rsid w:val="009D327F"/>
    <w:rsid w:val="009D33AC"/>
    <w:rsid w:val="009D33BE"/>
    <w:rsid w:val="009D3407"/>
    <w:rsid w:val="009D3588"/>
    <w:rsid w:val="009D36E4"/>
    <w:rsid w:val="009D3B1E"/>
    <w:rsid w:val="009D3B7C"/>
    <w:rsid w:val="009D3BEA"/>
    <w:rsid w:val="009D3BFD"/>
    <w:rsid w:val="009D3CC6"/>
    <w:rsid w:val="009D3DB0"/>
    <w:rsid w:val="009D3DC0"/>
    <w:rsid w:val="009D4051"/>
    <w:rsid w:val="009D41A1"/>
    <w:rsid w:val="009D4206"/>
    <w:rsid w:val="009D4337"/>
    <w:rsid w:val="009D43FE"/>
    <w:rsid w:val="009D453A"/>
    <w:rsid w:val="009D467E"/>
    <w:rsid w:val="009D46EB"/>
    <w:rsid w:val="009D484F"/>
    <w:rsid w:val="009D4A84"/>
    <w:rsid w:val="009D4B1A"/>
    <w:rsid w:val="009D4BD1"/>
    <w:rsid w:val="009D4C30"/>
    <w:rsid w:val="009D4CA6"/>
    <w:rsid w:val="009D4CF0"/>
    <w:rsid w:val="009D4F04"/>
    <w:rsid w:val="009D4FF8"/>
    <w:rsid w:val="009D5081"/>
    <w:rsid w:val="009D511D"/>
    <w:rsid w:val="009D517B"/>
    <w:rsid w:val="009D5230"/>
    <w:rsid w:val="009D52AC"/>
    <w:rsid w:val="009D5442"/>
    <w:rsid w:val="009D55C3"/>
    <w:rsid w:val="009D56E1"/>
    <w:rsid w:val="009D5784"/>
    <w:rsid w:val="009D5807"/>
    <w:rsid w:val="009D584D"/>
    <w:rsid w:val="009D5AEF"/>
    <w:rsid w:val="009D5D0D"/>
    <w:rsid w:val="009D5E30"/>
    <w:rsid w:val="009D5ED0"/>
    <w:rsid w:val="009D5F36"/>
    <w:rsid w:val="009D5FC3"/>
    <w:rsid w:val="009D607D"/>
    <w:rsid w:val="009D615F"/>
    <w:rsid w:val="009D6259"/>
    <w:rsid w:val="009D6587"/>
    <w:rsid w:val="009D6594"/>
    <w:rsid w:val="009D6681"/>
    <w:rsid w:val="009D66D6"/>
    <w:rsid w:val="009D6874"/>
    <w:rsid w:val="009D6D5D"/>
    <w:rsid w:val="009D6DF4"/>
    <w:rsid w:val="009D7261"/>
    <w:rsid w:val="009D7586"/>
    <w:rsid w:val="009D7679"/>
    <w:rsid w:val="009D7708"/>
    <w:rsid w:val="009D782B"/>
    <w:rsid w:val="009D795C"/>
    <w:rsid w:val="009D7C04"/>
    <w:rsid w:val="009E01C4"/>
    <w:rsid w:val="009E0231"/>
    <w:rsid w:val="009E0456"/>
    <w:rsid w:val="009E0732"/>
    <w:rsid w:val="009E0AEE"/>
    <w:rsid w:val="009E0D55"/>
    <w:rsid w:val="009E0E9B"/>
    <w:rsid w:val="009E0EDF"/>
    <w:rsid w:val="009E0F6D"/>
    <w:rsid w:val="009E0FFB"/>
    <w:rsid w:val="009E1207"/>
    <w:rsid w:val="009E135D"/>
    <w:rsid w:val="009E13C1"/>
    <w:rsid w:val="009E1472"/>
    <w:rsid w:val="009E151F"/>
    <w:rsid w:val="009E1760"/>
    <w:rsid w:val="009E1AA4"/>
    <w:rsid w:val="009E1D9A"/>
    <w:rsid w:val="009E1E54"/>
    <w:rsid w:val="009E203F"/>
    <w:rsid w:val="009E22E4"/>
    <w:rsid w:val="009E244E"/>
    <w:rsid w:val="009E2533"/>
    <w:rsid w:val="009E2629"/>
    <w:rsid w:val="009E282A"/>
    <w:rsid w:val="009E28CD"/>
    <w:rsid w:val="009E2A5B"/>
    <w:rsid w:val="009E2A7C"/>
    <w:rsid w:val="009E2B3C"/>
    <w:rsid w:val="009E2B3F"/>
    <w:rsid w:val="009E2C1D"/>
    <w:rsid w:val="009E2EFE"/>
    <w:rsid w:val="009E2F36"/>
    <w:rsid w:val="009E3182"/>
    <w:rsid w:val="009E3247"/>
    <w:rsid w:val="009E3256"/>
    <w:rsid w:val="009E331E"/>
    <w:rsid w:val="009E333F"/>
    <w:rsid w:val="009E3690"/>
    <w:rsid w:val="009E3754"/>
    <w:rsid w:val="009E386E"/>
    <w:rsid w:val="009E3C3B"/>
    <w:rsid w:val="009E3D35"/>
    <w:rsid w:val="009E3E23"/>
    <w:rsid w:val="009E3E75"/>
    <w:rsid w:val="009E3F51"/>
    <w:rsid w:val="009E3FEE"/>
    <w:rsid w:val="009E4180"/>
    <w:rsid w:val="009E42D2"/>
    <w:rsid w:val="009E448E"/>
    <w:rsid w:val="009E44A4"/>
    <w:rsid w:val="009E44CC"/>
    <w:rsid w:val="009E485D"/>
    <w:rsid w:val="009E48BD"/>
    <w:rsid w:val="009E490C"/>
    <w:rsid w:val="009E49EA"/>
    <w:rsid w:val="009E4A24"/>
    <w:rsid w:val="009E4B97"/>
    <w:rsid w:val="009E4CA3"/>
    <w:rsid w:val="009E4DA2"/>
    <w:rsid w:val="009E4E0B"/>
    <w:rsid w:val="009E50D4"/>
    <w:rsid w:val="009E5171"/>
    <w:rsid w:val="009E5544"/>
    <w:rsid w:val="009E555A"/>
    <w:rsid w:val="009E55CE"/>
    <w:rsid w:val="009E56D2"/>
    <w:rsid w:val="009E574F"/>
    <w:rsid w:val="009E583A"/>
    <w:rsid w:val="009E5A84"/>
    <w:rsid w:val="009E5EB1"/>
    <w:rsid w:val="009E6691"/>
    <w:rsid w:val="009E66FF"/>
    <w:rsid w:val="009E67C0"/>
    <w:rsid w:val="009E68EC"/>
    <w:rsid w:val="009E6902"/>
    <w:rsid w:val="009E6E0B"/>
    <w:rsid w:val="009E6E3E"/>
    <w:rsid w:val="009E7092"/>
    <w:rsid w:val="009E72DA"/>
    <w:rsid w:val="009E736E"/>
    <w:rsid w:val="009E73D4"/>
    <w:rsid w:val="009E75AD"/>
    <w:rsid w:val="009E79A7"/>
    <w:rsid w:val="009E79F1"/>
    <w:rsid w:val="009E7A06"/>
    <w:rsid w:val="009E7C2B"/>
    <w:rsid w:val="009E7CC9"/>
    <w:rsid w:val="009E7E78"/>
    <w:rsid w:val="009E7F11"/>
    <w:rsid w:val="009E7F1E"/>
    <w:rsid w:val="009F008E"/>
    <w:rsid w:val="009F01F2"/>
    <w:rsid w:val="009F03CE"/>
    <w:rsid w:val="009F0515"/>
    <w:rsid w:val="009F076C"/>
    <w:rsid w:val="009F07F0"/>
    <w:rsid w:val="009F087B"/>
    <w:rsid w:val="009F0885"/>
    <w:rsid w:val="009F08A0"/>
    <w:rsid w:val="009F0AEA"/>
    <w:rsid w:val="009F0CA5"/>
    <w:rsid w:val="009F0D61"/>
    <w:rsid w:val="009F0E7B"/>
    <w:rsid w:val="009F1194"/>
    <w:rsid w:val="009F122B"/>
    <w:rsid w:val="009F12F8"/>
    <w:rsid w:val="009F1337"/>
    <w:rsid w:val="009F164D"/>
    <w:rsid w:val="009F16B7"/>
    <w:rsid w:val="009F175E"/>
    <w:rsid w:val="009F19B9"/>
    <w:rsid w:val="009F19FE"/>
    <w:rsid w:val="009F215E"/>
    <w:rsid w:val="009F2205"/>
    <w:rsid w:val="009F2313"/>
    <w:rsid w:val="009F23E0"/>
    <w:rsid w:val="009F23FB"/>
    <w:rsid w:val="009F260A"/>
    <w:rsid w:val="009F2701"/>
    <w:rsid w:val="009F285D"/>
    <w:rsid w:val="009F28D2"/>
    <w:rsid w:val="009F292E"/>
    <w:rsid w:val="009F2A7F"/>
    <w:rsid w:val="009F2D77"/>
    <w:rsid w:val="009F2DDD"/>
    <w:rsid w:val="009F2E2B"/>
    <w:rsid w:val="009F2F52"/>
    <w:rsid w:val="009F3109"/>
    <w:rsid w:val="009F3701"/>
    <w:rsid w:val="009F37D7"/>
    <w:rsid w:val="009F37F1"/>
    <w:rsid w:val="009F38B4"/>
    <w:rsid w:val="009F390E"/>
    <w:rsid w:val="009F3B30"/>
    <w:rsid w:val="009F3B7C"/>
    <w:rsid w:val="009F3FC8"/>
    <w:rsid w:val="009F3FD6"/>
    <w:rsid w:val="009F412B"/>
    <w:rsid w:val="009F4336"/>
    <w:rsid w:val="009F43B4"/>
    <w:rsid w:val="009F43F5"/>
    <w:rsid w:val="009F4490"/>
    <w:rsid w:val="009F468F"/>
    <w:rsid w:val="009F4743"/>
    <w:rsid w:val="009F4917"/>
    <w:rsid w:val="009F4A04"/>
    <w:rsid w:val="009F4A24"/>
    <w:rsid w:val="009F4BC2"/>
    <w:rsid w:val="009F4CCB"/>
    <w:rsid w:val="009F4E3C"/>
    <w:rsid w:val="009F4ECF"/>
    <w:rsid w:val="009F531A"/>
    <w:rsid w:val="009F566D"/>
    <w:rsid w:val="009F56FE"/>
    <w:rsid w:val="009F5A73"/>
    <w:rsid w:val="009F5A7D"/>
    <w:rsid w:val="009F5B96"/>
    <w:rsid w:val="009F5C69"/>
    <w:rsid w:val="009F5F49"/>
    <w:rsid w:val="009F636E"/>
    <w:rsid w:val="009F6397"/>
    <w:rsid w:val="009F6562"/>
    <w:rsid w:val="009F6782"/>
    <w:rsid w:val="009F6A3F"/>
    <w:rsid w:val="009F6B25"/>
    <w:rsid w:val="009F6D24"/>
    <w:rsid w:val="009F6E04"/>
    <w:rsid w:val="009F6EFF"/>
    <w:rsid w:val="009F71DD"/>
    <w:rsid w:val="009F72A1"/>
    <w:rsid w:val="009F76C7"/>
    <w:rsid w:val="009F76FE"/>
    <w:rsid w:val="009F785C"/>
    <w:rsid w:val="009F7982"/>
    <w:rsid w:val="009F7C65"/>
    <w:rsid w:val="009F7F55"/>
    <w:rsid w:val="00A00105"/>
    <w:rsid w:val="00A00150"/>
    <w:rsid w:val="00A00557"/>
    <w:rsid w:val="00A00610"/>
    <w:rsid w:val="00A006EF"/>
    <w:rsid w:val="00A0078B"/>
    <w:rsid w:val="00A008A9"/>
    <w:rsid w:val="00A009DE"/>
    <w:rsid w:val="00A00BAA"/>
    <w:rsid w:val="00A00CBD"/>
    <w:rsid w:val="00A00D5C"/>
    <w:rsid w:val="00A00F9A"/>
    <w:rsid w:val="00A011C0"/>
    <w:rsid w:val="00A011D8"/>
    <w:rsid w:val="00A0122A"/>
    <w:rsid w:val="00A018F9"/>
    <w:rsid w:val="00A01960"/>
    <w:rsid w:val="00A01C4E"/>
    <w:rsid w:val="00A01E88"/>
    <w:rsid w:val="00A01F14"/>
    <w:rsid w:val="00A023F5"/>
    <w:rsid w:val="00A02633"/>
    <w:rsid w:val="00A026D5"/>
    <w:rsid w:val="00A029A3"/>
    <w:rsid w:val="00A02B92"/>
    <w:rsid w:val="00A02DEC"/>
    <w:rsid w:val="00A0326C"/>
    <w:rsid w:val="00A032FF"/>
    <w:rsid w:val="00A033A9"/>
    <w:rsid w:val="00A034C9"/>
    <w:rsid w:val="00A03698"/>
    <w:rsid w:val="00A03714"/>
    <w:rsid w:val="00A037D8"/>
    <w:rsid w:val="00A03A99"/>
    <w:rsid w:val="00A03B7E"/>
    <w:rsid w:val="00A03C32"/>
    <w:rsid w:val="00A03D42"/>
    <w:rsid w:val="00A03F1A"/>
    <w:rsid w:val="00A04134"/>
    <w:rsid w:val="00A0419D"/>
    <w:rsid w:val="00A0445B"/>
    <w:rsid w:val="00A04542"/>
    <w:rsid w:val="00A045EB"/>
    <w:rsid w:val="00A04688"/>
    <w:rsid w:val="00A046CA"/>
    <w:rsid w:val="00A0494D"/>
    <w:rsid w:val="00A04ACE"/>
    <w:rsid w:val="00A04BC9"/>
    <w:rsid w:val="00A04CBB"/>
    <w:rsid w:val="00A04E70"/>
    <w:rsid w:val="00A0517E"/>
    <w:rsid w:val="00A0521A"/>
    <w:rsid w:val="00A05238"/>
    <w:rsid w:val="00A05265"/>
    <w:rsid w:val="00A054A3"/>
    <w:rsid w:val="00A055EC"/>
    <w:rsid w:val="00A0560D"/>
    <w:rsid w:val="00A056E0"/>
    <w:rsid w:val="00A05868"/>
    <w:rsid w:val="00A05B21"/>
    <w:rsid w:val="00A05BBB"/>
    <w:rsid w:val="00A05C85"/>
    <w:rsid w:val="00A05CD2"/>
    <w:rsid w:val="00A05E42"/>
    <w:rsid w:val="00A05ECA"/>
    <w:rsid w:val="00A060FD"/>
    <w:rsid w:val="00A06378"/>
    <w:rsid w:val="00A063F4"/>
    <w:rsid w:val="00A06521"/>
    <w:rsid w:val="00A06527"/>
    <w:rsid w:val="00A0678A"/>
    <w:rsid w:val="00A06A72"/>
    <w:rsid w:val="00A06AB5"/>
    <w:rsid w:val="00A06B83"/>
    <w:rsid w:val="00A06C34"/>
    <w:rsid w:val="00A06C6F"/>
    <w:rsid w:val="00A06CC8"/>
    <w:rsid w:val="00A06D28"/>
    <w:rsid w:val="00A070C7"/>
    <w:rsid w:val="00A07242"/>
    <w:rsid w:val="00A07531"/>
    <w:rsid w:val="00A0754D"/>
    <w:rsid w:val="00A07663"/>
    <w:rsid w:val="00A0767F"/>
    <w:rsid w:val="00A076CE"/>
    <w:rsid w:val="00A076FD"/>
    <w:rsid w:val="00A07A69"/>
    <w:rsid w:val="00A07B6F"/>
    <w:rsid w:val="00A07C66"/>
    <w:rsid w:val="00A10099"/>
    <w:rsid w:val="00A100C9"/>
    <w:rsid w:val="00A10157"/>
    <w:rsid w:val="00A10422"/>
    <w:rsid w:val="00A10493"/>
    <w:rsid w:val="00A1049B"/>
    <w:rsid w:val="00A1051C"/>
    <w:rsid w:val="00A10661"/>
    <w:rsid w:val="00A10665"/>
    <w:rsid w:val="00A108BC"/>
    <w:rsid w:val="00A10AA0"/>
    <w:rsid w:val="00A10D5B"/>
    <w:rsid w:val="00A10D78"/>
    <w:rsid w:val="00A10DF0"/>
    <w:rsid w:val="00A10F7A"/>
    <w:rsid w:val="00A11288"/>
    <w:rsid w:val="00A112FC"/>
    <w:rsid w:val="00A11363"/>
    <w:rsid w:val="00A119C6"/>
    <w:rsid w:val="00A11ABA"/>
    <w:rsid w:val="00A11D65"/>
    <w:rsid w:val="00A11E34"/>
    <w:rsid w:val="00A11E7F"/>
    <w:rsid w:val="00A11F07"/>
    <w:rsid w:val="00A12063"/>
    <w:rsid w:val="00A121E1"/>
    <w:rsid w:val="00A127C5"/>
    <w:rsid w:val="00A12BF7"/>
    <w:rsid w:val="00A12DF6"/>
    <w:rsid w:val="00A12E3D"/>
    <w:rsid w:val="00A130FA"/>
    <w:rsid w:val="00A1312F"/>
    <w:rsid w:val="00A13146"/>
    <w:rsid w:val="00A13311"/>
    <w:rsid w:val="00A13354"/>
    <w:rsid w:val="00A1340E"/>
    <w:rsid w:val="00A1378E"/>
    <w:rsid w:val="00A138DB"/>
    <w:rsid w:val="00A13A35"/>
    <w:rsid w:val="00A13AC2"/>
    <w:rsid w:val="00A13C73"/>
    <w:rsid w:val="00A13CF3"/>
    <w:rsid w:val="00A13E19"/>
    <w:rsid w:val="00A13F31"/>
    <w:rsid w:val="00A13F68"/>
    <w:rsid w:val="00A13F7F"/>
    <w:rsid w:val="00A141C8"/>
    <w:rsid w:val="00A14239"/>
    <w:rsid w:val="00A142E8"/>
    <w:rsid w:val="00A1434B"/>
    <w:rsid w:val="00A14784"/>
    <w:rsid w:val="00A148B7"/>
    <w:rsid w:val="00A14D2E"/>
    <w:rsid w:val="00A14F60"/>
    <w:rsid w:val="00A14F6C"/>
    <w:rsid w:val="00A14FF0"/>
    <w:rsid w:val="00A150EB"/>
    <w:rsid w:val="00A1546F"/>
    <w:rsid w:val="00A15498"/>
    <w:rsid w:val="00A155E8"/>
    <w:rsid w:val="00A1570A"/>
    <w:rsid w:val="00A1573B"/>
    <w:rsid w:val="00A15854"/>
    <w:rsid w:val="00A158B5"/>
    <w:rsid w:val="00A15916"/>
    <w:rsid w:val="00A159AC"/>
    <w:rsid w:val="00A15B0C"/>
    <w:rsid w:val="00A15C18"/>
    <w:rsid w:val="00A15FFE"/>
    <w:rsid w:val="00A16096"/>
    <w:rsid w:val="00A1617A"/>
    <w:rsid w:val="00A161B3"/>
    <w:rsid w:val="00A1623D"/>
    <w:rsid w:val="00A16360"/>
    <w:rsid w:val="00A164BB"/>
    <w:rsid w:val="00A16584"/>
    <w:rsid w:val="00A1658B"/>
    <w:rsid w:val="00A16625"/>
    <w:rsid w:val="00A166B3"/>
    <w:rsid w:val="00A16781"/>
    <w:rsid w:val="00A16837"/>
    <w:rsid w:val="00A1688B"/>
    <w:rsid w:val="00A16988"/>
    <w:rsid w:val="00A16BAD"/>
    <w:rsid w:val="00A16C52"/>
    <w:rsid w:val="00A16DA0"/>
    <w:rsid w:val="00A16E2B"/>
    <w:rsid w:val="00A16E39"/>
    <w:rsid w:val="00A16F2E"/>
    <w:rsid w:val="00A171C1"/>
    <w:rsid w:val="00A1742A"/>
    <w:rsid w:val="00A1763E"/>
    <w:rsid w:val="00A1768C"/>
    <w:rsid w:val="00A17A0B"/>
    <w:rsid w:val="00A17A46"/>
    <w:rsid w:val="00A17B84"/>
    <w:rsid w:val="00A17CD6"/>
    <w:rsid w:val="00A20242"/>
    <w:rsid w:val="00A2047C"/>
    <w:rsid w:val="00A20507"/>
    <w:rsid w:val="00A20579"/>
    <w:rsid w:val="00A206BE"/>
    <w:rsid w:val="00A2074F"/>
    <w:rsid w:val="00A20E5F"/>
    <w:rsid w:val="00A20E7C"/>
    <w:rsid w:val="00A20F46"/>
    <w:rsid w:val="00A2104B"/>
    <w:rsid w:val="00A211C8"/>
    <w:rsid w:val="00A2131E"/>
    <w:rsid w:val="00A21405"/>
    <w:rsid w:val="00A21482"/>
    <w:rsid w:val="00A215BF"/>
    <w:rsid w:val="00A21631"/>
    <w:rsid w:val="00A2177F"/>
    <w:rsid w:val="00A21849"/>
    <w:rsid w:val="00A2186F"/>
    <w:rsid w:val="00A21A22"/>
    <w:rsid w:val="00A21ACA"/>
    <w:rsid w:val="00A21C40"/>
    <w:rsid w:val="00A21C46"/>
    <w:rsid w:val="00A21D1C"/>
    <w:rsid w:val="00A21E03"/>
    <w:rsid w:val="00A21EC3"/>
    <w:rsid w:val="00A22073"/>
    <w:rsid w:val="00A22126"/>
    <w:rsid w:val="00A223EB"/>
    <w:rsid w:val="00A2292C"/>
    <w:rsid w:val="00A22A9B"/>
    <w:rsid w:val="00A22B5D"/>
    <w:rsid w:val="00A22C0E"/>
    <w:rsid w:val="00A22CCD"/>
    <w:rsid w:val="00A22CF7"/>
    <w:rsid w:val="00A22D1C"/>
    <w:rsid w:val="00A22D94"/>
    <w:rsid w:val="00A22F55"/>
    <w:rsid w:val="00A23054"/>
    <w:rsid w:val="00A2317F"/>
    <w:rsid w:val="00A231AA"/>
    <w:rsid w:val="00A23205"/>
    <w:rsid w:val="00A2334D"/>
    <w:rsid w:val="00A23422"/>
    <w:rsid w:val="00A2355A"/>
    <w:rsid w:val="00A23826"/>
    <w:rsid w:val="00A239AF"/>
    <w:rsid w:val="00A23B0A"/>
    <w:rsid w:val="00A23B6E"/>
    <w:rsid w:val="00A23B90"/>
    <w:rsid w:val="00A23E52"/>
    <w:rsid w:val="00A23EAE"/>
    <w:rsid w:val="00A23F5B"/>
    <w:rsid w:val="00A241E4"/>
    <w:rsid w:val="00A24353"/>
    <w:rsid w:val="00A24475"/>
    <w:rsid w:val="00A24533"/>
    <w:rsid w:val="00A2461B"/>
    <w:rsid w:val="00A24798"/>
    <w:rsid w:val="00A24AED"/>
    <w:rsid w:val="00A250E9"/>
    <w:rsid w:val="00A25132"/>
    <w:rsid w:val="00A251C6"/>
    <w:rsid w:val="00A2523E"/>
    <w:rsid w:val="00A25342"/>
    <w:rsid w:val="00A253F0"/>
    <w:rsid w:val="00A254AE"/>
    <w:rsid w:val="00A255FB"/>
    <w:rsid w:val="00A2562F"/>
    <w:rsid w:val="00A25630"/>
    <w:rsid w:val="00A2587F"/>
    <w:rsid w:val="00A25989"/>
    <w:rsid w:val="00A25CC4"/>
    <w:rsid w:val="00A25ED2"/>
    <w:rsid w:val="00A25F1B"/>
    <w:rsid w:val="00A2609F"/>
    <w:rsid w:val="00A2652F"/>
    <w:rsid w:val="00A265F9"/>
    <w:rsid w:val="00A266D2"/>
    <w:rsid w:val="00A26705"/>
    <w:rsid w:val="00A26A37"/>
    <w:rsid w:val="00A26A52"/>
    <w:rsid w:val="00A26C9E"/>
    <w:rsid w:val="00A26E4E"/>
    <w:rsid w:val="00A26F81"/>
    <w:rsid w:val="00A27143"/>
    <w:rsid w:val="00A271A4"/>
    <w:rsid w:val="00A27365"/>
    <w:rsid w:val="00A2737F"/>
    <w:rsid w:val="00A2746F"/>
    <w:rsid w:val="00A27491"/>
    <w:rsid w:val="00A274A2"/>
    <w:rsid w:val="00A274B1"/>
    <w:rsid w:val="00A275DF"/>
    <w:rsid w:val="00A27635"/>
    <w:rsid w:val="00A2768C"/>
    <w:rsid w:val="00A27711"/>
    <w:rsid w:val="00A27773"/>
    <w:rsid w:val="00A277B7"/>
    <w:rsid w:val="00A278A5"/>
    <w:rsid w:val="00A278EA"/>
    <w:rsid w:val="00A27945"/>
    <w:rsid w:val="00A27D34"/>
    <w:rsid w:val="00A27E39"/>
    <w:rsid w:val="00A27F9B"/>
    <w:rsid w:val="00A3002E"/>
    <w:rsid w:val="00A3038F"/>
    <w:rsid w:val="00A307BA"/>
    <w:rsid w:val="00A3080F"/>
    <w:rsid w:val="00A30973"/>
    <w:rsid w:val="00A30B8A"/>
    <w:rsid w:val="00A30C14"/>
    <w:rsid w:val="00A30D64"/>
    <w:rsid w:val="00A30F7C"/>
    <w:rsid w:val="00A310AC"/>
    <w:rsid w:val="00A312C2"/>
    <w:rsid w:val="00A31504"/>
    <w:rsid w:val="00A317CE"/>
    <w:rsid w:val="00A3184C"/>
    <w:rsid w:val="00A31A53"/>
    <w:rsid w:val="00A31B53"/>
    <w:rsid w:val="00A31E48"/>
    <w:rsid w:val="00A31FCE"/>
    <w:rsid w:val="00A320AF"/>
    <w:rsid w:val="00A323F5"/>
    <w:rsid w:val="00A3250F"/>
    <w:rsid w:val="00A3274B"/>
    <w:rsid w:val="00A327B1"/>
    <w:rsid w:val="00A327FB"/>
    <w:rsid w:val="00A32866"/>
    <w:rsid w:val="00A328E5"/>
    <w:rsid w:val="00A329CE"/>
    <w:rsid w:val="00A32A31"/>
    <w:rsid w:val="00A32B6B"/>
    <w:rsid w:val="00A32C73"/>
    <w:rsid w:val="00A32ECD"/>
    <w:rsid w:val="00A331DF"/>
    <w:rsid w:val="00A33245"/>
    <w:rsid w:val="00A335A8"/>
    <w:rsid w:val="00A336F2"/>
    <w:rsid w:val="00A3390C"/>
    <w:rsid w:val="00A33959"/>
    <w:rsid w:val="00A33BA5"/>
    <w:rsid w:val="00A33CAC"/>
    <w:rsid w:val="00A33D27"/>
    <w:rsid w:val="00A33E08"/>
    <w:rsid w:val="00A33EA3"/>
    <w:rsid w:val="00A33FAE"/>
    <w:rsid w:val="00A3417F"/>
    <w:rsid w:val="00A342F7"/>
    <w:rsid w:val="00A349FE"/>
    <w:rsid w:val="00A34D1B"/>
    <w:rsid w:val="00A34E5C"/>
    <w:rsid w:val="00A34EA5"/>
    <w:rsid w:val="00A350D8"/>
    <w:rsid w:val="00A35111"/>
    <w:rsid w:val="00A3516E"/>
    <w:rsid w:val="00A351CD"/>
    <w:rsid w:val="00A35212"/>
    <w:rsid w:val="00A35528"/>
    <w:rsid w:val="00A35684"/>
    <w:rsid w:val="00A35737"/>
    <w:rsid w:val="00A35847"/>
    <w:rsid w:val="00A35895"/>
    <w:rsid w:val="00A35900"/>
    <w:rsid w:val="00A35983"/>
    <w:rsid w:val="00A35DA8"/>
    <w:rsid w:val="00A35FB8"/>
    <w:rsid w:val="00A360EB"/>
    <w:rsid w:val="00A36131"/>
    <w:rsid w:val="00A3639E"/>
    <w:rsid w:val="00A363C4"/>
    <w:rsid w:val="00A3658B"/>
    <w:rsid w:val="00A3664C"/>
    <w:rsid w:val="00A36745"/>
    <w:rsid w:val="00A367A5"/>
    <w:rsid w:val="00A36819"/>
    <w:rsid w:val="00A3698C"/>
    <w:rsid w:val="00A36BD5"/>
    <w:rsid w:val="00A36F08"/>
    <w:rsid w:val="00A37062"/>
    <w:rsid w:val="00A371A3"/>
    <w:rsid w:val="00A3726F"/>
    <w:rsid w:val="00A37463"/>
    <w:rsid w:val="00A374D3"/>
    <w:rsid w:val="00A37640"/>
    <w:rsid w:val="00A376A8"/>
    <w:rsid w:val="00A37843"/>
    <w:rsid w:val="00A379A1"/>
    <w:rsid w:val="00A37A46"/>
    <w:rsid w:val="00A37C5A"/>
    <w:rsid w:val="00A37D14"/>
    <w:rsid w:val="00A37D16"/>
    <w:rsid w:val="00A37D33"/>
    <w:rsid w:val="00A37D6D"/>
    <w:rsid w:val="00A37F7C"/>
    <w:rsid w:val="00A40175"/>
    <w:rsid w:val="00A402C8"/>
    <w:rsid w:val="00A4037B"/>
    <w:rsid w:val="00A40982"/>
    <w:rsid w:val="00A40A78"/>
    <w:rsid w:val="00A40B22"/>
    <w:rsid w:val="00A40B2F"/>
    <w:rsid w:val="00A40C7B"/>
    <w:rsid w:val="00A40E5D"/>
    <w:rsid w:val="00A412F3"/>
    <w:rsid w:val="00A414B9"/>
    <w:rsid w:val="00A4181F"/>
    <w:rsid w:val="00A4182D"/>
    <w:rsid w:val="00A418F4"/>
    <w:rsid w:val="00A41D99"/>
    <w:rsid w:val="00A41E34"/>
    <w:rsid w:val="00A41F53"/>
    <w:rsid w:val="00A42057"/>
    <w:rsid w:val="00A42094"/>
    <w:rsid w:val="00A424D5"/>
    <w:rsid w:val="00A42502"/>
    <w:rsid w:val="00A42571"/>
    <w:rsid w:val="00A426DB"/>
    <w:rsid w:val="00A426FE"/>
    <w:rsid w:val="00A42749"/>
    <w:rsid w:val="00A42907"/>
    <w:rsid w:val="00A42A32"/>
    <w:rsid w:val="00A42CBA"/>
    <w:rsid w:val="00A42D3F"/>
    <w:rsid w:val="00A42F38"/>
    <w:rsid w:val="00A42FEA"/>
    <w:rsid w:val="00A431F7"/>
    <w:rsid w:val="00A433D9"/>
    <w:rsid w:val="00A4351B"/>
    <w:rsid w:val="00A43766"/>
    <w:rsid w:val="00A43832"/>
    <w:rsid w:val="00A43841"/>
    <w:rsid w:val="00A438F0"/>
    <w:rsid w:val="00A4392C"/>
    <w:rsid w:val="00A4396C"/>
    <w:rsid w:val="00A43BC5"/>
    <w:rsid w:val="00A43CD4"/>
    <w:rsid w:val="00A43EBA"/>
    <w:rsid w:val="00A4412B"/>
    <w:rsid w:val="00A441EE"/>
    <w:rsid w:val="00A4420D"/>
    <w:rsid w:val="00A442A5"/>
    <w:rsid w:val="00A4431C"/>
    <w:rsid w:val="00A44387"/>
    <w:rsid w:val="00A44472"/>
    <w:rsid w:val="00A445D9"/>
    <w:rsid w:val="00A44664"/>
    <w:rsid w:val="00A447AF"/>
    <w:rsid w:val="00A44838"/>
    <w:rsid w:val="00A448ED"/>
    <w:rsid w:val="00A44923"/>
    <w:rsid w:val="00A44AC3"/>
    <w:rsid w:val="00A44B02"/>
    <w:rsid w:val="00A44CFA"/>
    <w:rsid w:val="00A44E18"/>
    <w:rsid w:val="00A44E87"/>
    <w:rsid w:val="00A45031"/>
    <w:rsid w:val="00A450C8"/>
    <w:rsid w:val="00A450E0"/>
    <w:rsid w:val="00A453D5"/>
    <w:rsid w:val="00A453F1"/>
    <w:rsid w:val="00A45514"/>
    <w:rsid w:val="00A458C4"/>
    <w:rsid w:val="00A45AE4"/>
    <w:rsid w:val="00A45B34"/>
    <w:rsid w:val="00A45B4A"/>
    <w:rsid w:val="00A45BF1"/>
    <w:rsid w:val="00A45CDC"/>
    <w:rsid w:val="00A45D73"/>
    <w:rsid w:val="00A45DC3"/>
    <w:rsid w:val="00A45FC3"/>
    <w:rsid w:val="00A45FD6"/>
    <w:rsid w:val="00A460E9"/>
    <w:rsid w:val="00A46171"/>
    <w:rsid w:val="00A4620F"/>
    <w:rsid w:val="00A46220"/>
    <w:rsid w:val="00A46222"/>
    <w:rsid w:val="00A466FB"/>
    <w:rsid w:val="00A4673C"/>
    <w:rsid w:val="00A4681B"/>
    <w:rsid w:val="00A4684F"/>
    <w:rsid w:val="00A46952"/>
    <w:rsid w:val="00A46990"/>
    <w:rsid w:val="00A469C9"/>
    <w:rsid w:val="00A46BA6"/>
    <w:rsid w:val="00A47209"/>
    <w:rsid w:val="00A47489"/>
    <w:rsid w:val="00A4766B"/>
    <w:rsid w:val="00A476EC"/>
    <w:rsid w:val="00A47752"/>
    <w:rsid w:val="00A47A1B"/>
    <w:rsid w:val="00A47AF3"/>
    <w:rsid w:val="00A47F4B"/>
    <w:rsid w:val="00A500E2"/>
    <w:rsid w:val="00A505CC"/>
    <w:rsid w:val="00A50694"/>
    <w:rsid w:val="00A50883"/>
    <w:rsid w:val="00A50A5F"/>
    <w:rsid w:val="00A50ACC"/>
    <w:rsid w:val="00A50B0F"/>
    <w:rsid w:val="00A50E2D"/>
    <w:rsid w:val="00A50E45"/>
    <w:rsid w:val="00A50EF4"/>
    <w:rsid w:val="00A51100"/>
    <w:rsid w:val="00A51106"/>
    <w:rsid w:val="00A511CB"/>
    <w:rsid w:val="00A512CB"/>
    <w:rsid w:val="00A5159A"/>
    <w:rsid w:val="00A515F4"/>
    <w:rsid w:val="00A51972"/>
    <w:rsid w:val="00A52081"/>
    <w:rsid w:val="00A52153"/>
    <w:rsid w:val="00A5219E"/>
    <w:rsid w:val="00A527AD"/>
    <w:rsid w:val="00A528E1"/>
    <w:rsid w:val="00A52C8B"/>
    <w:rsid w:val="00A52D39"/>
    <w:rsid w:val="00A52DC0"/>
    <w:rsid w:val="00A52F68"/>
    <w:rsid w:val="00A530E1"/>
    <w:rsid w:val="00A53366"/>
    <w:rsid w:val="00A533AF"/>
    <w:rsid w:val="00A533E9"/>
    <w:rsid w:val="00A53428"/>
    <w:rsid w:val="00A53452"/>
    <w:rsid w:val="00A53521"/>
    <w:rsid w:val="00A5354B"/>
    <w:rsid w:val="00A536F1"/>
    <w:rsid w:val="00A53890"/>
    <w:rsid w:val="00A53918"/>
    <w:rsid w:val="00A53A25"/>
    <w:rsid w:val="00A53AE4"/>
    <w:rsid w:val="00A53B34"/>
    <w:rsid w:val="00A53BCF"/>
    <w:rsid w:val="00A53D5C"/>
    <w:rsid w:val="00A53DD2"/>
    <w:rsid w:val="00A53EAC"/>
    <w:rsid w:val="00A53EBE"/>
    <w:rsid w:val="00A53F5E"/>
    <w:rsid w:val="00A5417F"/>
    <w:rsid w:val="00A541A1"/>
    <w:rsid w:val="00A5425E"/>
    <w:rsid w:val="00A5427D"/>
    <w:rsid w:val="00A54296"/>
    <w:rsid w:val="00A5436D"/>
    <w:rsid w:val="00A5441B"/>
    <w:rsid w:val="00A5452B"/>
    <w:rsid w:val="00A54585"/>
    <w:rsid w:val="00A547AD"/>
    <w:rsid w:val="00A54881"/>
    <w:rsid w:val="00A5498D"/>
    <w:rsid w:val="00A54A42"/>
    <w:rsid w:val="00A54C20"/>
    <w:rsid w:val="00A55083"/>
    <w:rsid w:val="00A552A3"/>
    <w:rsid w:val="00A55480"/>
    <w:rsid w:val="00A5575D"/>
    <w:rsid w:val="00A55A1B"/>
    <w:rsid w:val="00A55A43"/>
    <w:rsid w:val="00A55C76"/>
    <w:rsid w:val="00A55FE1"/>
    <w:rsid w:val="00A56054"/>
    <w:rsid w:val="00A561C0"/>
    <w:rsid w:val="00A562A9"/>
    <w:rsid w:val="00A56310"/>
    <w:rsid w:val="00A565CA"/>
    <w:rsid w:val="00A56695"/>
    <w:rsid w:val="00A5673F"/>
    <w:rsid w:val="00A56AE1"/>
    <w:rsid w:val="00A56B39"/>
    <w:rsid w:val="00A56B8D"/>
    <w:rsid w:val="00A56DB0"/>
    <w:rsid w:val="00A56F10"/>
    <w:rsid w:val="00A56F15"/>
    <w:rsid w:val="00A57181"/>
    <w:rsid w:val="00A57227"/>
    <w:rsid w:val="00A57392"/>
    <w:rsid w:val="00A57554"/>
    <w:rsid w:val="00A575BB"/>
    <w:rsid w:val="00A575FD"/>
    <w:rsid w:val="00A577D9"/>
    <w:rsid w:val="00A578DC"/>
    <w:rsid w:val="00A579D8"/>
    <w:rsid w:val="00A57B1C"/>
    <w:rsid w:val="00A57BE4"/>
    <w:rsid w:val="00A57E89"/>
    <w:rsid w:val="00A60388"/>
    <w:rsid w:val="00A6057E"/>
    <w:rsid w:val="00A605C3"/>
    <w:rsid w:val="00A60A9F"/>
    <w:rsid w:val="00A60B86"/>
    <w:rsid w:val="00A60C60"/>
    <w:rsid w:val="00A60CD7"/>
    <w:rsid w:val="00A60DE5"/>
    <w:rsid w:val="00A610C3"/>
    <w:rsid w:val="00A610E3"/>
    <w:rsid w:val="00A612EA"/>
    <w:rsid w:val="00A61402"/>
    <w:rsid w:val="00A614E8"/>
    <w:rsid w:val="00A61595"/>
    <w:rsid w:val="00A615D6"/>
    <w:rsid w:val="00A61D1F"/>
    <w:rsid w:val="00A61DB9"/>
    <w:rsid w:val="00A620B0"/>
    <w:rsid w:val="00A620DA"/>
    <w:rsid w:val="00A62162"/>
    <w:rsid w:val="00A62204"/>
    <w:rsid w:val="00A6227D"/>
    <w:rsid w:val="00A62291"/>
    <w:rsid w:val="00A622B7"/>
    <w:rsid w:val="00A623DA"/>
    <w:rsid w:val="00A62430"/>
    <w:rsid w:val="00A6259F"/>
    <w:rsid w:val="00A62634"/>
    <w:rsid w:val="00A62675"/>
    <w:rsid w:val="00A62DC1"/>
    <w:rsid w:val="00A62DFB"/>
    <w:rsid w:val="00A630F5"/>
    <w:rsid w:val="00A63160"/>
    <w:rsid w:val="00A63219"/>
    <w:rsid w:val="00A63249"/>
    <w:rsid w:val="00A632B8"/>
    <w:rsid w:val="00A633E8"/>
    <w:rsid w:val="00A63451"/>
    <w:rsid w:val="00A6364A"/>
    <w:rsid w:val="00A636D1"/>
    <w:rsid w:val="00A63895"/>
    <w:rsid w:val="00A63B31"/>
    <w:rsid w:val="00A63BDC"/>
    <w:rsid w:val="00A63D07"/>
    <w:rsid w:val="00A63D4C"/>
    <w:rsid w:val="00A63DB5"/>
    <w:rsid w:val="00A63EA0"/>
    <w:rsid w:val="00A63ECA"/>
    <w:rsid w:val="00A63F46"/>
    <w:rsid w:val="00A63F57"/>
    <w:rsid w:val="00A6430C"/>
    <w:rsid w:val="00A6430D"/>
    <w:rsid w:val="00A64633"/>
    <w:rsid w:val="00A646E0"/>
    <w:rsid w:val="00A647BC"/>
    <w:rsid w:val="00A64817"/>
    <w:rsid w:val="00A64AAF"/>
    <w:rsid w:val="00A64ACF"/>
    <w:rsid w:val="00A64BD4"/>
    <w:rsid w:val="00A64C69"/>
    <w:rsid w:val="00A64D74"/>
    <w:rsid w:val="00A64E0F"/>
    <w:rsid w:val="00A64F57"/>
    <w:rsid w:val="00A64F69"/>
    <w:rsid w:val="00A6502A"/>
    <w:rsid w:val="00A650E3"/>
    <w:rsid w:val="00A65586"/>
    <w:rsid w:val="00A655D9"/>
    <w:rsid w:val="00A65638"/>
    <w:rsid w:val="00A659F7"/>
    <w:rsid w:val="00A65CAC"/>
    <w:rsid w:val="00A65D0E"/>
    <w:rsid w:val="00A65DDD"/>
    <w:rsid w:val="00A65DEA"/>
    <w:rsid w:val="00A65FDA"/>
    <w:rsid w:val="00A664A6"/>
    <w:rsid w:val="00A66552"/>
    <w:rsid w:val="00A665CE"/>
    <w:rsid w:val="00A66706"/>
    <w:rsid w:val="00A667CF"/>
    <w:rsid w:val="00A66822"/>
    <w:rsid w:val="00A669AE"/>
    <w:rsid w:val="00A66AB4"/>
    <w:rsid w:val="00A66B0A"/>
    <w:rsid w:val="00A66BCF"/>
    <w:rsid w:val="00A66CCF"/>
    <w:rsid w:val="00A66E17"/>
    <w:rsid w:val="00A66F48"/>
    <w:rsid w:val="00A670F4"/>
    <w:rsid w:val="00A6726C"/>
    <w:rsid w:val="00A67275"/>
    <w:rsid w:val="00A67588"/>
    <w:rsid w:val="00A67753"/>
    <w:rsid w:val="00A678A4"/>
    <w:rsid w:val="00A67B67"/>
    <w:rsid w:val="00A67B9A"/>
    <w:rsid w:val="00A67C61"/>
    <w:rsid w:val="00A67E92"/>
    <w:rsid w:val="00A67F55"/>
    <w:rsid w:val="00A67FA2"/>
    <w:rsid w:val="00A70075"/>
    <w:rsid w:val="00A701C8"/>
    <w:rsid w:val="00A702F9"/>
    <w:rsid w:val="00A70550"/>
    <w:rsid w:val="00A705B9"/>
    <w:rsid w:val="00A705CE"/>
    <w:rsid w:val="00A705CF"/>
    <w:rsid w:val="00A70785"/>
    <w:rsid w:val="00A70B2A"/>
    <w:rsid w:val="00A70BBC"/>
    <w:rsid w:val="00A70C00"/>
    <w:rsid w:val="00A70C2E"/>
    <w:rsid w:val="00A70C9C"/>
    <w:rsid w:val="00A710AF"/>
    <w:rsid w:val="00A712C7"/>
    <w:rsid w:val="00A71447"/>
    <w:rsid w:val="00A71736"/>
    <w:rsid w:val="00A717D7"/>
    <w:rsid w:val="00A7184E"/>
    <w:rsid w:val="00A7195B"/>
    <w:rsid w:val="00A71A54"/>
    <w:rsid w:val="00A71B5D"/>
    <w:rsid w:val="00A71C3D"/>
    <w:rsid w:val="00A71CB6"/>
    <w:rsid w:val="00A71D99"/>
    <w:rsid w:val="00A71DDC"/>
    <w:rsid w:val="00A71E3B"/>
    <w:rsid w:val="00A71FCE"/>
    <w:rsid w:val="00A72045"/>
    <w:rsid w:val="00A7220F"/>
    <w:rsid w:val="00A7245C"/>
    <w:rsid w:val="00A7246D"/>
    <w:rsid w:val="00A725A9"/>
    <w:rsid w:val="00A7265C"/>
    <w:rsid w:val="00A72858"/>
    <w:rsid w:val="00A728E1"/>
    <w:rsid w:val="00A72A0B"/>
    <w:rsid w:val="00A72BD6"/>
    <w:rsid w:val="00A72C4A"/>
    <w:rsid w:val="00A72D3B"/>
    <w:rsid w:val="00A72D95"/>
    <w:rsid w:val="00A73093"/>
    <w:rsid w:val="00A7311D"/>
    <w:rsid w:val="00A731F1"/>
    <w:rsid w:val="00A732A9"/>
    <w:rsid w:val="00A7331D"/>
    <w:rsid w:val="00A733FC"/>
    <w:rsid w:val="00A734D0"/>
    <w:rsid w:val="00A73630"/>
    <w:rsid w:val="00A73783"/>
    <w:rsid w:val="00A737C5"/>
    <w:rsid w:val="00A739AC"/>
    <w:rsid w:val="00A739F4"/>
    <w:rsid w:val="00A73C13"/>
    <w:rsid w:val="00A73CFD"/>
    <w:rsid w:val="00A73D3D"/>
    <w:rsid w:val="00A73DA5"/>
    <w:rsid w:val="00A73E4B"/>
    <w:rsid w:val="00A73F76"/>
    <w:rsid w:val="00A73FC3"/>
    <w:rsid w:val="00A7400B"/>
    <w:rsid w:val="00A740B1"/>
    <w:rsid w:val="00A742F8"/>
    <w:rsid w:val="00A743A5"/>
    <w:rsid w:val="00A7441A"/>
    <w:rsid w:val="00A744B5"/>
    <w:rsid w:val="00A74943"/>
    <w:rsid w:val="00A749CF"/>
    <w:rsid w:val="00A74DCB"/>
    <w:rsid w:val="00A74ED1"/>
    <w:rsid w:val="00A75286"/>
    <w:rsid w:val="00A75392"/>
    <w:rsid w:val="00A75405"/>
    <w:rsid w:val="00A75675"/>
    <w:rsid w:val="00A758CC"/>
    <w:rsid w:val="00A759E3"/>
    <w:rsid w:val="00A75A23"/>
    <w:rsid w:val="00A75ADB"/>
    <w:rsid w:val="00A75C3B"/>
    <w:rsid w:val="00A75E3F"/>
    <w:rsid w:val="00A75EC9"/>
    <w:rsid w:val="00A75F06"/>
    <w:rsid w:val="00A7631C"/>
    <w:rsid w:val="00A7660F"/>
    <w:rsid w:val="00A76648"/>
    <w:rsid w:val="00A7666D"/>
    <w:rsid w:val="00A7673C"/>
    <w:rsid w:val="00A76919"/>
    <w:rsid w:val="00A769E7"/>
    <w:rsid w:val="00A76E05"/>
    <w:rsid w:val="00A76E0F"/>
    <w:rsid w:val="00A77583"/>
    <w:rsid w:val="00A77586"/>
    <w:rsid w:val="00A7799D"/>
    <w:rsid w:val="00A779CD"/>
    <w:rsid w:val="00A77AE7"/>
    <w:rsid w:val="00A77E9C"/>
    <w:rsid w:val="00A77EC5"/>
    <w:rsid w:val="00A80084"/>
    <w:rsid w:val="00A80092"/>
    <w:rsid w:val="00A80369"/>
    <w:rsid w:val="00A803B4"/>
    <w:rsid w:val="00A80479"/>
    <w:rsid w:val="00A8073E"/>
    <w:rsid w:val="00A80781"/>
    <w:rsid w:val="00A80967"/>
    <w:rsid w:val="00A80B53"/>
    <w:rsid w:val="00A81012"/>
    <w:rsid w:val="00A81026"/>
    <w:rsid w:val="00A8122F"/>
    <w:rsid w:val="00A81239"/>
    <w:rsid w:val="00A81897"/>
    <w:rsid w:val="00A81977"/>
    <w:rsid w:val="00A81BD2"/>
    <w:rsid w:val="00A81C17"/>
    <w:rsid w:val="00A81C4F"/>
    <w:rsid w:val="00A81C80"/>
    <w:rsid w:val="00A81CFA"/>
    <w:rsid w:val="00A81ED2"/>
    <w:rsid w:val="00A8228B"/>
    <w:rsid w:val="00A823C3"/>
    <w:rsid w:val="00A82448"/>
    <w:rsid w:val="00A825FB"/>
    <w:rsid w:val="00A8264F"/>
    <w:rsid w:val="00A82665"/>
    <w:rsid w:val="00A82743"/>
    <w:rsid w:val="00A82AC0"/>
    <w:rsid w:val="00A82B5F"/>
    <w:rsid w:val="00A82C81"/>
    <w:rsid w:val="00A82E38"/>
    <w:rsid w:val="00A8303E"/>
    <w:rsid w:val="00A8316C"/>
    <w:rsid w:val="00A832D8"/>
    <w:rsid w:val="00A83810"/>
    <w:rsid w:val="00A83A35"/>
    <w:rsid w:val="00A83AFC"/>
    <w:rsid w:val="00A83BAA"/>
    <w:rsid w:val="00A83C84"/>
    <w:rsid w:val="00A83D4F"/>
    <w:rsid w:val="00A83E6A"/>
    <w:rsid w:val="00A83E90"/>
    <w:rsid w:val="00A83FB0"/>
    <w:rsid w:val="00A83FFB"/>
    <w:rsid w:val="00A84071"/>
    <w:rsid w:val="00A841D7"/>
    <w:rsid w:val="00A842E0"/>
    <w:rsid w:val="00A84369"/>
    <w:rsid w:val="00A84632"/>
    <w:rsid w:val="00A846DA"/>
    <w:rsid w:val="00A849EC"/>
    <w:rsid w:val="00A84ACE"/>
    <w:rsid w:val="00A84ADE"/>
    <w:rsid w:val="00A84BD5"/>
    <w:rsid w:val="00A84CF6"/>
    <w:rsid w:val="00A84D2D"/>
    <w:rsid w:val="00A84E83"/>
    <w:rsid w:val="00A84FD7"/>
    <w:rsid w:val="00A8502C"/>
    <w:rsid w:val="00A85079"/>
    <w:rsid w:val="00A851D2"/>
    <w:rsid w:val="00A851FE"/>
    <w:rsid w:val="00A85312"/>
    <w:rsid w:val="00A85328"/>
    <w:rsid w:val="00A8535A"/>
    <w:rsid w:val="00A85361"/>
    <w:rsid w:val="00A85415"/>
    <w:rsid w:val="00A85A84"/>
    <w:rsid w:val="00A85AB8"/>
    <w:rsid w:val="00A85C02"/>
    <w:rsid w:val="00A85C2B"/>
    <w:rsid w:val="00A85D79"/>
    <w:rsid w:val="00A85F90"/>
    <w:rsid w:val="00A86660"/>
    <w:rsid w:val="00A868B7"/>
    <w:rsid w:val="00A86935"/>
    <w:rsid w:val="00A86937"/>
    <w:rsid w:val="00A86C9A"/>
    <w:rsid w:val="00A86CC6"/>
    <w:rsid w:val="00A86E08"/>
    <w:rsid w:val="00A8702D"/>
    <w:rsid w:val="00A87264"/>
    <w:rsid w:val="00A873CC"/>
    <w:rsid w:val="00A8743E"/>
    <w:rsid w:val="00A87697"/>
    <w:rsid w:val="00A87837"/>
    <w:rsid w:val="00A87B31"/>
    <w:rsid w:val="00A87B6C"/>
    <w:rsid w:val="00A87E07"/>
    <w:rsid w:val="00A87E80"/>
    <w:rsid w:val="00A908DF"/>
    <w:rsid w:val="00A90C14"/>
    <w:rsid w:val="00A90D47"/>
    <w:rsid w:val="00A90D9C"/>
    <w:rsid w:val="00A90E90"/>
    <w:rsid w:val="00A90F69"/>
    <w:rsid w:val="00A90FD8"/>
    <w:rsid w:val="00A9110D"/>
    <w:rsid w:val="00A9111A"/>
    <w:rsid w:val="00A91194"/>
    <w:rsid w:val="00A913BD"/>
    <w:rsid w:val="00A914B9"/>
    <w:rsid w:val="00A914E2"/>
    <w:rsid w:val="00A9190A"/>
    <w:rsid w:val="00A91AFE"/>
    <w:rsid w:val="00A91D0F"/>
    <w:rsid w:val="00A91D1D"/>
    <w:rsid w:val="00A91DA3"/>
    <w:rsid w:val="00A91EBD"/>
    <w:rsid w:val="00A91F07"/>
    <w:rsid w:val="00A91F9D"/>
    <w:rsid w:val="00A91FA0"/>
    <w:rsid w:val="00A92027"/>
    <w:rsid w:val="00A9208C"/>
    <w:rsid w:val="00A92176"/>
    <w:rsid w:val="00A9240A"/>
    <w:rsid w:val="00A9252B"/>
    <w:rsid w:val="00A92550"/>
    <w:rsid w:val="00A925CA"/>
    <w:rsid w:val="00A92778"/>
    <w:rsid w:val="00A927D1"/>
    <w:rsid w:val="00A92837"/>
    <w:rsid w:val="00A928D5"/>
    <w:rsid w:val="00A92B3D"/>
    <w:rsid w:val="00A92C11"/>
    <w:rsid w:val="00A92F50"/>
    <w:rsid w:val="00A9302A"/>
    <w:rsid w:val="00A93110"/>
    <w:rsid w:val="00A931E8"/>
    <w:rsid w:val="00A933A3"/>
    <w:rsid w:val="00A93496"/>
    <w:rsid w:val="00A934A2"/>
    <w:rsid w:val="00A9358B"/>
    <w:rsid w:val="00A935B5"/>
    <w:rsid w:val="00A935C3"/>
    <w:rsid w:val="00A935F1"/>
    <w:rsid w:val="00A93888"/>
    <w:rsid w:val="00A93B21"/>
    <w:rsid w:val="00A94158"/>
    <w:rsid w:val="00A943D0"/>
    <w:rsid w:val="00A9442A"/>
    <w:rsid w:val="00A94850"/>
    <w:rsid w:val="00A949FE"/>
    <w:rsid w:val="00A94AA2"/>
    <w:rsid w:val="00A94B74"/>
    <w:rsid w:val="00A94BE7"/>
    <w:rsid w:val="00A94CDB"/>
    <w:rsid w:val="00A94D6C"/>
    <w:rsid w:val="00A94E8B"/>
    <w:rsid w:val="00A94EFA"/>
    <w:rsid w:val="00A95117"/>
    <w:rsid w:val="00A95193"/>
    <w:rsid w:val="00A954D6"/>
    <w:rsid w:val="00A95525"/>
    <w:rsid w:val="00A955DF"/>
    <w:rsid w:val="00A95682"/>
    <w:rsid w:val="00A956C4"/>
    <w:rsid w:val="00A95BD5"/>
    <w:rsid w:val="00A95E5E"/>
    <w:rsid w:val="00A95EB8"/>
    <w:rsid w:val="00A95F14"/>
    <w:rsid w:val="00A96072"/>
    <w:rsid w:val="00A960DA"/>
    <w:rsid w:val="00A961CA"/>
    <w:rsid w:val="00A9632A"/>
    <w:rsid w:val="00A964DA"/>
    <w:rsid w:val="00A966E7"/>
    <w:rsid w:val="00A96976"/>
    <w:rsid w:val="00A96BCB"/>
    <w:rsid w:val="00A96C03"/>
    <w:rsid w:val="00A96C0A"/>
    <w:rsid w:val="00A96FE2"/>
    <w:rsid w:val="00A97086"/>
    <w:rsid w:val="00A9752F"/>
    <w:rsid w:val="00A97637"/>
    <w:rsid w:val="00A97ACD"/>
    <w:rsid w:val="00A97BB1"/>
    <w:rsid w:val="00A97BEA"/>
    <w:rsid w:val="00A97C1B"/>
    <w:rsid w:val="00A97E71"/>
    <w:rsid w:val="00AA01DC"/>
    <w:rsid w:val="00AA03D1"/>
    <w:rsid w:val="00AA043A"/>
    <w:rsid w:val="00AA04A7"/>
    <w:rsid w:val="00AA053A"/>
    <w:rsid w:val="00AA06D2"/>
    <w:rsid w:val="00AA0FFC"/>
    <w:rsid w:val="00AA102C"/>
    <w:rsid w:val="00AA1143"/>
    <w:rsid w:val="00AA1225"/>
    <w:rsid w:val="00AA1237"/>
    <w:rsid w:val="00AA127C"/>
    <w:rsid w:val="00AA1351"/>
    <w:rsid w:val="00AA1510"/>
    <w:rsid w:val="00AA1576"/>
    <w:rsid w:val="00AA1626"/>
    <w:rsid w:val="00AA16B6"/>
    <w:rsid w:val="00AA174D"/>
    <w:rsid w:val="00AA1754"/>
    <w:rsid w:val="00AA1957"/>
    <w:rsid w:val="00AA1C99"/>
    <w:rsid w:val="00AA1EAF"/>
    <w:rsid w:val="00AA201A"/>
    <w:rsid w:val="00AA211D"/>
    <w:rsid w:val="00AA2195"/>
    <w:rsid w:val="00AA2218"/>
    <w:rsid w:val="00AA2284"/>
    <w:rsid w:val="00AA22CD"/>
    <w:rsid w:val="00AA2394"/>
    <w:rsid w:val="00AA24E9"/>
    <w:rsid w:val="00AA2537"/>
    <w:rsid w:val="00AA267B"/>
    <w:rsid w:val="00AA26C1"/>
    <w:rsid w:val="00AA274D"/>
    <w:rsid w:val="00AA289F"/>
    <w:rsid w:val="00AA2AE2"/>
    <w:rsid w:val="00AA2F6F"/>
    <w:rsid w:val="00AA2FC8"/>
    <w:rsid w:val="00AA2FEA"/>
    <w:rsid w:val="00AA3052"/>
    <w:rsid w:val="00AA31C9"/>
    <w:rsid w:val="00AA3258"/>
    <w:rsid w:val="00AA3502"/>
    <w:rsid w:val="00AA359D"/>
    <w:rsid w:val="00AA3831"/>
    <w:rsid w:val="00AA3850"/>
    <w:rsid w:val="00AA38A3"/>
    <w:rsid w:val="00AA38AF"/>
    <w:rsid w:val="00AA38C2"/>
    <w:rsid w:val="00AA3990"/>
    <w:rsid w:val="00AA3A14"/>
    <w:rsid w:val="00AA3D90"/>
    <w:rsid w:val="00AA3D9A"/>
    <w:rsid w:val="00AA3F79"/>
    <w:rsid w:val="00AA41ED"/>
    <w:rsid w:val="00AA4242"/>
    <w:rsid w:val="00AA426A"/>
    <w:rsid w:val="00AA4722"/>
    <w:rsid w:val="00AA47EA"/>
    <w:rsid w:val="00AA484D"/>
    <w:rsid w:val="00AA4896"/>
    <w:rsid w:val="00AA48A6"/>
    <w:rsid w:val="00AA4967"/>
    <w:rsid w:val="00AA4A5C"/>
    <w:rsid w:val="00AA4E43"/>
    <w:rsid w:val="00AA5044"/>
    <w:rsid w:val="00AA5150"/>
    <w:rsid w:val="00AA5498"/>
    <w:rsid w:val="00AA54DB"/>
    <w:rsid w:val="00AA5523"/>
    <w:rsid w:val="00AA5654"/>
    <w:rsid w:val="00AA5AC7"/>
    <w:rsid w:val="00AA5CAA"/>
    <w:rsid w:val="00AA5F21"/>
    <w:rsid w:val="00AA62EB"/>
    <w:rsid w:val="00AA62F8"/>
    <w:rsid w:val="00AA6314"/>
    <w:rsid w:val="00AA632A"/>
    <w:rsid w:val="00AA6616"/>
    <w:rsid w:val="00AA6686"/>
    <w:rsid w:val="00AA671B"/>
    <w:rsid w:val="00AA6973"/>
    <w:rsid w:val="00AA6A30"/>
    <w:rsid w:val="00AA6AAC"/>
    <w:rsid w:val="00AA7030"/>
    <w:rsid w:val="00AA71BA"/>
    <w:rsid w:val="00AA7335"/>
    <w:rsid w:val="00AA74CD"/>
    <w:rsid w:val="00AA76AC"/>
    <w:rsid w:val="00AA76E7"/>
    <w:rsid w:val="00AA7719"/>
    <w:rsid w:val="00AA773C"/>
    <w:rsid w:val="00AA7BED"/>
    <w:rsid w:val="00AA7C57"/>
    <w:rsid w:val="00AA7CB6"/>
    <w:rsid w:val="00AA7D75"/>
    <w:rsid w:val="00AA7E11"/>
    <w:rsid w:val="00AB000A"/>
    <w:rsid w:val="00AB030F"/>
    <w:rsid w:val="00AB03D4"/>
    <w:rsid w:val="00AB03FF"/>
    <w:rsid w:val="00AB043E"/>
    <w:rsid w:val="00AB0471"/>
    <w:rsid w:val="00AB064F"/>
    <w:rsid w:val="00AB0658"/>
    <w:rsid w:val="00AB0833"/>
    <w:rsid w:val="00AB0A05"/>
    <w:rsid w:val="00AB0A74"/>
    <w:rsid w:val="00AB0AD2"/>
    <w:rsid w:val="00AB0AE6"/>
    <w:rsid w:val="00AB0B1E"/>
    <w:rsid w:val="00AB0D9F"/>
    <w:rsid w:val="00AB0DF3"/>
    <w:rsid w:val="00AB0F22"/>
    <w:rsid w:val="00AB127B"/>
    <w:rsid w:val="00AB1366"/>
    <w:rsid w:val="00AB1491"/>
    <w:rsid w:val="00AB1530"/>
    <w:rsid w:val="00AB19C8"/>
    <w:rsid w:val="00AB19CA"/>
    <w:rsid w:val="00AB1BA3"/>
    <w:rsid w:val="00AB1BB6"/>
    <w:rsid w:val="00AB1D34"/>
    <w:rsid w:val="00AB21FC"/>
    <w:rsid w:val="00AB2235"/>
    <w:rsid w:val="00AB242A"/>
    <w:rsid w:val="00AB2730"/>
    <w:rsid w:val="00AB29B7"/>
    <w:rsid w:val="00AB2A09"/>
    <w:rsid w:val="00AB2AE4"/>
    <w:rsid w:val="00AB2C94"/>
    <w:rsid w:val="00AB2D19"/>
    <w:rsid w:val="00AB2DFE"/>
    <w:rsid w:val="00AB2E06"/>
    <w:rsid w:val="00AB3026"/>
    <w:rsid w:val="00AB34FB"/>
    <w:rsid w:val="00AB3796"/>
    <w:rsid w:val="00AB3D1D"/>
    <w:rsid w:val="00AB3D44"/>
    <w:rsid w:val="00AB3DBB"/>
    <w:rsid w:val="00AB3E94"/>
    <w:rsid w:val="00AB3F04"/>
    <w:rsid w:val="00AB4010"/>
    <w:rsid w:val="00AB4355"/>
    <w:rsid w:val="00AB458C"/>
    <w:rsid w:val="00AB4703"/>
    <w:rsid w:val="00AB480F"/>
    <w:rsid w:val="00AB4859"/>
    <w:rsid w:val="00AB498C"/>
    <w:rsid w:val="00AB49F9"/>
    <w:rsid w:val="00AB4A57"/>
    <w:rsid w:val="00AB4B21"/>
    <w:rsid w:val="00AB4CC6"/>
    <w:rsid w:val="00AB4CC7"/>
    <w:rsid w:val="00AB4EAB"/>
    <w:rsid w:val="00AB4EC0"/>
    <w:rsid w:val="00AB4FAD"/>
    <w:rsid w:val="00AB50F6"/>
    <w:rsid w:val="00AB543B"/>
    <w:rsid w:val="00AB55FD"/>
    <w:rsid w:val="00AB5651"/>
    <w:rsid w:val="00AB56FE"/>
    <w:rsid w:val="00AB5738"/>
    <w:rsid w:val="00AB57A6"/>
    <w:rsid w:val="00AB5950"/>
    <w:rsid w:val="00AB59CD"/>
    <w:rsid w:val="00AB5A57"/>
    <w:rsid w:val="00AB5C37"/>
    <w:rsid w:val="00AB5C96"/>
    <w:rsid w:val="00AB5EC0"/>
    <w:rsid w:val="00AB6066"/>
    <w:rsid w:val="00AB6250"/>
    <w:rsid w:val="00AB65DA"/>
    <w:rsid w:val="00AB6883"/>
    <w:rsid w:val="00AB696D"/>
    <w:rsid w:val="00AB6B00"/>
    <w:rsid w:val="00AB6CB0"/>
    <w:rsid w:val="00AB6DCD"/>
    <w:rsid w:val="00AB7170"/>
    <w:rsid w:val="00AB7525"/>
    <w:rsid w:val="00AB759B"/>
    <w:rsid w:val="00AB7764"/>
    <w:rsid w:val="00AB7866"/>
    <w:rsid w:val="00AB78A0"/>
    <w:rsid w:val="00AB7A4F"/>
    <w:rsid w:val="00AB7ADB"/>
    <w:rsid w:val="00AB7C13"/>
    <w:rsid w:val="00AB7C3D"/>
    <w:rsid w:val="00AB7DB2"/>
    <w:rsid w:val="00AB7E29"/>
    <w:rsid w:val="00AC029F"/>
    <w:rsid w:val="00AC07B1"/>
    <w:rsid w:val="00AC0AC4"/>
    <w:rsid w:val="00AC0C96"/>
    <w:rsid w:val="00AC0CA3"/>
    <w:rsid w:val="00AC0DA5"/>
    <w:rsid w:val="00AC0EE5"/>
    <w:rsid w:val="00AC112A"/>
    <w:rsid w:val="00AC128C"/>
    <w:rsid w:val="00AC1306"/>
    <w:rsid w:val="00AC1337"/>
    <w:rsid w:val="00AC1551"/>
    <w:rsid w:val="00AC15E4"/>
    <w:rsid w:val="00AC17AB"/>
    <w:rsid w:val="00AC1AEA"/>
    <w:rsid w:val="00AC1E10"/>
    <w:rsid w:val="00AC1EC1"/>
    <w:rsid w:val="00AC2133"/>
    <w:rsid w:val="00AC2379"/>
    <w:rsid w:val="00AC23C6"/>
    <w:rsid w:val="00AC260F"/>
    <w:rsid w:val="00AC2699"/>
    <w:rsid w:val="00AC2816"/>
    <w:rsid w:val="00AC2AAA"/>
    <w:rsid w:val="00AC2ABE"/>
    <w:rsid w:val="00AC2B38"/>
    <w:rsid w:val="00AC2CCA"/>
    <w:rsid w:val="00AC2D9D"/>
    <w:rsid w:val="00AC2EB0"/>
    <w:rsid w:val="00AC2EE0"/>
    <w:rsid w:val="00AC2F67"/>
    <w:rsid w:val="00AC32B5"/>
    <w:rsid w:val="00AC34E7"/>
    <w:rsid w:val="00AC3568"/>
    <w:rsid w:val="00AC386B"/>
    <w:rsid w:val="00AC3A5E"/>
    <w:rsid w:val="00AC3D78"/>
    <w:rsid w:val="00AC3F59"/>
    <w:rsid w:val="00AC40EF"/>
    <w:rsid w:val="00AC4299"/>
    <w:rsid w:val="00AC43E0"/>
    <w:rsid w:val="00AC4616"/>
    <w:rsid w:val="00AC4862"/>
    <w:rsid w:val="00AC497F"/>
    <w:rsid w:val="00AC4B40"/>
    <w:rsid w:val="00AC4DB9"/>
    <w:rsid w:val="00AC4FA7"/>
    <w:rsid w:val="00AC5316"/>
    <w:rsid w:val="00AC53CA"/>
    <w:rsid w:val="00AC5762"/>
    <w:rsid w:val="00AC581B"/>
    <w:rsid w:val="00AC5AC3"/>
    <w:rsid w:val="00AC5F42"/>
    <w:rsid w:val="00AC5FD5"/>
    <w:rsid w:val="00AC6090"/>
    <w:rsid w:val="00AC60C8"/>
    <w:rsid w:val="00AC6291"/>
    <w:rsid w:val="00AC63C1"/>
    <w:rsid w:val="00AC64CE"/>
    <w:rsid w:val="00AC64EB"/>
    <w:rsid w:val="00AC6552"/>
    <w:rsid w:val="00AC656E"/>
    <w:rsid w:val="00AC67A6"/>
    <w:rsid w:val="00AC6877"/>
    <w:rsid w:val="00AC68E8"/>
    <w:rsid w:val="00AC6CF4"/>
    <w:rsid w:val="00AC6DD8"/>
    <w:rsid w:val="00AC6FFE"/>
    <w:rsid w:val="00AC70B8"/>
    <w:rsid w:val="00AC71B4"/>
    <w:rsid w:val="00AC732B"/>
    <w:rsid w:val="00AC7459"/>
    <w:rsid w:val="00AC7510"/>
    <w:rsid w:val="00AC7699"/>
    <w:rsid w:val="00AC76C7"/>
    <w:rsid w:val="00AC77FF"/>
    <w:rsid w:val="00AC783F"/>
    <w:rsid w:val="00AC7857"/>
    <w:rsid w:val="00AC796A"/>
    <w:rsid w:val="00AC79D6"/>
    <w:rsid w:val="00AC7B70"/>
    <w:rsid w:val="00AC7CA9"/>
    <w:rsid w:val="00AC7D78"/>
    <w:rsid w:val="00AD00E1"/>
    <w:rsid w:val="00AD02CE"/>
    <w:rsid w:val="00AD0517"/>
    <w:rsid w:val="00AD05FC"/>
    <w:rsid w:val="00AD0861"/>
    <w:rsid w:val="00AD0A4E"/>
    <w:rsid w:val="00AD0B1D"/>
    <w:rsid w:val="00AD0B3B"/>
    <w:rsid w:val="00AD0B52"/>
    <w:rsid w:val="00AD0BB9"/>
    <w:rsid w:val="00AD0D22"/>
    <w:rsid w:val="00AD0D3E"/>
    <w:rsid w:val="00AD1039"/>
    <w:rsid w:val="00AD12B2"/>
    <w:rsid w:val="00AD12F7"/>
    <w:rsid w:val="00AD146C"/>
    <w:rsid w:val="00AD14C9"/>
    <w:rsid w:val="00AD155E"/>
    <w:rsid w:val="00AD181D"/>
    <w:rsid w:val="00AD185D"/>
    <w:rsid w:val="00AD187F"/>
    <w:rsid w:val="00AD1924"/>
    <w:rsid w:val="00AD196F"/>
    <w:rsid w:val="00AD1CB7"/>
    <w:rsid w:val="00AD1CF7"/>
    <w:rsid w:val="00AD1D2D"/>
    <w:rsid w:val="00AD1F31"/>
    <w:rsid w:val="00AD1FBC"/>
    <w:rsid w:val="00AD226D"/>
    <w:rsid w:val="00AD2336"/>
    <w:rsid w:val="00AD23B7"/>
    <w:rsid w:val="00AD23EB"/>
    <w:rsid w:val="00AD288D"/>
    <w:rsid w:val="00AD29B4"/>
    <w:rsid w:val="00AD2D12"/>
    <w:rsid w:val="00AD2DDE"/>
    <w:rsid w:val="00AD2DEC"/>
    <w:rsid w:val="00AD2E45"/>
    <w:rsid w:val="00AD3107"/>
    <w:rsid w:val="00AD3223"/>
    <w:rsid w:val="00AD3239"/>
    <w:rsid w:val="00AD333F"/>
    <w:rsid w:val="00AD36F7"/>
    <w:rsid w:val="00AD392F"/>
    <w:rsid w:val="00AD39EE"/>
    <w:rsid w:val="00AD3B35"/>
    <w:rsid w:val="00AD3D73"/>
    <w:rsid w:val="00AD3DBC"/>
    <w:rsid w:val="00AD3FA2"/>
    <w:rsid w:val="00AD4043"/>
    <w:rsid w:val="00AD428A"/>
    <w:rsid w:val="00AD42CB"/>
    <w:rsid w:val="00AD439D"/>
    <w:rsid w:val="00AD43DF"/>
    <w:rsid w:val="00AD447D"/>
    <w:rsid w:val="00AD45AE"/>
    <w:rsid w:val="00AD46FC"/>
    <w:rsid w:val="00AD470E"/>
    <w:rsid w:val="00AD49DF"/>
    <w:rsid w:val="00AD4B79"/>
    <w:rsid w:val="00AD4C8A"/>
    <w:rsid w:val="00AD4E8B"/>
    <w:rsid w:val="00AD4F86"/>
    <w:rsid w:val="00AD4F9B"/>
    <w:rsid w:val="00AD518C"/>
    <w:rsid w:val="00AD5389"/>
    <w:rsid w:val="00AD554D"/>
    <w:rsid w:val="00AD556D"/>
    <w:rsid w:val="00AD58D3"/>
    <w:rsid w:val="00AD5A66"/>
    <w:rsid w:val="00AD5E72"/>
    <w:rsid w:val="00AD6029"/>
    <w:rsid w:val="00AD60BC"/>
    <w:rsid w:val="00AD661A"/>
    <w:rsid w:val="00AD67D6"/>
    <w:rsid w:val="00AD6882"/>
    <w:rsid w:val="00AD6E01"/>
    <w:rsid w:val="00AD71EB"/>
    <w:rsid w:val="00AD722E"/>
    <w:rsid w:val="00AD7542"/>
    <w:rsid w:val="00AD760E"/>
    <w:rsid w:val="00AD78EE"/>
    <w:rsid w:val="00AD79DB"/>
    <w:rsid w:val="00AD7B44"/>
    <w:rsid w:val="00AD7C72"/>
    <w:rsid w:val="00AD7D87"/>
    <w:rsid w:val="00AD7FD1"/>
    <w:rsid w:val="00AE018A"/>
    <w:rsid w:val="00AE01B5"/>
    <w:rsid w:val="00AE0358"/>
    <w:rsid w:val="00AE0410"/>
    <w:rsid w:val="00AE0502"/>
    <w:rsid w:val="00AE08F3"/>
    <w:rsid w:val="00AE0E80"/>
    <w:rsid w:val="00AE0FBA"/>
    <w:rsid w:val="00AE0FE1"/>
    <w:rsid w:val="00AE105F"/>
    <w:rsid w:val="00AE161E"/>
    <w:rsid w:val="00AE1684"/>
    <w:rsid w:val="00AE18D0"/>
    <w:rsid w:val="00AE198E"/>
    <w:rsid w:val="00AE1B6A"/>
    <w:rsid w:val="00AE1B88"/>
    <w:rsid w:val="00AE1CED"/>
    <w:rsid w:val="00AE21D9"/>
    <w:rsid w:val="00AE2609"/>
    <w:rsid w:val="00AE29DC"/>
    <w:rsid w:val="00AE2CAA"/>
    <w:rsid w:val="00AE304C"/>
    <w:rsid w:val="00AE32C5"/>
    <w:rsid w:val="00AE3374"/>
    <w:rsid w:val="00AE339D"/>
    <w:rsid w:val="00AE33CC"/>
    <w:rsid w:val="00AE3406"/>
    <w:rsid w:val="00AE350C"/>
    <w:rsid w:val="00AE3645"/>
    <w:rsid w:val="00AE37F1"/>
    <w:rsid w:val="00AE38C6"/>
    <w:rsid w:val="00AE38E7"/>
    <w:rsid w:val="00AE3926"/>
    <w:rsid w:val="00AE39FE"/>
    <w:rsid w:val="00AE3A30"/>
    <w:rsid w:val="00AE3A9E"/>
    <w:rsid w:val="00AE3BE9"/>
    <w:rsid w:val="00AE3CCC"/>
    <w:rsid w:val="00AE3FA9"/>
    <w:rsid w:val="00AE3FD9"/>
    <w:rsid w:val="00AE3FDF"/>
    <w:rsid w:val="00AE402B"/>
    <w:rsid w:val="00AE404D"/>
    <w:rsid w:val="00AE4228"/>
    <w:rsid w:val="00AE4399"/>
    <w:rsid w:val="00AE444E"/>
    <w:rsid w:val="00AE445B"/>
    <w:rsid w:val="00AE44F3"/>
    <w:rsid w:val="00AE44FE"/>
    <w:rsid w:val="00AE454A"/>
    <w:rsid w:val="00AE4571"/>
    <w:rsid w:val="00AE4582"/>
    <w:rsid w:val="00AE45A5"/>
    <w:rsid w:val="00AE45E7"/>
    <w:rsid w:val="00AE47C8"/>
    <w:rsid w:val="00AE47D1"/>
    <w:rsid w:val="00AE48D6"/>
    <w:rsid w:val="00AE4A2C"/>
    <w:rsid w:val="00AE4AAE"/>
    <w:rsid w:val="00AE51AE"/>
    <w:rsid w:val="00AE51E5"/>
    <w:rsid w:val="00AE52BC"/>
    <w:rsid w:val="00AE536C"/>
    <w:rsid w:val="00AE53B4"/>
    <w:rsid w:val="00AE53ED"/>
    <w:rsid w:val="00AE5493"/>
    <w:rsid w:val="00AE54A3"/>
    <w:rsid w:val="00AE55A7"/>
    <w:rsid w:val="00AE5606"/>
    <w:rsid w:val="00AE5614"/>
    <w:rsid w:val="00AE5A79"/>
    <w:rsid w:val="00AE5D59"/>
    <w:rsid w:val="00AE5E90"/>
    <w:rsid w:val="00AE60BD"/>
    <w:rsid w:val="00AE633D"/>
    <w:rsid w:val="00AE64FA"/>
    <w:rsid w:val="00AE6739"/>
    <w:rsid w:val="00AE6760"/>
    <w:rsid w:val="00AE6859"/>
    <w:rsid w:val="00AE68D6"/>
    <w:rsid w:val="00AE6931"/>
    <w:rsid w:val="00AE69FD"/>
    <w:rsid w:val="00AE6E3D"/>
    <w:rsid w:val="00AE6FF8"/>
    <w:rsid w:val="00AE71D8"/>
    <w:rsid w:val="00AE7279"/>
    <w:rsid w:val="00AE73FA"/>
    <w:rsid w:val="00AE76DE"/>
    <w:rsid w:val="00AE77AC"/>
    <w:rsid w:val="00AE79FA"/>
    <w:rsid w:val="00AE7A67"/>
    <w:rsid w:val="00AE7ABB"/>
    <w:rsid w:val="00AE7AC2"/>
    <w:rsid w:val="00AE7EE4"/>
    <w:rsid w:val="00AE7FF5"/>
    <w:rsid w:val="00AF00AF"/>
    <w:rsid w:val="00AF00F0"/>
    <w:rsid w:val="00AF02FA"/>
    <w:rsid w:val="00AF0398"/>
    <w:rsid w:val="00AF0420"/>
    <w:rsid w:val="00AF044A"/>
    <w:rsid w:val="00AF050B"/>
    <w:rsid w:val="00AF0A59"/>
    <w:rsid w:val="00AF0B5D"/>
    <w:rsid w:val="00AF0C6C"/>
    <w:rsid w:val="00AF0DEF"/>
    <w:rsid w:val="00AF0E7E"/>
    <w:rsid w:val="00AF0EE4"/>
    <w:rsid w:val="00AF1217"/>
    <w:rsid w:val="00AF125C"/>
    <w:rsid w:val="00AF12DF"/>
    <w:rsid w:val="00AF1307"/>
    <w:rsid w:val="00AF13AE"/>
    <w:rsid w:val="00AF1758"/>
    <w:rsid w:val="00AF1787"/>
    <w:rsid w:val="00AF19A4"/>
    <w:rsid w:val="00AF19C8"/>
    <w:rsid w:val="00AF1A5A"/>
    <w:rsid w:val="00AF1C88"/>
    <w:rsid w:val="00AF1E2A"/>
    <w:rsid w:val="00AF201F"/>
    <w:rsid w:val="00AF2073"/>
    <w:rsid w:val="00AF20AA"/>
    <w:rsid w:val="00AF2201"/>
    <w:rsid w:val="00AF2271"/>
    <w:rsid w:val="00AF227A"/>
    <w:rsid w:val="00AF236A"/>
    <w:rsid w:val="00AF2484"/>
    <w:rsid w:val="00AF2528"/>
    <w:rsid w:val="00AF27DC"/>
    <w:rsid w:val="00AF2966"/>
    <w:rsid w:val="00AF2A90"/>
    <w:rsid w:val="00AF2B55"/>
    <w:rsid w:val="00AF2C3B"/>
    <w:rsid w:val="00AF2CBC"/>
    <w:rsid w:val="00AF2E81"/>
    <w:rsid w:val="00AF2E9D"/>
    <w:rsid w:val="00AF3230"/>
    <w:rsid w:val="00AF34DB"/>
    <w:rsid w:val="00AF38D0"/>
    <w:rsid w:val="00AF3E8F"/>
    <w:rsid w:val="00AF3EBA"/>
    <w:rsid w:val="00AF4231"/>
    <w:rsid w:val="00AF4403"/>
    <w:rsid w:val="00AF44F9"/>
    <w:rsid w:val="00AF47D6"/>
    <w:rsid w:val="00AF48AB"/>
    <w:rsid w:val="00AF48BD"/>
    <w:rsid w:val="00AF490A"/>
    <w:rsid w:val="00AF495F"/>
    <w:rsid w:val="00AF4C16"/>
    <w:rsid w:val="00AF4E58"/>
    <w:rsid w:val="00AF4F68"/>
    <w:rsid w:val="00AF4F8A"/>
    <w:rsid w:val="00AF50F9"/>
    <w:rsid w:val="00AF5231"/>
    <w:rsid w:val="00AF5307"/>
    <w:rsid w:val="00AF5373"/>
    <w:rsid w:val="00AF53D2"/>
    <w:rsid w:val="00AF5627"/>
    <w:rsid w:val="00AF56A2"/>
    <w:rsid w:val="00AF56E6"/>
    <w:rsid w:val="00AF57F1"/>
    <w:rsid w:val="00AF5968"/>
    <w:rsid w:val="00AF5BD4"/>
    <w:rsid w:val="00AF5DB6"/>
    <w:rsid w:val="00AF6239"/>
    <w:rsid w:val="00AF6767"/>
    <w:rsid w:val="00AF67DF"/>
    <w:rsid w:val="00AF67E2"/>
    <w:rsid w:val="00AF692F"/>
    <w:rsid w:val="00AF69CA"/>
    <w:rsid w:val="00AF6A69"/>
    <w:rsid w:val="00AF6AA2"/>
    <w:rsid w:val="00AF6C7D"/>
    <w:rsid w:val="00AF6DC3"/>
    <w:rsid w:val="00AF7070"/>
    <w:rsid w:val="00AF714D"/>
    <w:rsid w:val="00AF7197"/>
    <w:rsid w:val="00AF720A"/>
    <w:rsid w:val="00AF7596"/>
    <w:rsid w:val="00AF7634"/>
    <w:rsid w:val="00AF779D"/>
    <w:rsid w:val="00AF77DA"/>
    <w:rsid w:val="00AF7886"/>
    <w:rsid w:val="00AF7961"/>
    <w:rsid w:val="00AF79D2"/>
    <w:rsid w:val="00AF7D25"/>
    <w:rsid w:val="00B0015C"/>
    <w:rsid w:val="00B00309"/>
    <w:rsid w:val="00B004F6"/>
    <w:rsid w:val="00B0050E"/>
    <w:rsid w:val="00B0065F"/>
    <w:rsid w:val="00B00AD4"/>
    <w:rsid w:val="00B00AFD"/>
    <w:rsid w:val="00B00B40"/>
    <w:rsid w:val="00B00DD2"/>
    <w:rsid w:val="00B0105E"/>
    <w:rsid w:val="00B01212"/>
    <w:rsid w:val="00B0139E"/>
    <w:rsid w:val="00B015B0"/>
    <w:rsid w:val="00B018FC"/>
    <w:rsid w:val="00B019E6"/>
    <w:rsid w:val="00B01AA1"/>
    <w:rsid w:val="00B01BD0"/>
    <w:rsid w:val="00B01C7C"/>
    <w:rsid w:val="00B01E38"/>
    <w:rsid w:val="00B01E53"/>
    <w:rsid w:val="00B020AC"/>
    <w:rsid w:val="00B0221B"/>
    <w:rsid w:val="00B02539"/>
    <w:rsid w:val="00B025E0"/>
    <w:rsid w:val="00B025FB"/>
    <w:rsid w:val="00B02643"/>
    <w:rsid w:val="00B027BA"/>
    <w:rsid w:val="00B02B85"/>
    <w:rsid w:val="00B030C1"/>
    <w:rsid w:val="00B032C8"/>
    <w:rsid w:val="00B0330E"/>
    <w:rsid w:val="00B03355"/>
    <w:rsid w:val="00B034F9"/>
    <w:rsid w:val="00B03616"/>
    <w:rsid w:val="00B03741"/>
    <w:rsid w:val="00B03781"/>
    <w:rsid w:val="00B0382C"/>
    <w:rsid w:val="00B03853"/>
    <w:rsid w:val="00B03943"/>
    <w:rsid w:val="00B03BE0"/>
    <w:rsid w:val="00B03C07"/>
    <w:rsid w:val="00B03E14"/>
    <w:rsid w:val="00B03E22"/>
    <w:rsid w:val="00B03EF0"/>
    <w:rsid w:val="00B0405F"/>
    <w:rsid w:val="00B04091"/>
    <w:rsid w:val="00B04112"/>
    <w:rsid w:val="00B041E2"/>
    <w:rsid w:val="00B0420B"/>
    <w:rsid w:val="00B042B8"/>
    <w:rsid w:val="00B042CE"/>
    <w:rsid w:val="00B0440C"/>
    <w:rsid w:val="00B044DB"/>
    <w:rsid w:val="00B04780"/>
    <w:rsid w:val="00B0485F"/>
    <w:rsid w:val="00B04D28"/>
    <w:rsid w:val="00B04E1B"/>
    <w:rsid w:val="00B04F78"/>
    <w:rsid w:val="00B05099"/>
    <w:rsid w:val="00B050E2"/>
    <w:rsid w:val="00B051CB"/>
    <w:rsid w:val="00B051D3"/>
    <w:rsid w:val="00B05662"/>
    <w:rsid w:val="00B056DB"/>
    <w:rsid w:val="00B056F2"/>
    <w:rsid w:val="00B05882"/>
    <w:rsid w:val="00B05B0C"/>
    <w:rsid w:val="00B05B86"/>
    <w:rsid w:val="00B05C3E"/>
    <w:rsid w:val="00B05D53"/>
    <w:rsid w:val="00B05F7C"/>
    <w:rsid w:val="00B060C8"/>
    <w:rsid w:val="00B0612B"/>
    <w:rsid w:val="00B06217"/>
    <w:rsid w:val="00B06274"/>
    <w:rsid w:val="00B063F6"/>
    <w:rsid w:val="00B0668E"/>
    <w:rsid w:val="00B06847"/>
    <w:rsid w:val="00B06CFC"/>
    <w:rsid w:val="00B07456"/>
    <w:rsid w:val="00B0746E"/>
    <w:rsid w:val="00B074A2"/>
    <w:rsid w:val="00B07713"/>
    <w:rsid w:val="00B07789"/>
    <w:rsid w:val="00B0786A"/>
    <w:rsid w:val="00B07988"/>
    <w:rsid w:val="00B07A06"/>
    <w:rsid w:val="00B07A50"/>
    <w:rsid w:val="00B07AA0"/>
    <w:rsid w:val="00B07C78"/>
    <w:rsid w:val="00B07EF1"/>
    <w:rsid w:val="00B10013"/>
    <w:rsid w:val="00B10034"/>
    <w:rsid w:val="00B1017E"/>
    <w:rsid w:val="00B102C5"/>
    <w:rsid w:val="00B1036B"/>
    <w:rsid w:val="00B1045D"/>
    <w:rsid w:val="00B10EA8"/>
    <w:rsid w:val="00B1121A"/>
    <w:rsid w:val="00B112B2"/>
    <w:rsid w:val="00B1143C"/>
    <w:rsid w:val="00B115B1"/>
    <w:rsid w:val="00B115C9"/>
    <w:rsid w:val="00B11809"/>
    <w:rsid w:val="00B118EB"/>
    <w:rsid w:val="00B11A6B"/>
    <w:rsid w:val="00B11C2F"/>
    <w:rsid w:val="00B11CC3"/>
    <w:rsid w:val="00B11CD0"/>
    <w:rsid w:val="00B11D19"/>
    <w:rsid w:val="00B11E1D"/>
    <w:rsid w:val="00B11FFA"/>
    <w:rsid w:val="00B12106"/>
    <w:rsid w:val="00B121F6"/>
    <w:rsid w:val="00B121F7"/>
    <w:rsid w:val="00B12250"/>
    <w:rsid w:val="00B122CA"/>
    <w:rsid w:val="00B122DE"/>
    <w:rsid w:val="00B1233C"/>
    <w:rsid w:val="00B12388"/>
    <w:rsid w:val="00B123AA"/>
    <w:rsid w:val="00B123AC"/>
    <w:rsid w:val="00B12407"/>
    <w:rsid w:val="00B125C1"/>
    <w:rsid w:val="00B125DE"/>
    <w:rsid w:val="00B12777"/>
    <w:rsid w:val="00B1280D"/>
    <w:rsid w:val="00B129E3"/>
    <w:rsid w:val="00B12A6A"/>
    <w:rsid w:val="00B12AA0"/>
    <w:rsid w:val="00B12AB6"/>
    <w:rsid w:val="00B12B2A"/>
    <w:rsid w:val="00B12B5E"/>
    <w:rsid w:val="00B12B74"/>
    <w:rsid w:val="00B12C2C"/>
    <w:rsid w:val="00B12CAB"/>
    <w:rsid w:val="00B12F7F"/>
    <w:rsid w:val="00B12F87"/>
    <w:rsid w:val="00B13074"/>
    <w:rsid w:val="00B130F0"/>
    <w:rsid w:val="00B13248"/>
    <w:rsid w:val="00B1339F"/>
    <w:rsid w:val="00B133BC"/>
    <w:rsid w:val="00B134FD"/>
    <w:rsid w:val="00B1354C"/>
    <w:rsid w:val="00B1362D"/>
    <w:rsid w:val="00B13723"/>
    <w:rsid w:val="00B1374F"/>
    <w:rsid w:val="00B139EF"/>
    <w:rsid w:val="00B13A19"/>
    <w:rsid w:val="00B13B4E"/>
    <w:rsid w:val="00B13C30"/>
    <w:rsid w:val="00B13C74"/>
    <w:rsid w:val="00B13FBE"/>
    <w:rsid w:val="00B14086"/>
    <w:rsid w:val="00B1419B"/>
    <w:rsid w:val="00B142CE"/>
    <w:rsid w:val="00B143B9"/>
    <w:rsid w:val="00B1470C"/>
    <w:rsid w:val="00B1478E"/>
    <w:rsid w:val="00B14AE6"/>
    <w:rsid w:val="00B14C2D"/>
    <w:rsid w:val="00B14C9F"/>
    <w:rsid w:val="00B1505A"/>
    <w:rsid w:val="00B1533A"/>
    <w:rsid w:val="00B15468"/>
    <w:rsid w:val="00B15675"/>
    <w:rsid w:val="00B15761"/>
    <w:rsid w:val="00B15AA6"/>
    <w:rsid w:val="00B15B3C"/>
    <w:rsid w:val="00B15B8F"/>
    <w:rsid w:val="00B15C32"/>
    <w:rsid w:val="00B15F64"/>
    <w:rsid w:val="00B16312"/>
    <w:rsid w:val="00B1632A"/>
    <w:rsid w:val="00B1633C"/>
    <w:rsid w:val="00B163FC"/>
    <w:rsid w:val="00B16442"/>
    <w:rsid w:val="00B164CC"/>
    <w:rsid w:val="00B16542"/>
    <w:rsid w:val="00B1659A"/>
    <w:rsid w:val="00B1665A"/>
    <w:rsid w:val="00B166A6"/>
    <w:rsid w:val="00B167DC"/>
    <w:rsid w:val="00B16A6B"/>
    <w:rsid w:val="00B16B79"/>
    <w:rsid w:val="00B16BF1"/>
    <w:rsid w:val="00B16D8B"/>
    <w:rsid w:val="00B17214"/>
    <w:rsid w:val="00B173A9"/>
    <w:rsid w:val="00B174D5"/>
    <w:rsid w:val="00B17724"/>
    <w:rsid w:val="00B179EC"/>
    <w:rsid w:val="00B179EF"/>
    <w:rsid w:val="00B17B5A"/>
    <w:rsid w:val="00B17C1F"/>
    <w:rsid w:val="00B17DBA"/>
    <w:rsid w:val="00B17E14"/>
    <w:rsid w:val="00B17ED7"/>
    <w:rsid w:val="00B17FB8"/>
    <w:rsid w:val="00B201AB"/>
    <w:rsid w:val="00B20470"/>
    <w:rsid w:val="00B206CD"/>
    <w:rsid w:val="00B207DC"/>
    <w:rsid w:val="00B207FF"/>
    <w:rsid w:val="00B2084A"/>
    <w:rsid w:val="00B2093A"/>
    <w:rsid w:val="00B20949"/>
    <w:rsid w:val="00B209CF"/>
    <w:rsid w:val="00B20AF0"/>
    <w:rsid w:val="00B20B35"/>
    <w:rsid w:val="00B20CD1"/>
    <w:rsid w:val="00B21068"/>
    <w:rsid w:val="00B211C6"/>
    <w:rsid w:val="00B2125C"/>
    <w:rsid w:val="00B2129D"/>
    <w:rsid w:val="00B212F4"/>
    <w:rsid w:val="00B21519"/>
    <w:rsid w:val="00B219D9"/>
    <w:rsid w:val="00B21B70"/>
    <w:rsid w:val="00B21BF8"/>
    <w:rsid w:val="00B21D3B"/>
    <w:rsid w:val="00B21DA6"/>
    <w:rsid w:val="00B21E89"/>
    <w:rsid w:val="00B21ED3"/>
    <w:rsid w:val="00B21FD4"/>
    <w:rsid w:val="00B21FEC"/>
    <w:rsid w:val="00B2227B"/>
    <w:rsid w:val="00B22354"/>
    <w:rsid w:val="00B2256B"/>
    <w:rsid w:val="00B226F7"/>
    <w:rsid w:val="00B227AA"/>
    <w:rsid w:val="00B22840"/>
    <w:rsid w:val="00B22885"/>
    <w:rsid w:val="00B22924"/>
    <w:rsid w:val="00B2296F"/>
    <w:rsid w:val="00B22A28"/>
    <w:rsid w:val="00B22AAD"/>
    <w:rsid w:val="00B22AB5"/>
    <w:rsid w:val="00B22AE4"/>
    <w:rsid w:val="00B22B39"/>
    <w:rsid w:val="00B22CE1"/>
    <w:rsid w:val="00B22D77"/>
    <w:rsid w:val="00B22E9D"/>
    <w:rsid w:val="00B22EF1"/>
    <w:rsid w:val="00B22F9C"/>
    <w:rsid w:val="00B22FF3"/>
    <w:rsid w:val="00B232C6"/>
    <w:rsid w:val="00B23462"/>
    <w:rsid w:val="00B235CA"/>
    <w:rsid w:val="00B23607"/>
    <w:rsid w:val="00B2367A"/>
    <w:rsid w:val="00B236DF"/>
    <w:rsid w:val="00B23794"/>
    <w:rsid w:val="00B23887"/>
    <w:rsid w:val="00B238D0"/>
    <w:rsid w:val="00B2398A"/>
    <w:rsid w:val="00B23AC7"/>
    <w:rsid w:val="00B23E16"/>
    <w:rsid w:val="00B23E31"/>
    <w:rsid w:val="00B23F96"/>
    <w:rsid w:val="00B240CA"/>
    <w:rsid w:val="00B24119"/>
    <w:rsid w:val="00B2425B"/>
    <w:rsid w:val="00B242BF"/>
    <w:rsid w:val="00B2437A"/>
    <w:rsid w:val="00B244E2"/>
    <w:rsid w:val="00B247EC"/>
    <w:rsid w:val="00B2481F"/>
    <w:rsid w:val="00B24A1C"/>
    <w:rsid w:val="00B24A2A"/>
    <w:rsid w:val="00B24A44"/>
    <w:rsid w:val="00B24DB5"/>
    <w:rsid w:val="00B24E8F"/>
    <w:rsid w:val="00B252C8"/>
    <w:rsid w:val="00B252EF"/>
    <w:rsid w:val="00B253A3"/>
    <w:rsid w:val="00B25480"/>
    <w:rsid w:val="00B255D5"/>
    <w:rsid w:val="00B255DF"/>
    <w:rsid w:val="00B2575C"/>
    <w:rsid w:val="00B257F5"/>
    <w:rsid w:val="00B25B64"/>
    <w:rsid w:val="00B25CC5"/>
    <w:rsid w:val="00B25CDA"/>
    <w:rsid w:val="00B25D2E"/>
    <w:rsid w:val="00B25D47"/>
    <w:rsid w:val="00B25D5F"/>
    <w:rsid w:val="00B26009"/>
    <w:rsid w:val="00B2600D"/>
    <w:rsid w:val="00B2613A"/>
    <w:rsid w:val="00B261B0"/>
    <w:rsid w:val="00B261E8"/>
    <w:rsid w:val="00B262DB"/>
    <w:rsid w:val="00B264E5"/>
    <w:rsid w:val="00B2659E"/>
    <w:rsid w:val="00B26633"/>
    <w:rsid w:val="00B2669C"/>
    <w:rsid w:val="00B26916"/>
    <w:rsid w:val="00B26A17"/>
    <w:rsid w:val="00B26C42"/>
    <w:rsid w:val="00B26C98"/>
    <w:rsid w:val="00B26CDA"/>
    <w:rsid w:val="00B26DAC"/>
    <w:rsid w:val="00B26E82"/>
    <w:rsid w:val="00B27092"/>
    <w:rsid w:val="00B27185"/>
    <w:rsid w:val="00B274F6"/>
    <w:rsid w:val="00B27687"/>
    <w:rsid w:val="00B278A8"/>
    <w:rsid w:val="00B27D1F"/>
    <w:rsid w:val="00B27EDD"/>
    <w:rsid w:val="00B27F55"/>
    <w:rsid w:val="00B30083"/>
    <w:rsid w:val="00B300C4"/>
    <w:rsid w:val="00B303B3"/>
    <w:rsid w:val="00B30848"/>
    <w:rsid w:val="00B308B6"/>
    <w:rsid w:val="00B309AB"/>
    <w:rsid w:val="00B30A93"/>
    <w:rsid w:val="00B30B48"/>
    <w:rsid w:val="00B30CD8"/>
    <w:rsid w:val="00B30E80"/>
    <w:rsid w:val="00B30F18"/>
    <w:rsid w:val="00B314DB"/>
    <w:rsid w:val="00B3153C"/>
    <w:rsid w:val="00B315F1"/>
    <w:rsid w:val="00B319AC"/>
    <w:rsid w:val="00B31A0C"/>
    <w:rsid w:val="00B31C0F"/>
    <w:rsid w:val="00B31D2D"/>
    <w:rsid w:val="00B323EC"/>
    <w:rsid w:val="00B32430"/>
    <w:rsid w:val="00B3269B"/>
    <w:rsid w:val="00B32829"/>
    <w:rsid w:val="00B32879"/>
    <w:rsid w:val="00B33202"/>
    <w:rsid w:val="00B3325C"/>
    <w:rsid w:val="00B33527"/>
    <w:rsid w:val="00B336EC"/>
    <w:rsid w:val="00B33A92"/>
    <w:rsid w:val="00B33D38"/>
    <w:rsid w:val="00B33D60"/>
    <w:rsid w:val="00B33D6A"/>
    <w:rsid w:val="00B33D88"/>
    <w:rsid w:val="00B33F9E"/>
    <w:rsid w:val="00B3421F"/>
    <w:rsid w:val="00B34433"/>
    <w:rsid w:val="00B34504"/>
    <w:rsid w:val="00B3451C"/>
    <w:rsid w:val="00B34591"/>
    <w:rsid w:val="00B3482A"/>
    <w:rsid w:val="00B3492C"/>
    <w:rsid w:val="00B34A50"/>
    <w:rsid w:val="00B34B0B"/>
    <w:rsid w:val="00B34B63"/>
    <w:rsid w:val="00B34EF3"/>
    <w:rsid w:val="00B35115"/>
    <w:rsid w:val="00B352DE"/>
    <w:rsid w:val="00B3532C"/>
    <w:rsid w:val="00B354CF"/>
    <w:rsid w:val="00B354F3"/>
    <w:rsid w:val="00B3552C"/>
    <w:rsid w:val="00B35546"/>
    <w:rsid w:val="00B3574E"/>
    <w:rsid w:val="00B35866"/>
    <w:rsid w:val="00B359DA"/>
    <w:rsid w:val="00B35D05"/>
    <w:rsid w:val="00B35E8A"/>
    <w:rsid w:val="00B35F04"/>
    <w:rsid w:val="00B35F55"/>
    <w:rsid w:val="00B35FE8"/>
    <w:rsid w:val="00B3617D"/>
    <w:rsid w:val="00B362D6"/>
    <w:rsid w:val="00B3652F"/>
    <w:rsid w:val="00B3669A"/>
    <w:rsid w:val="00B368A8"/>
    <w:rsid w:val="00B368F3"/>
    <w:rsid w:val="00B36C24"/>
    <w:rsid w:val="00B36D38"/>
    <w:rsid w:val="00B36DFE"/>
    <w:rsid w:val="00B372A6"/>
    <w:rsid w:val="00B3739B"/>
    <w:rsid w:val="00B37488"/>
    <w:rsid w:val="00B3755D"/>
    <w:rsid w:val="00B377F9"/>
    <w:rsid w:val="00B3790D"/>
    <w:rsid w:val="00B379B9"/>
    <w:rsid w:val="00B37AAE"/>
    <w:rsid w:val="00B37ADD"/>
    <w:rsid w:val="00B37BD7"/>
    <w:rsid w:val="00B37BDB"/>
    <w:rsid w:val="00B37C80"/>
    <w:rsid w:val="00B37D96"/>
    <w:rsid w:val="00B37DFB"/>
    <w:rsid w:val="00B37F56"/>
    <w:rsid w:val="00B40238"/>
    <w:rsid w:val="00B4028A"/>
    <w:rsid w:val="00B40413"/>
    <w:rsid w:val="00B407A7"/>
    <w:rsid w:val="00B40C9F"/>
    <w:rsid w:val="00B40CC1"/>
    <w:rsid w:val="00B40E8B"/>
    <w:rsid w:val="00B40EB2"/>
    <w:rsid w:val="00B40F3D"/>
    <w:rsid w:val="00B40F99"/>
    <w:rsid w:val="00B4119F"/>
    <w:rsid w:val="00B41385"/>
    <w:rsid w:val="00B413A8"/>
    <w:rsid w:val="00B413FB"/>
    <w:rsid w:val="00B414F9"/>
    <w:rsid w:val="00B4170F"/>
    <w:rsid w:val="00B419F8"/>
    <w:rsid w:val="00B41A26"/>
    <w:rsid w:val="00B41A41"/>
    <w:rsid w:val="00B41ADC"/>
    <w:rsid w:val="00B41CE8"/>
    <w:rsid w:val="00B41E9D"/>
    <w:rsid w:val="00B42103"/>
    <w:rsid w:val="00B4222E"/>
    <w:rsid w:val="00B422CC"/>
    <w:rsid w:val="00B42388"/>
    <w:rsid w:val="00B4262F"/>
    <w:rsid w:val="00B42707"/>
    <w:rsid w:val="00B42921"/>
    <w:rsid w:val="00B42E72"/>
    <w:rsid w:val="00B43022"/>
    <w:rsid w:val="00B43589"/>
    <w:rsid w:val="00B43705"/>
    <w:rsid w:val="00B437B5"/>
    <w:rsid w:val="00B437B8"/>
    <w:rsid w:val="00B43961"/>
    <w:rsid w:val="00B43B7F"/>
    <w:rsid w:val="00B43C50"/>
    <w:rsid w:val="00B43D2D"/>
    <w:rsid w:val="00B43DE6"/>
    <w:rsid w:val="00B4412F"/>
    <w:rsid w:val="00B44184"/>
    <w:rsid w:val="00B444BC"/>
    <w:rsid w:val="00B444C6"/>
    <w:rsid w:val="00B444E1"/>
    <w:rsid w:val="00B445A6"/>
    <w:rsid w:val="00B44876"/>
    <w:rsid w:val="00B448CA"/>
    <w:rsid w:val="00B448DD"/>
    <w:rsid w:val="00B44A27"/>
    <w:rsid w:val="00B44E0C"/>
    <w:rsid w:val="00B44EDF"/>
    <w:rsid w:val="00B44F78"/>
    <w:rsid w:val="00B45567"/>
    <w:rsid w:val="00B4557B"/>
    <w:rsid w:val="00B455D1"/>
    <w:rsid w:val="00B455DE"/>
    <w:rsid w:val="00B45680"/>
    <w:rsid w:val="00B457A8"/>
    <w:rsid w:val="00B45B9F"/>
    <w:rsid w:val="00B45DB3"/>
    <w:rsid w:val="00B45E0F"/>
    <w:rsid w:val="00B462AB"/>
    <w:rsid w:val="00B4630C"/>
    <w:rsid w:val="00B46373"/>
    <w:rsid w:val="00B465DB"/>
    <w:rsid w:val="00B4689E"/>
    <w:rsid w:val="00B468D9"/>
    <w:rsid w:val="00B469BF"/>
    <w:rsid w:val="00B46B26"/>
    <w:rsid w:val="00B46B6E"/>
    <w:rsid w:val="00B46C1C"/>
    <w:rsid w:val="00B46DCD"/>
    <w:rsid w:val="00B46EEC"/>
    <w:rsid w:val="00B46F88"/>
    <w:rsid w:val="00B47218"/>
    <w:rsid w:val="00B47309"/>
    <w:rsid w:val="00B47312"/>
    <w:rsid w:val="00B47355"/>
    <w:rsid w:val="00B475BE"/>
    <w:rsid w:val="00B475D9"/>
    <w:rsid w:val="00B4772E"/>
    <w:rsid w:val="00B477A3"/>
    <w:rsid w:val="00B4787B"/>
    <w:rsid w:val="00B478BE"/>
    <w:rsid w:val="00B47917"/>
    <w:rsid w:val="00B47AB7"/>
    <w:rsid w:val="00B47B0E"/>
    <w:rsid w:val="00B47E1B"/>
    <w:rsid w:val="00B47E20"/>
    <w:rsid w:val="00B500BB"/>
    <w:rsid w:val="00B500EF"/>
    <w:rsid w:val="00B50272"/>
    <w:rsid w:val="00B502BC"/>
    <w:rsid w:val="00B505CD"/>
    <w:rsid w:val="00B506B1"/>
    <w:rsid w:val="00B50791"/>
    <w:rsid w:val="00B50857"/>
    <w:rsid w:val="00B50875"/>
    <w:rsid w:val="00B50909"/>
    <w:rsid w:val="00B50BBC"/>
    <w:rsid w:val="00B50CC1"/>
    <w:rsid w:val="00B50EC6"/>
    <w:rsid w:val="00B50F2A"/>
    <w:rsid w:val="00B50F64"/>
    <w:rsid w:val="00B50F9E"/>
    <w:rsid w:val="00B511F5"/>
    <w:rsid w:val="00B5127B"/>
    <w:rsid w:val="00B514EE"/>
    <w:rsid w:val="00B515EB"/>
    <w:rsid w:val="00B51880"/>
    <w:rsid w:val="00B52147"/>
    <w:rsid w:val="00B521FC"/>
    <w:rsid w:val="00B523BA"/>
    <w:rsid w:val="00B52494"/>
    <w:rsid w:val="00B52A7F"/>
    <w:rsid w:val="00B52B44"/>
    <w:rsid w:val="00B52BE5"/>
    <w:rsid w:val="00B52E54"/>
    <w:rsid w:val="00B52E75"/>
    <w:rsid w:val="00B52EE0"/>
    <w:rsid w:val="00B53076"/>
    <w:rsid w:val="00B53092"/>
    <w:rsid w:val="00B5317B"/>
    <w:rsid w:val="00B532C0"/>
    <w:rsid w:val="00B53327"/>
    <w:rsid w:val="00B53444"/>
    <w:rsid w:val="00B53752"/>
    <w:rsid w:val="00B53958"/>
    <w:rsid w:val="00B53999"/>
    <w:rsid w:val="00B53D39"/>
    <w:rsid w:val="00B53DCA"/>
    <w:rsid w:val="00B53F29"/>
    <w:rsid w:val="00B54073"/>
    <w:rsid w:val="00B54083"/>
    <w:rsid w:val="00B540C2"/>
    <w:rsid w:val="00B54221"/>
    <w:rsid w:val="00B542BB"/>
    <w:rsid w:val="00B5453D"/>
    <w:rsid w:val="00B54578"/>
    <w:rsid w:val="00B5475E"/>
    <w:rsid w:val="00B54857"/>
    <w:rsid w:val="00B54ADD"/>
    <w:rsid w:val="00B54B36"/>
    <w:rsid w:val="00B55087"/>
    <w:rsid w:val="00B5542E"/>
    <w:rsid w:val="00B55865"/>
    <w:rsid w:val="00B55871"/>
    <w:rsid w:val="00B55990"/>
    <w:rsid w:val="00B559ED"/>
    <w:rsid w:val="00B55A27"/>
    <w:rsid w:val="00B55AEC"/>
    <w:rsid w:val="00B55B07"/>
    <w:rsid w:val="00B55D37"/>
    <w:rsid w:val="00B55D64"/>
    <w:rsid w:val="00B55F6E"/>
    <w:rsid w:val="00B560BA"/>
    <w:rsid w:val="00B5619C"/>
    <w:rsid w:val="00B5631F"/>
    <w:rsid w:val="00B56441"/>
    <w:rsid w:val="00B5656F"/>
    <w:rsid w:val="00B568EF"/>
    <w:rsid w:val="00B56A9D"/>
    <w:rsid w:val="00B56CFE"/>
    <w:rsid w:val="00B56D9D"/>
    <w:rsid w:val="00B56EA4"/>
    <w:rsid w:val="00B57231"/>
    <w:rsid w:val="00B57334"/>
    <w:rsid w:val="00B57561"/>
    <w:rsid w:val="00B57576"/>
    <w:rsid w:val="00B5758A"/>
    <w:rsid w:val="00B57593"/>
    <w:rsid w:val="00B57961"/>
    <w:rsid w:val="00B57A84"/>
    <w:rsid w:val="00B57B56"/>
    <w:rsid w:val="00B57B65"/>
    <w:rsid w:val="00B60048"/>
    <w:rsid w:val="00B600C8"/>
    <w:rsid w:val="00B6012B"/>
    <w:rsid w:val="00B6016D"/>
    <w:rsid w:val="00B6029A"/>
    <w:rsid w:val="00B6037F"/>
    <w:rsid w:val="00B60835"/>
    <w:rsid w:val="00B60B44"/>
    <w:rsid w:val="00B60C2F"/>
    <w:rsid w:val="00B60C87"/>
    <w:rsid w:val="00B60CBE"/>
    <w:rsid w:val="00B60FBD"/>
    <w:rsid w:val="00B612DA"/>
    <w:rsid w:val="00B6130A"/>
    <w:rsid w:val="00B61458"/>
    <w:rsid w:val="00B61597"/>
    <w:rsid w:val="00B615AC"/>
    <w:rsid w:val="00B6163C"/>
    <w:rsid w:val="00B61679"/>
    <w:rsid w:val="00B61702"/>
    <w:rsid w:val="00B618BD"/>
    <w:rsid w:val="00B61B0E"/>
    <w:rsid w:val="00B61E23"/>
    <w:rsid w:val="00B61F6B"/>
    <w:rsid w:val="00B622C6"/>
    <w:rsid w:val="00B622E0"/>
    <w:rsid w:val="00B62414"/>
    <w:rsid w:val="00B62517"/>
    <w:rsid w:val="00B6263A"/>
    <w:rsid w:val="00B627C6"/>
    <w:rsid w:val="00B627E3"/>
    <w:rsid w:val="00B62BB8"/>
    <w:rsid w:val="00B62C62"/>
    <w:rsid w:val="00B62CCF"/>
    <w:rsid w:val="00B62D3C"/>
    <w:rsid w:val="00B6379E"/>
    <w:rsid w:val="00B639D8"/>
    <w:rsid w:val="00B63A91"/>
    <w:rsid w:val="00B63C51"/>
    <w:rsid w:val="00B63EDF"/>
    <w:rsid w:val="00B63F42"/>
    <w:rsid w:val="00B63FE9"/>
    <w:rsid w:val="00B640D6"/>
    <w:rsid w:val="00B640F8"/>
    <w:rsid w:val="00B6417F"/>
    <w:rsid w:val="00B64228"/>
    <w:rsid w:val="00B64332"/>
    <w:rsid w:val="00B64407"/>
    <w:rsid w:val="00B64577"/>
    <w:rsid w:val="00B647FA"/>
    <w:rsid w:val="00B648DB"/>
    <w:rsid w:val="00B64AAC"/>
    <w:rsid w:val="00B64AD0"/>
    <w:rsid w:val="00B64B3C"/>
    <w:rsid w:val="00B64B72"/>
    <w:rsid w:val="00B64BE3"/>
    <w:rsid w:val="00B64E53"/>
    <w:rsid w:val="00B6526C"/>
    <w:rsid w:val="00B65373"/>
    <w:rsid w:val="00B6542A"/>
    <w:rsid w:val="00B6589E"/>
    <w:rsid w:val="00B658A0"/>
    <w:rsid w:val="00B6592B"/>
    <w:rsid w:val="00B65B10"/>
    <w:rsid w:val="00B65BE1"/>
    <w:rsid w:val="00B65C10"/>
    <w:rsid w:val="00B65EA9"/>
    <w:rsid w:val="00B65F98"/>
    <w:rsid w:val="00B66217"/>
    <w:rsid w:val="00B663E8"/>
    <w:rsid w:val="00B663F7"/>
    <w:rsid w:val="00B664FA"/>
    <w:rsid w:val="00B6674F"/>
    <w:rsid w:val="00B668E4"/>
    <w:rsid w:val="00B66903"/>
    <w:rsid w:val="00B66908"/>
    <w:rsid w:val="00B66C5C"/>
    <w:rsid w:val="00B66D28"/>
    <w:rsid w:val="00B66E78"/>
    <w:rsid w:val="00B67145"/>
    <w:rsid w:val="00B673B5"/>
    <w:rsid w:val="00B673FB"/>
    <w:rsid w:val="00B67516"/>
    <w:rsid w:val="00B67569"/>
    <w:rsid w:val="00B67589"/>
    <w:rsid w:val="00B67632"/>
    <w:rsid w:val="00B67683"/>
    <w:rsid w:val="00B677B1"/>
    <w:rsid w:val="00B677F2"/>
    <w:rsid w:val="00B6795D"/>
    <w:rsid w:val="00B67C29"/>
    <w:rsid w:val="00B67E13"/>
    <w:rsid w:val="00B67E77"/>
    <w:rsid w:val="00B67EAA"/>
    <w:rsid w:val="00B67ECE"/>
    <w:rsid w:val="00B67F22"/>
    <w:rsid w:val="00B67F65"/>
    <w:rsid w:val="00B67FB3"/>
    <w:rsid w:val="00B70043"/>
    <w:rsid w:val="00B70173"/>
    <w:rsid w:val="00B7029A"/>
    <w:rsid w:val="00B70343"/>
    <w:rsid w:val="00B70346"/>
    <w:rsid w:val="00B703CB"/>
    <w:rsid w:val="00B704F4"/>
    <w:rsid w:val="00B7050D"/>
    <w:rsid w:val="00B705C4"/>
    <w:rsid w:val="00B70720"/>
    <w:rsid w:val="00B70A55"/>
    <w:rsid w:val="00B70A7A"/>
    <w:rsid w:val="00B70B8E"/>
    <w:rsid w:val="00B70DA3"/>
    <w:rsid w:val="00B70EEC"/>
    <w:rsid w:val="00B711F5"/>
    <w:rsid w:val="00B712B4"/>
    <w:rsid w:val="00B71408"/>
    <w:rsid w:val="00B715AC"/>
    <w:rsid w:val="00B7160F"/>
    <w:rsid w:val="00B71678"/>
    <w:rsid w:val="00B716FB"/>
    <w:rsid w:val="00B7184F"/>
    <w:rsid w:val="00B7190D"/>
    <w:rsid w:val="00B71CCB"/>
    <w:rsid w:val="00B71CF9"/>
    <w:rsid w:val="00B71D14"/>
    <w:rsid w:val="00B71F86"/>
    <w:rsid w:val="00B7209F"/>
    <w:rsid w:val="00B720F2"/>
    <w:rsid w:val="00B72267"/>
    <w:rsid w:val="00B724AE"/>
    <w:rsid w:val="00B725E0"/>
    <w:rsid w:val="00B727C7"/>
    <w:rsid w:val="00B72AE9"/>
    <w:rsid w:val="00B72B5F"/>
    <w:rsid w:val="00B72B6A"/>
    <w:rsid w:val="00B72B7A"/>
    <w:rsid w:val="00B72B9D"/>
    <w:rsid w:val="00B72E7D"/>
    <w:rsid w:val="00B72FE1"/>
    <w:rsid w:val="00B731D4"/>
    <w:rsid w:val="00B73383"/>
    <w:rsid w:val="00B73407"/>
    <w:rsid w:val="00B734A3"/>
    <w:rsid w:val="00B73506"/>
    <w:rsid w:val="00B73634"/>
    <w:rsid w:val="00B73652"/>
    <w:rsid w:val="00B737CD"/>
    <w:rsid w:val="00B74259"/>
    <w:rsid w:val="00B742DB"/>
    <w:rsid w:val="00B7447E"/>
    <w:rsid w:val="00B7462C"/>
    <w:rsid w:val="00B7468E"/>
    <w:rsid w:val="00B74730"/>
    <w:rsid w:val="00B74B75"/>
    <w:rsid w:val="00B74E92"/>
    <w:rsid w:val="00B74F2A"/>
    <w:rsid w:val="00B74FFC"/>
    <w:rsid w:val="00B75004"/>
    <w:rsid w:val="00B751E1"/>
    <w:rsid w:val="00B75233"/>
    <w:rsid w:val="00B756A0"/>
    <w:rsid w:val="00B7572C"/>
    <w:rsid w:val="00B7573D"/>
    <w:rsid w:val="00B75777"/>
    <w:rsid w:val="00B75819"/>
    <w:rsid w:val="00B759C1"/>
    <w:rsid w:val="00B759D2"/>
    <w:rsid w:val="00B75EE1"/>
    <w:rsid w:val="00B75FA4"/>
    <w:rsid w:val="00B7608A"/>
    <w:rsid w:val="00B76187"/>
    <w:rsid w:val="00B761A7"/>
    <w:rsid w:val="00B761DB"/>
    <w:rsid w:val="00B76229"/>
    <w:rsid w:val="00B767B5"/>
    <w:rsid w:val="00B76A78"/>
    <w:rsid w:val="00B7709E"/>
    <w:rsid w:val="00B772AC"/>
    <w:rsid w:val="00B773EE"/>
    <w:rsid w:val="00B7741B"/>
    <w:rsid w:val="00B77493"/>
    <w:rsid w:val="00B777FA"/>
    <w:rsid w:val="00B77824"/>
    <w:rsid w:val="00B77863"/>
    <w:rsid w:val="00B778C7"/>
    <w:rsid w:val="00B778DE"/>
    <w:rsid w:val="00B77B00"/>
    <w:rsid w:val="00B77B5D"/>
    <w:rsid w:val="00B77C1B"/>
    <w:rsid w:val="00B77C54"/>
    <w:rsid w:val="00B77FAF"/>
    <w:rsid w:val="00B77FC5"/>
    <w:rsid w:val="00B800BB"/>
    <w:rsid w:val="00B80208"/>
    <w:rsid w:val="00B80408"/>
    <w:rsid w:val="00B8041E"/>
    <w:rsid w:val="00B80474"/>
    <w:rsid w:val="00B806D0"/>
    <w:rsid w:val="00B8081F"/>
    <w:rsid w:val="00B80866"/>
    <w:rsid w:val="00B808D2"/>
    <w:rsid w:val="00B80928"/>
    <w:rsid w:val="00B80971"/>
    <w:rsid w:val="00B809EA"/>
    <w:rsid w:val="00B80A23"/>
    <w:rsid w:val="00B80A59"/>
    <w:rsid w:val="00B80B75"/>
    <w:rsid w:val="00B80C26"/>
    <w:rsid w:val="00B80EB6"/>
    <w:rsid w:val="00B80F97"/>
    <w:rsid w:val="00B80F9E"/>
    <w:rsid w:val="00B812F2"/>
    <w:rsid w:val="00B8138B"/>
    <w:rsid w:val="00B8143C"/>
    <w:rsid w:val="00B8152F"/>
    <w:rsid w:val="00B81552"/>
    <w:rsid w:val="00B8176B"/>
    <w:rsid w:val="00B8193D"/>
    <w:rsid w:val="00B8199C"/>
    <w:rsid w:val="00B81A17"/>
    <w:rsid w:val="00B81AB5"/>
    <w:rsid w:val="00B81CE7"/>
    <w:rsid w:val="00B81D84"/>
    <w:rsid w:val="00B81F78"/>
    <w:rsid w:val="00B82167"/>
    <w:rsid w:val="00B82305"/>
    <w:rsid w:val="00B8253B"/>
    <w:rsid w:val="00B82621"/>
    <w:rsid w:val="00B826DF"/>
    <w:rsid w:val="00B8294E"/>
    <w:rsid w:val="00B829C7"/>
    <w:rsid w:val="00B82A39"/>
    <w:rsid w:val="00B82B0C"/>
    <w:rsid w:val="00B82C1D"/>
    <w:rsid w:val="00B82D30"/>
    <w:rsid w:val="00B82E93"/>
    <w:rsid w:val="00B83171"/>
    <w:rsid w:val="00B83354"/>
    <w:rsid w:val="00B83379"/>
    <w:rsid w:val="00B8337E"/>
    <w:rsid w:val="00B833F0"/>
    <w:rsid w:val="00B837EA"/>
    <w:rsid w:val="00B838B7"/>
    <w:rsid w:val="00B838CE"/>
    <w:rsid w:val="00B838D6"/>
    <w:rsid w:val="00B83915"/>
    <w:rsid w:val="00B83A2C"/>
    <w:rsid w:val="00B83A51"/>
    <w:rsid w:val="00B83B1E"/>
    <w:rsid w:val="00B83B26"/>
    <w:rsid w:val="00B83B8A"/>
    <w:rsid w:val="00B83BAF"/>
    <w:rsid w:val="00B83EF1"/>
    <w:rsid w:val="00B83F17"/>
    <w:rsid w:val="00B83F5B"/>
    <w:rsid w:val="00B84235"/>
    <w:rsid w:val="00B84318"/>
    <w:rsid w:val="00B845F1"/>
    <w:rsid w:val="00B84723"/>
    <w:rsid w:val="00B8486D"/>
    <w:rsid w:val="00B84B18"/>
    <w:rsid w:val="00B84E1C"/>
    <w:rsid w:val="00B84E6D"/>
    <w:rsid w:val="00B85057"/>
    <w:rsid w:val="00B85215"/>
    <w:rsid w:val="00B854EF"/>
    <w:rsid w:val="00B8551E"/>
    <w:rsid w:val="00B85582"/>
    <w:rsid w:val="00B85630"/>
    <w:rsid w:val="00B85649"/>
    <w:rsid w:val="00B8585A"/>
    <w:rsid w:val="00B85A05"/>
    <w:rsid w:val="00B85AB7"/>
    <w:rsid w:val="00B85BD5"/>
    <w:rsid w:val="00B85D48"/>
    <w:rsid w:val="00B85E07"/>
    <w:rsid w:val="00B860A4"/>
    <w:rsid w:val="00B861E7"/>
    <w:rsid w:val="00B864C0"/>
    <w:rsid w:val="00B86597"/>
    <w:rsid w:val="00B86641"/>
    <w:rsid w:val="00B86711"/>
    <w:rsid w:val="00B867F1"/>
    <w:rsid w:val="00B86845"/>
    <w:rsid w:val="00B869FB"/>
    <w:rsid w:val="00B86C13"/>
    <w:rsid w:val="00B870C2"/>
    <w:rsid w:val="00B87304"/>
    <w:rsid w:val="00B87366"/>
    <w:rsid w:val="00B87681"/>
    <w:rsid w:val="00B879CE"/>
    <w:rsid w:val="00B87A5D"/>
    <w:rsid w:val="00B87AFF"/>
    <w:rsid w:val="00B87B5B"/>
    <w:rsid w:val="00B87D32"/>
    <w:rsid w:val="00B87DB5"/>
    <w:rsid w:val="00B87DC9"/>
    <w:rsid w:val="00B87E33"/>
    <w:rsid w:val="00B90011"/>
    <w:rsid w:val="00B90034"/>
    <w:rsid w:val="00B901AD"/>
    <w:rsid w:val="00B9027B"/>
    <w:rsid w:val="00B903C6"/>
    <w:rsid w:val="00B903E8"/>
    <w:rsid w:val="00B90501"/>
    <w:rsid w:val="00B9066D"/>
    <w:rsid w:val="00B908B0"/>
    <w:rsid w:val="00B9092A"/>
    <w:rsid w:val="00B9092F"/>
    <w:rsid w:val="00B90A69"/>
    <w:rsid w:val="00B90B13"/>
    <w:rsid w:val="00B90D5C"/>
    <w:rsid w:val="00B90D7A"/>
    <w:rsid w:val="00B90E68"/>
    <w:rsid w:val="00B90F03"/>
    <w:rsid w:val="00B90F47"/>
    <w:rsid w:val="00B90FE7"/>
    <w:rsid w:val="00B91087"/>
    <w:rsid w:val="00B91372"/>
    <w:rsid w:val="00B91446"/>
    <w:rsid w:val="00B91480"/>
    <w:rsid w:val="00B91AA2"/>
    <w:rsid w:val="00B91B35"/>
    <w:rsid w:val="00B91D4B"/>
    <w:rsid w:val="00B91E54"/>
    <w:rsid w:val="00B91FCD"/>
    <w:rsid w:val="00B921AB"/>
    <w:rsid w:val="00B921E7"/>
    <w:rsid w:val="00B92532"/>
    <w:rsid w:val="00B9275D"/>
    <w:rsid w:val="00B927B5"/>
    <w:rsid w:val="00B928C8"/>
    <w:rsid w:val="00B929C7"/>
    <w:rsid w:val="00B929C8"/>
    <w:rsid w:val="00B92A80"/>
    <w:rsid w:val="00B92AF3"/>
    <w:rsid w:val="00B92AF6"/>
    <w:rsid w:val="00B92B16"/>
    <w:rsid w:val="00B92B60"/>
    <w:rsid w:val="00B92BE8"/>
    <w:rsid w:val="00B92C24"/>
    <w:rsid w:val="00B92C33"/>
    <w:rsid w:val="00B92C58"/>
    <w:rsid w:val="00B92CE2"/>
    <w:rsid w:val="00B92DAC"/>
    <w:rsid w:val="00B92E13"/>
    <w:rsid w:val="00B92E34"/>
    <w:rsid w:val="00B92E55"/>
    <w:rsid w:val="00B92F37"/>
    <w:rsid w:val="00B92F9A"/>
    <w:rsid w:val="00B93313"/>
    <w:rsid w:val="00B93343"/>
    <w:rsid w:val="00B93507"/>
    <w:rsid w:val="00B93690"/>
    <w:rsid w:val="00B938CA"/>
    <w:rsid w:val="00B93977"/>
    <w:rsid w:val="00B939A8"/>
    <w:rsid w:val="00B93AFB"/>
    <w:rsid w:val="00B93B32"/>
    <w:rsid w:val="00B93BCF"/>
    <w:rsid w:val="00B93BE2"/>
    <w:rsid w:val="00B93D77"/>
    <w:rsid w:val="00B93DB7"/>
    <w:rsid w:val="00B93E26"/>
    <w:rsid w:val="00B93E28"/>
    <w:rsid w:val="00B93E46"/>
    <w:rsid w:val="00B93EE8"/>
    <w:rsid w:val="00B93F64"/>
    <w:rsid w:val="00B94059"/>
    <w:rsid w:val="00B940CA"/>
    <w:rsid w:val="00B9429B"/>
    <w:rsid w:val="00B942F7"/>
    <w:rsid w:val="00B94332"/>
    <w:rsid w:val="00B94520"/>
    <w:rsid w:val="00B9458D"/>
    <w:rsid w:val="00B94764"/>
    <w:rsid w:val="00B94806"/>
    <w:rsid w:val="00B94BCC"/>
    <w:rsid w:val="00B94BCF"/>
    <w:rsid w:val="00B94CE0"/>
    <w:rsid w:val="00B94D55"/>
    <w:rsid w:val="00B94D90"/>
    <w:rsid w:val="00B94E3C"/>
    <w:rsid w:val="00B94E51"/>
    <w:rsid w:val="00B94ED8"/>
    <w:rsid w:val="00B950EC"/>
    <w:rsid w:val="00B951BF"/>
    <w:rsid w:val="00B95244"/>
    <w:rsid w:val="00B953DF"/>
    <w:rsid w:val="00B956D6"/>
    <w:rsid w:val="00B95703"/>
    <w:rsid w:val="00B95CAE"/>
    <w:rsid w:val="00B95CC2"/>
    <w:rsid w:val="00B95D84"/>
    <w:rsid w:val="00B95F15"/>
    <w:rsid w:val="00B95F2E"/>
    <w:rsid w:val="00B960B0"/>
    <w:rsid w:val="00B9629F"/>
    <w:rsid w:val="00B96392"/>
    <w:rsid w:val="00B96504"/>
    <w:rsid w:val="00B96558"/>
    <w:rsid w:val="00B96726"/>
    <w:rsid w:val="00B9680D"/>
    <w:rsid w:val="00B96C83"/>
    <w:rsid w:val="00B96E44"/>
    <w:rsid w:val="00B96E9B"/>
    <w:rsid w:val="00B96F35"/>
    <w:rsid w:val="00B96FE7"/>
    <w:rsid w:val="00B97418"/>
    <w:rsid w:val="00B97658"/>
    <w:rsid w:val="00B97763"/>
    <w:rsid w:val="00B97796"/>
    <w:rsid w:val="00B97C82"/>
    <w:rsid w:val="00BA019D"/>
    <w:rsid w:val="00BA01D2"/>
    <w:rsid w:val="00BA03DB"/>
    <w:rsid w:val="00BA0425"/>
    <w:rsid w:val="00BA05BA"/>
    <w:rsid w:val="00BA05D2"/>
    <w:rsid w:val="00BA0608"/>
    <w:rsid w:val="00BA07F3"/>
    <w:rsid w:val="00BA08E6"/>
    <w:rsid w:val="00BA0A8F"/>
    <w:rsid w:val="00BA0C2B"/>
    <w:rsid w:val="00BA0C84"/>
    <w:rsid w:val="00BA10E9"/>
    <w:rsid w:val="00BA1118"/>
    <w:rsid w:val="00BA1172"/>
    <w:rsid w:val="00BA11AD"/>
    <w:rsid w:val="00BA13EB"/>
    <w:rsid w:val="00BA142F"/>
    <w:rsid w:val="00BA1754"/>
    <w:rsid w:val="00BA181B"/>
    <w:rsid w:val="00BA1931"/>
    <w:rsid w:val="00BA1982"/>
    <w:rsid w:val="00BA1C9B"/>
    <w:rsid w:val="00BA1E10"/>
    <w:rsid w:val="00BA1F88"/>
    <w:rsid w:val="00BA201A"/>
    <w:rsid w:val="00BA20D6"/>
    <w:rsid w:val="00BA21D1"/>
    <w:rsid w:val="00BA226D"/>
    <w:rsid w:val="00BA2417"/>
    <w:rsid w:val="00BA2588"/>
    <w:rsid w:val="00BA25D3"/>
    <w:rsid w:val="00BA262D"/>
    <w:rsid w:val="00BA2923"/>
    <w:rsid w:val="00BA2990"/>
    <w:rsid w:val="00BA29ED"/>
    <w:rsid w:val="00BA2A1F"/>
    <w:rsid w:val="00BA2C5C"/>
    <w:rsid w:val="00BA2C94"/>
    <w:rsid w:val="00BA2CD3"/>
    <w:rsid w:val="00BA2D3F"/>
    <w:rsid w:val="00BA3084"/>
    <w:rsid w:val="00BA30CB"/>
    <w:rsid w:val="00BA32D2"/>
    <w:rsid w:val="00BA32E0"/>
    <w:rsid w:val="00BA34B1"/>
    <w:rsid w:val="00BA3544"/>
    <w:rsid w:val="00BA364F"/>
    <w:rsid w:val="00BA3842"/>
    <w:rsid w:val="00BA39EF"/>
    <w:rsid w:val="00BA3A2B"/>
    <w:rsid w:val="00BA3C84"/>
    <w:rsid w:val="00BA3C8E"/>
    <w:rsid w:val="00BA3D01"/>
    <w:rsid w:val="00BA3D8C"/>
    <w:rsid w:val="00BA3F59"/>
    <w:rsid w:val="00BA404D"/>
    <w:rsid w:val="00BA40E0"/>
    <w:rsid w:val="00BA428C"/>
    <w:rsid w:val="00BA4389"/>
    <w:rsid w:val="00BA473F"/>
    <w:rsid w:val="00BA4AA0"/>
    <w:rsid w:val="00BA4D38"/>
    <w:rsid w:val="00BA4D86"/>
    <w:rsid w:val="00BA4E39"/>
    <w:rsid w:val="00BA4EC9"/>
    <w:rsid w:val="00BA4FFB"/>
    <w:rsid w:val="00BA5083"/>
    <w:rsid w:val="00BA569C"/>
    <w:rsid w:val="00BA5A22"/>
    <w:rsid w:val="00BA5A78"/>
    <w:rsid w:val="00BA5BF5"/>
    <w:rsid w:val="00BA5CD6"/>
    <w:rsid w:val="00BA5DE7"/>
    <w:rsid w:val="00BA5E1D"/>
    <w:rsid w:val="00BA614D"/>
    <w:rsid w:val="00BA64B0"/>
    <w:rsid w:val="00BA65ED"/>
    <w:rsid w:val="00BA67F7"/>
    <w:rsid w:val="00BA6A5C"/>
    <w:rsid w:val="00BA6A92"/>
    <w:rsid w:val="00BA6C1A"/>
    <w:rsid w:val="00BA6DF4"/>
    <w:rsid w:val="00BA6DFB"/>
    <w:rsid w:val="00BA7015"/>
    <w:rsid w:val="00BA73A8"/>
    <w:rsid w:val="00BA7461"/>
    <w:rsid w:val="00BA75B1"/>
    <w:rsid w:val="00BA76A5"/>
    <w:rsid w:val="00BA76BF"/>
    <w:rsid w:val="00BA77AE"/>
    <w:rsid w:val="00BA7823"/>
    <w:rsid w:val="00BA7835"/>
    <w:rsid w:val="00BA78AA"/>
    <w:rsid w:val="00BA7C74"/>
    <w:rsid w:val="00BA7C79"/>
    <w:rsid w:val="00BA7DC7"/>
    <w:rsid w:val="00BA7DD7"/>
    <w:rsid w:val="00BA7EB7"/>
    <w:rsid w:val="00BA7F92"/>
    <w:rsid w:val="00BB015B"/>
    <w:rsid w:val="00BB03C9"/>
    <w:rsid w:val="00BB06A3"/>
    <w:rsid w:val="00BB0700"/>
    <w:rsid w:val="00BB07CE"/>
    <w:rsid w:val="00BB08D2"/>
    <w:rsid w:val="00BB0E00"/>
    <w:rsid w:val="00BB0E2E"/>
    <w:rsid w:val="00BB0FB2"/>
    <w:rsid w:val="00BB1091"/>
    <w:rsid w:val="00BB11E5"/>
    <w:rsid w:val="00BB1337"/>
    <w:rsid w:val="00BB15B8"/>
    <w:rsid w:val="00BB1893"/>
    <w:rsid w:val="00BB1AB1"/>
    <w:rsid w:val="00BB1D2F"/>
    <w:rsid w:val="00BB1F28"/>
    <w:rsid w:val="00BB1FF2"/>
    <w:rsid w:val="00BB2014"/>
    <w:rsid w:val="00BB2092"/>
    <w:rsid w:val="00BB20FA"/>
    <w:rsid w:val="00BB21CC"/>
    <w:rsid w:val="00BB2274"/>
    <w:rsid w:val="00BB22DB"/>
    <w:rsid w:val="00BB2723"/>
    <w:rsid w:val="00BB2758"/>
    <w:rsid w:val="00BB28CF"/>
    <w:rsid w:val="00BB2B3F"/>
    <w:rsid w:val="00BB2B71"/>
    <w:rsid w:val="00BB2DDA"/>
    <w:rsid w:val="00BB317B"/>
    <w:rsid w:val="00BB331B"/>
    <w:rsid w:val="00BB33B1"/>
    <w:rsid w:val="00BB3418"/>
    <w:rsid w:val="00BB35F0"/>
    <w:rsid w:val="00BB3700"/>
    <w:rsid w:val="00BB3899"/>
    <w:rsid w:val="00BB389A"/>
    <w:rsid w:val="00BB3A4C"/>
    <w:rsid w:val="00BB3A8D"/>
    <w:rsid w:val="00BB3B96"/>
    <w:rsid w:val="00BB3C56"/>
    <w:rsid w:val="00BB3C7E"/>
    <w:rsid w:val="00BB3C8B"/>
    <w:rsid w:val="00BB3C94"/>
    <w:rsid w:val="00BB421C"/>
    <w:rsid w:val="00BB431B"/>
    <w:rsid w:val="00BB4350"/>
    <w:rsid w:val="00BB4484"/>
    <w:rsid w:val="00BB44C9"/>
    <w:rsid w:val="00BB465E"/>
    <w:rsid w:val="00BB47AD"/>
    <w:rsid w:val="00BB4892"/>
    <w:rsid w:val="00BB4A4C"/>
    <w:rsid w:val="00BB4B2C"/>
    <w:rsid w:val="00BB4B39"/>
    <w:rsid w:val="00BB4C82"/>
    <w:rsid w:val="00BB4D01"/>
    <w:rsid w:val="00BB4D1C"/>
    <w:rsid w:val="00BB4E84"/>
    <w:rsid w:val="00BB4EE5"/>
    <w:rsid w:val="00BB4FD5"/>
    <w:rsid w:val="00BB511F"/>
    <w:rsid w:val="00BB521E"/>
    <w:rsid w:val="00BB524C"/>
    <w:rsid w:val="00BB52CF"/>
    <w:rsid w:val="00BB5304"/>
    <w:rsid w:val="00BB5410"/>
    <w:rsid w:val="00BB5A29"/>
    <w:rsid w:val="00BB5C1F"/>
    <w:rsid w:val="00BB5D01"/>
    <w:rsid w:val="00BB618B"/>
    <w:rsid w:val="00BB618C"/>
    <w:rsid w:val="00BB6191"/>
    <w:rsid w:val="00BB640A"/>
    <w:rsid w:val="00BB6427"/>
    <w:rsid w:val="00BB64A2"/>
    <w:rsid w:val="00BB682E"/>
    <w:rsid w:val="00BB6994"/>
    <w:rsid w:val="00BB6AA4"/>
    <w:rsid w:val="00BB6B5E"/>
    <w:rsid w:val="00BB6CA0"/>
    <w:rsid w:val="00BB6D04"/>
    <w:rsid w:val="00BB6E97"/>
    <w:rsid w:val="00BB6EF8"/>
    <w:rsid w:val="00BB7593"/>
    <w:rsid w:val="00BB7790"/>
    <w:rsid w:val="00BB7998"/>
    <w:rsid w:val="00BB7B71"/>
    <w:rsid w:val="00BB7C00"/>
    <w:rsid w:val="00BB7C45"/>
    <w:rsid w:val="00BB7F89"/>
    <w:rsid w:val="00BC014D"/>
    <w:rsid w:val="00BC02C2"/>
    <w:rsid w:val="00BC0401"/>
    <w:rsid w:val="00BC04DB"/>
    <w:rsid w:val="00BC0531"/>
    <w:rsid w:val="00BC06F5"/>
    <w:rsid w:val="00BC0AB2"/>
    <w:rsid w:val="00BC0B71"/>
    <w:rsid w:val="00BC0CA6"/>
    <w:rsid w:val="00BC0EF1"/>
    <w:rsid w:val="00BC0EF5"/>
    <w:rsid w:val="00BC1413"/>
    <w:rsid w:val="00BC145F"/>
    <w:rsid w:val="00BC16FB"/>
    <w:rsid w:val="00BC18D0"/>
    <w:rsid w:val="00BC1944"/>
    <w:rsid w:val="00BC1B7E"/>
    <w:rsid w:val="00BC1EA8"/>
    <w:rsid w:val="00BC1F5F"/>
    <w:rsid w:val="00BC20A8"/>
    <w:rsid w:val="00BC2228"/>
    <w:rsid w:val="00BC243F"/>
    <w:rsid w:val="00BC2770"/>
    <w:rsid w:val="00BC2C4F"/>
    <w:rsid w:val="00BC2C8C"/>
    <w:rsid w:val="00BC2D51"/>
    <w:rsid w:val="00BC2E1E"/>
    <w:rsid w:val="00BC2E74"/>
    <w:rsid w:val="00BC2EBB"/>
    <w:rsid w:val="00BC32F3"/>
    <w:rsid w:val="00BC3383"/>
    <w:rsid w:val="00BC3399"/>
    <w:rsid w:val="00BC35EB"/>
    <w:rsid w:val="00BC3620"/>
    <w:rsid w:val="00BC372F"/>
    <w:rsid w:val="00BC3877"/>
    <w:rsid w:val="00BC38F8"/>
    <w:rsid w:val="00BC3949"/>
    <w:rsid w:val="00BC39CE"/>
    <w:rsid w:val="00BC3A03"/>
    <w:rsid w:val="00BC3BA0"/>
    <w:rsid w:val="00BC3C6A"/>
    <w:rsid w:val="00BC3D38"/>
    <w:rsid w:val="00BC3E27"/>
    <w:rsid w:val="00BC3E57"/>
    <w:rsid w:val="00BC41A8"/>
    <w:rsid w:val="00BC41B9"/>
    <w:rsid w:val="00BC4202"/>
    <w:rsid w:val="00BC42CB"/>
    <w:rsid w:val="00BC43CE"/>
    <w:rsid w:val="00BC445D"/>
    <w:rsid w:val="00BC44AF"/>
    <w:rsid w:val="00BC456E"/>
    <w:rsid w:val="00BC45A2"/>
    <w:rsid w:val="00BC4646"/>
    <w:rsid w:val="00BC470C"/>
    <w:rsid w:val="00BC4825"/>
    <w:rsid w:val="00BC4878"/>
    <w:rsid w:val="00BC48A9"/>
    <w:rsid w:val="00BC4974"/>
    <w:rsid w:val="00BC4979"/>
    <w:rsid w:val="00BC4C6B"/>
    <w:rsid w:val="00BC5065"/>
    <w:rsid w:val="00BC533D"/>
    <w:rsid w:val="00BC58F9"/>
    <w:rsid w:val="00BC5BB6"/>
    <w:rsid w:val="00BC5C98"/>
    <w:rsid w:val="00BC5CA9"/>
    <w:rsid w:val="00BC5EBE"/>
    <w:rsid w:val="00BC621F"/>
    <w:rsid w:val="00BC62FE"/>
    <w:rsid w:val="00BC64B3"/>
    <w:rsid w:val="00BC64EB"/>
    <w:rsid w:val="00BC673A"/>
    <w:rsid w:val="00BC682C"/>
    <w:rsid w:val="00BC6893"/>
    <w:rsid w:val="00BC6BBE"/>
    <w:rsid w:val="00BC6E25"/>
    <w:rsid w:val="00BC6E72"/>
    <w:rsid w:val="00BC71CE"/>
    <w:rsid w:val="00BC7238"/>
    <w:rsid w:val="00BC7315"/>
    <w:rsid w:val="00BC7514"/>
    <w:rsid w:val="00BC75BC"/>
    <w:rsid w:val="00BC77C8"/>
    <w:rsid w:val="00BC7987"/>
    <w:rsid w:val="00BC7A97"/>
    <w:rsid w:val="00BC7CA1"/>
    <w:rsid w:val="00BC7D07"/>
    <w:rsid w:val="00BC7D2C"/>
    <w:rsid w:val="00BC7E31"/>
    <w:rsid w:val="00BD0016"/>
    <w:rsid w:val="00BD0091"/>
    <w:rsid w:val="00BD0209"/>
    <w:rsid w:val="00BD0232"/>
    <w:rsid w:val="00BD0235"/>
    <w:rsid w:val="00BD058C"/>
    <w:rsid w:val="00BD0797"/>
    <w:rsid w:val="00BD09B5"/>
    <w:rsid w:val="00BD0AFA"/>
    <w:rsid w:val="00BD0B23"/>
    <w:rsid w:val="00BD0B46"/>
    <w:rsid w:val="00BD0B6E"/>
    <w:rsid w:val="00BD0ED0"/>
    <w:rsid w:val="00BD103F"/>
    <w:rsid w:val="00BD10F8"/>
    <w:rsid w:val="00BD1131"/>
    <w:rsid w:val="00BD15D8"/>
    <w:rsid w:val="00BD171C"/>
    <w:rsid w:val="00BD1BF2"/>
    <w:rsid w:val="00BD1D4F"/>
    <w:rsid w:val="00BD1E2C"/>
    <w:rsid w:val="00BD1E6E"/>
    <w:rsid w:val="00BD201E"/>
    <w:rsid w:val="00BD209D"/>
    <w:rsid w:val="00BD237F"/>
    <w:rsid w:val="00BD23D3"/>
    <w:rsid w:val="00BD2501"/>
    <w:rsid w:val="00BD267B"/>
    <w:rsid w:val="00BD26BA"/>
    <w:rsid w:val="00BD2C79"/>
    <w:rsid w:val="00BD2F9F"/>
    <w:rsid w:val="00BD3011"/>
    <w:rsid w:val="00BD32D6"/>
    <w:rsid w:val="00BD3457"/>
    <w:rsid w:val="00BD3502"/>
    <w:rsid w:val="00BD3507"/>
    <w:rsid w:val="00BD375E"/>
    <w:rsid w:val="00BD38B1"/>
    <w:rsid w:val="00BD38E7"/>
    <w:rsid w:val="00BD3991"/>
    <w:rsid w:val="00BD3BAE"/>
    <w:rsid w:val="00BD3C5C"/>
    <w:rsid w:val="00BD3D1B"/>
    <w:rsid w:val="00BD3D79"/>
    <w:rsid w:val="00BD3D92"/>
    <w:rsid w:val="00BD3DD2"/>
    <w:rsid w:val="00BD3E3B"/>
    <w:rsid w:val="00BD3E3E"/>
    <w:rsid w:val="00BD3F70"/>
    <w:rsid w:val="00BD4000"/>
    <w:rsid w:val="00BD429E"/>
    <w:rsid w:val="00BD4466"/>
    <w:rsid w:val="00BD45AB"/>
    <w:rsid w:val="00BD466E"/>
    <w:rsid w:val="00BD4815"/>
    <w:rsid w:val="00BD4858"/>
    <w:rsid w:val="00BD495E"/>
    <w:rsid w:val="00BD4B62"/>
    <w:rsid w:val="00BD4BA3"/>
    <w:rsid w:val="00BD4BE9"/>
    <w:rsid w:val="00BD4D70"/>
    <w:rsid w:val="00BD5004"/>
    <w:rsid w:val="00BD5287"/>
    <w:rsid w:val="00BD5324"/>
    <w:rsid w:val="00BD5577"/>
    <w:rsid w:val="00BD557D"/>
    <w:rsid w:val="00BD56E5"/>
    <w:rsid w:val="00BD5782"/>
    <w:rsid w:val="00BD58D4"/>
    <w:rsid w:val="00BD5A93"/>
    <w:rsid w:val="00BD5ABA"/>
    <w:rsid w:val="00BD5C4F"/>
    <w:rsid w:val="00BD5C5C"/>
    <w:rsid w:val="00BD5EC2"/>
    <w:rsid w:val="00BD61EE"/>
    <w:rsid w:val="00BD6214"/>
    <w:rsid w:val="00BD646E"/>
    <w:rsid w:val="00BD6687"/>
    <w:rsid w:val="00BD668A"/>
    <w:rsid w:val="00BD66EF"/>
    <w:rsid w:val="00BD6AB2"/>
    <w:rsid w:val="00BD6AB8"/>
    <w:rsid w:val="00BD6BAC"/>
    <w:rsid w:val="00BD70B1"/>
    <w:rsid w:val="00BD70DE"/>
    <w:rsid w:val="00BD72D2"/>
    <w:rsid w:val="00BD7432"/>
    <w:rsid w:val="00BD75A0"/>
    <w:rsid w:val="00BD76C8"/>
    <w:rsid w:val="00BD7934"/>
    <w:rsid w:val="00BD7957"/>
    <w:rsid w:val="00BD7A70"/>
    <w:rsid w:val="00BE03BD"/>
    <w:rsid w:val="00BE0448"/>
    <w:rsid w:val="00BE0512"/>
    <w:rsid w:val="00BE0613"/>
    <w:rsid w:val="00BE09F3"/>
    <w:rsid w:val="00BE0A69"/>
    <w:rsid w:val="00BE0C63"/>
    <w:rsid w:val="00BE0C74"/>
    <w:rsid w:val="00BE0C9B"/>
    <w:rsid w:val="00BE0D87"/>
    <w:rsid w:val="00BE0F16"/>
    <w:rsid w:val="00BE14AA"/>
    <w:rsid w:val="00BE1B39"/>
    <w:rsid w:val="00BE1BC2"/>
    <w:rsid w:val="00BE1C32"/>
    <w:rsid w:val="00BE1C9E"/>
    <w:rsid w:val="00BE1CE8"/>
    <w:rsid w:val="00BE1E9D"/>
    <w:rsid w:val="00BE1F35"/>
    <w:rsid w:val="00BE20C8"/>
    <w:rsid w:val="00BE2211"/>
    <w:rsid w:val="00BE2299"/>
    <w:rsid w:val="00BE22D6"/>
    <w:rsid w:val="00BE23F8"/>
    <w:rsid w:val="00BE25A1"/>
    <w:rsid w:val="00BE26F3"/>
    <w:rsid w:val="00BE27B0"/>
    <w:rsid w:val="00BE29C6"/>
    <w:rsid w:val="00BE2C13"/>
    <w:rsid w:val="00BE308C"/>
    <w:rsid w:val="00BE3147"/>
    <w:rsid w:val="00BE318F"/>
    <w:rsid w:val="00BE337A"/>
    <w:rsid w:val="00BE3385"/>
    <w:rsid w:val="00BE34E3"/>
    <w:rsid w:val="00BE35AF"/>
    <w:rsid w:val="00BE35D2"/>
    <w:rsid w:val="00BE35F2"/>
    <w:rsid w:val="00BE3741"/>
    <w:rsid w:val="00BE3811"/>
    <w:rsid w:val="00BE3A1C"/>
    <w:rsid w:val="00BE3A2A"/>
    <w:rsid w:val="00BE3AB4"/>
    <w:rsid w:val="00BE3BA3"/>
    <w:rsid w:val="00BE3BA6"/>
    <w:rsid w:val="00BE3D38"/>
    <w:rsid w:val="00BE3DED"/>
    <w:rsid w:val="00BE3EF5"/>
    <w:rsid w:val="00BE3F1A"/>
    <w:rsid w:val="00BE40A4"/>
    <w:rsid w:val="00BE411B"/>
    <w:rsid w:val="00BE4124"/>
    <w:rsid w:val="00BE4152"/>
    <w:rsid w:val="00BE424E"/>
    <w:rsid w:val="00BE44AB"/>
    <w:rsid w:val="00BE4557"/>
    <w:rsid w:val="00BE45DD"/>
    <w:rsid w:val="00BE46B6"/>
    <w:rsid w:val="00BE473B"/>
    <w:rsid w:val="00BE47DB"/>
    <w:rsid w:val="00BE4CF7"/>
    <w:rsid w:val="00BE510C"/>
    <w:rsid w:val="00BE51D1"/>
    <w:rsid w:val="00BE556B"/>
    <w:rsid w:val="00BE5A96"/>
    <w:rsid w:val="00BE5AF3"/>
    <w:rsid w:val="00BE5CBD"/>
    <w:rsid w:val="00BE5CF4"/>
    <w:rsid w:val="00BE5F7E"/>
    <w:rsid w:val="00BE6338"/>
    <w:rsid w:val="00BE6368"/>
    <w:rsid w:val="00BE6558"/>
    <w:rsid w:val="00BE65F4"/>
    <w:rsid w:val="00BE687E"/>
    <w:rsid w:val="00BE6903"/>
    <w:rsid w:val="00BE69FE"/>
    <w:rsid w:val="00BE6BE4"/>
    <w:rsid w:val="00BE6CCB"/>
    <w:rsid w:val="00BE6D51"/>
    <w:rsid w:val="00BE6F59"/>
    <w:rsid w:val="00BE709D"/>
    <w:rsid w:val="00BE71E6"/>
    <w:rsid w:val="00BE7200"/>
    <w:rsid w:val="00BE72B8"/>
    <w:rsid w:val="00BE73AF"/>
    <w:rsid w:val="00BE74B9"/>
    <w:rsid w:val="00BE7B5C"/>
    <w:rsid w:val="00BE7B8F"/>
    <w:rsid w:val="00BE7BC1"/>
    <w:rsid w:val="00BE7BC4"/>
    <w:rsid w:val="00BE7D17"/>
    <w:rsid w:val="00BE7FD7"/>
    <w:rsid w:val="00BF02D3"/>
    <w:rsid w:val="00BF0532"/>
    <w:rsid w:val="00BF056C"/>
    <w:rsid w:val="00BF0772"/>
    <w:rsid w:val="00BF0A38"/>
    <w:rsid w:val="00BF0B29"/>
    <w:rsid w:val="00BF10B6"/>
    <w:rsid w:val="00BF1236"/>
    <w:rsid w:val="00BF130B"/>
    <w:rsid w:val="00BF140A"/>
    <w:rsid w:val="00BF153A"/>
    <w:rsid w:val="00BF155D"/>
    <w:rsid w:val="00BF190A"/>
    <w:rsid w:val="00BF1C3B"/>
    <w:rsid w:val="00BF2163"/>
    <w:rsid w:val="00BF290E"/>
    <w:rsid w:val="00BF290F"/>
    <w:rsid w:val="00BF2D0C"/>
    <w:rsid w:val="00BF2F66"/>
    <w:rsid w:val="00BF3081"/>
    <w:rsid w:val="00BF3539"/>
    <w:rsid w:val="00BF359D"/>
    <w:rsid w:val="00BF37C5"/>
    <w:rsid w:val="00BF3C2E"/>
    <w:rsid w:val="00BF3C35"/>
    <w:rsid w:val="00BF3DCC"/>
    <w:rsid w:val="00BF3F99"/>
    <w:rsid w:val="00BF403C"/>
    <w:rsid w:val="00BF4287"/>
    <w:rsid w:val="00BF44D7"/>
    <w:rsid w:val="00BF44E2"/>
    <w:rsid w:val="00BF4766"/>
    <w:rsid w:val="00BF4984"/>
    <w:rsid w:val="00BF4CFA"/>
    <w:rsid w:val="00BF4E59"/>
    <w:rsid w:val="00BF4EB3"/>
    <w:rsid w:val="00BF5168"/>
    <w:rsid w:val="00BF516E"/>
    <w:rsid w:val="00BF531B"/>
    <w:rsid w:val="00BF5370"/>
    <w:rsid w:val="00BF576D"/>
    <w:rsid w:val="00BF57A5"/>
    <w:rsid w:val="00BF58FC"/>
    <w:rsid w:val="00BF5D48"/>
    <w:rsid w:val="00BF5D92"/>
    <w:rsid w:val="00BF5E13"/>
    <w:rsid w:val="00BF5EAA"/>
    <w:rsid w:val="00BF5EE8"/>
    <w:rsid w:val="00BF6196"/>
    <w:rsid w:val="00BF63A9"/>
    <w:rsid w:val="00BF63E0"/>
    <w:rsid w:val="00BF63FF"/>
    <w:rsid w:val="00BF64A8"/>
    <w:rsid w:val="00BF6789"/>
    <w:rsid w:val="00BF67E7"/>
    <w:rsid w:val="00BF682E"/>
    <w:rsid w:val="00BF6EC3"/>
    <w:rsid w:val="00BF707A"/>
    <w:rsid w:val="00BF710E"/>
    <w:rsid w:val="00BF73D2"/>
    <w:rsid w:val="00BF75B0"/>
    <w:rsid w:val="00BF7625"/>
    <w:rsid w:val="00BF76C4"/>
    <w:rsid w:val="00BF76E5"/>
    <w:rsid w:val="00BF78E2"/>
    <w:rsid w:val="00BF795E"/>
    <w:rsid w:val="00BF7B69"/>
    <w:rsid w:val="00BF7C8B"/>
    <w:rsid w:val="00BF7D59"/>
    <w:rsid w:val="00BF7E4F"/>
    <w:rsid w:val="00C00122"/>
    <w:rsid w:val="00C002DA"/>
    <w:rsid w:val="00C003FA"/>
    <w:rsid w:val="00C003FD"/>
    <w:rsid w:val="00C006EC"/>
    <w:rsid w:val="00C00BFF"/>
    <w:rsid w:val="00C00CD6"/>
    <w:rsid w:val="00C00D6F"/>
    <w:rsid w:val="00C00DD3"/>
    <w:rsid w:val="00C0102E"/>
    <w:rsid w:val="00C0109D"/>
    <w:rsid w:val="00C010AA"/>
    <w:rsid w:val="00C01137"/>
    <w:rsid w:val="00C0121B"/>
    <w:rsid w:val="00C014C4"/>
    <w:rsid w:val="00C014EA"/>
    <w:rsid w:val="00C0155E"/>
    <w:rsid w:val="00C015F4"/>
    <w:rsid w:val="00C016EB"/>
    <w:rsid w:val="00C019A6"/>
    <w:rsid w:val="00C01B92"/>
    <w:rsid w:val="00C01C1D"/>
    <w:rsid w:val="00C01EF1"/>
    <w:rsid w:val="00C02051"/>
    <w:rsid w:val="00C02092"/>
    <w:rsid w:val="00C020E9"/>
    <w:rsid w:val="00C0226F"/>
    <w:rsid w:val="00C022DA"/>
    <w:rsid w:val="00C023C1"/>
    <w:rsid w:val="00C025EF"/>
    <w:rsid w:val="00C02700"/>
    <w:rsid w:val="00C02702"/>
    <w:rsid w:val="00C02731"/>
    <w:rsid w:val="00C0280B"/>
    <w:rsid w:val="00C02C4E"/>
    <w:rsid w:val="00C02F8C"/>
    <w:rsid w:val="00C0312E"/>
    <w:rsid w:val="00C0318E"/>
    <w:rsid w:val="00C03503"/>
    <w:rsid w:val="00C035B9"/>
    <w:rsid w:val="00C0364C"/>
    <w:rsid w:val="00C037BD"/>
    <w:rsid w:val="00C03852"/>
    <w:rsid w:val="00C038A0"/>
    <w:rsid w:val="00C03A49"/>
    <w:rsid w:val="00C03AE5"/>
    <w:rsid w:val="00C03B04"/>
    <w:rsid w:val="00C03B61"/>
    <w:rsid w:val="00C03D48"/>
    <w:rsid w:val="00C03D5B"/>
    <w:rsid w:val="00C04297"/>
    <w:rsid w:val="00C047FF"/>
    <w:rsid w:val="00C04A24"/>
    <w:rsid w:val="00C04B01"/>
    <w:rsid w:val="00C04C57"/>
    <w:rsid w:val="00C04C8F"/>
    <w:rsid w:val="00C04D32"/>
    <w:rsid w:val="00C04D43"/>
    <w:rsid w:val="00C04F2E"/>
    <w:rsid w:val="00C051E6"/>
    <w:rsid w:val="00C052C9"/>
    <w:rsid w:val="00C052D2"/>
    <w:rsid w:val="00C057BF"/>
    <w:rsid w:val="00C05D7D"/>
    <w:rsid w:val="00C05EFF"/>
    <w:rsid w:val="00C0609B"/>
    <w:rsid w:val="00C060DF"/>
    <w:rsid w:val="00C0632B"/>
    <w:rsid w:val="00C065A7"/>
    <w:rsid w:val="00C06844"/>
    <w:rsid w:val="00C06898"/>
    <w:rsid w:val="00C06970"/>
    <w:rsid w:val="00C069BE"/>
    <w:rsid w:val="00C06ED7"/>
    <w:rsid w:val="00C06FDF"/>
    <w:rsid w:val="00C07193"/>
    <w:rsid w:val="00C072C3"/>
    <w:rsid w:val="00C07490"/>
    <w:rsid w:val="00C07664"/>
    <w:rsid w:val="00C076B0"/>
    <w:rsid w:val="00C076FB"/>
    <w:rsid w:val="00C079AB"/>
    <w:rsid w:val="00C07AD3"/>
    <w:rsid w:val="00C07C8F"/>
    <w:rsid w:val="00C07F88"/>
    <w:rsid w:val="00C07FE1"/>
    <w:rsid w:val="00C10242"/>
    <w:rsid w:val="00C1046D"/>
    <w:rsid w:val="00C104B3"/>
    <w:rsid w:val="00C1059C"/>
    <w:rsid w:val="00C105F2"/>
    <w:rsid w:val="00C1081C"/>
    <w:rsid w:val="00C108BD"/>
    <w:rsid w:val="00C10B64"/>
    <w:rsid w:val="00C10D18"/>
    <w:rsid w:val="00C11189"/>
    <w:rsid w:val="00C111B9"/>
    <w:rsid w:val="00C1142C"/>
    <w:rsid w:val="00C11496"/>
    <w:rsid w:val="00C11688"/>
    <w:rsid w:val="00C117A4"/>
    <w:rsid w:val="00C118EB"/>
    <w:rsid w:val="00C11906"/>
    <w:rsid w:val="00C11ADE"/>
    <w:rsid w:val="00C11B6D"/>
    <w:rsid w:val="00C11E65"/>
    <w:rsid w:val="00C11F30"/>
    <w:rsid w:val="00C12095"/>
    <w:rsid w:val="00C120D6"/>
    <w:rsid w:val="00C12752"/>
    <w:rsid w:val="00C12853"/>
    <w:rsid w:val="00C12A10"/>
    <w:rsid w:val="00C12BA2"/>
    <w:rsid w:val="00C12E1F"/>
    <w:rsid w:val="00C130F3"/>
    <w:rsid w:val="00C13122"/>
    <w:rsid w:val="00C1325A"/>
    <w:rsid w:val="00C132B0"/>
    <w:rsid w:val="00C1332C"/>
    <w:rsid w:val="00C13456"/>
    <w:rsid w:val="00C13600"/>
    <w:rsid w:val="00C13619"/>
    <w:rsid w:val="00C138BB"/>
    <w:rsid w:val="00C139EB"/>
    <w:rsid w:val="00C13A63"/>
    <w:rsid w:val="00C13DDC"/>
    <w:rsid w:val="00C13DF1"/>
    <w:rsid w:val="00C13E8A"/>
    <w:rsid w:val="00C14429"/>
    <w:rsid w:val="00C14433"/>
    <w:rsid w:val="00C14643"/>
    <w:rsid w:val="00C147C5"/>
    <w:rsid w:val="00C14A82"/>
    <w:rsid w:val="00C14ABD"/>
    <w:rsid w:val="00C14B82"/>
    <w:rsid w:val="00C14BA4"/>
    <w:rsid w:val="00C14BA7"/>
    <w:rsid w:val="00C14EB2"/>
    <w:rsid w:val="00C151AE"/>
    <w:rsid w:val="00C152AB"/>
    <w:rsid w:val="00C1567B"/>
    <w:rsid w:val="00C1578A"/>
    <w:rsid w:val="00C15840"/>
    <w:rsid w:val="00C15A26"/>
    <w:rsid w:val="00C15A3A"/>
    <w:rsid w:val="00C15A3F"/>
    <w:rsid w:val="00C15A8C"/>
    <w:rsid w:val="00C15B17"/>
    <w:rsid w:val="00C15E36"/>
    <w:rsid w:val="00C15FA3"/>
    <w:rsid w:val="00C16181"/>
    <w:rsid w:val="00C1639B"/>
    <w:rsid w:val="00C16562"/>
    <w:rsid w:val="00C16675"/>
    <w:rsid w:val="00C1698C"/>
    <w:rsid w:val="00C16A62"/>
    <w:rsid w:val="00C16D01"/>
    <w:rsid w:val="00C17022"/>
    <w:rsid w:val="00C171B7"/>
    <w:rsid w:val="00C172E1"/>
    <w:rsid w:val="00C1736E"/>
    <w:rsid w:val="00C173CF"/>
    <w:rsid w:val="00C1745A"/>
    <w:rsid w:val="00C17606"/>
    <w:rsid w:val="00C1767B"/>
    <w:rsid w:val="00C17738"/>
    <w:rsid w:val="00C1780D"/>
    <w:rsid w:val="00C1795A"/>
    <w:rsid w:val="00C17A14"/>
    <w:rsid w:val="00C17B06"/>
    <w:rsid w:val="00C17D91"/>
    <w:rsid w:val="00C17D94"/>
    <w:rsid w:val="00C17E20"/>
    <w:rsid w:val="00C17F63"/>
    <w:rsid w:val="00C20106"/>
    <w:rsid w:val="00C20232"/>
    <w:rsid w:val="00C20233"/>
    <w:rsid w:val="00C20545"/>
    <w:rsid w:val="00C20923"/>
    <w:rsid w:val="00C20B29"/>
    <w:rsid w:val="00C20CF8"/>
    <w:rsid w:val="00C20DF8"/>
    <w:rsid w:val="00C2111D"/>
    <w:rsid w:val="00C213A7"/>
    <w:rsid w:val="00C21418"/>
    <w:rsid w:val="00C2148F"/>
    <w:rsid w:val="00C215B0"/>
    <w:rsid w:val="00C2199A"/>
    <w:rsid w:val="00C21BBD"/>
    <w:rsid w:val="00C21D57"/>
    <w:rsid w:val="00C21F3F"/>
    <w:rsid w:val="00C22047"/>
    <w:rsid w:val="00C22093"/>
    <w:rsid w:val="00C2216A"/>
    <w:rsid w:val="00C22283"/>
    <w:rsid w:val="00C22344"/>
    <w:rsid w:val="00C223C2"/>
    <w:rsid w:val="00C224FB"/>
    <w:rsid w:val="00C225A6"/>
    <w:rsid w:val="00C225E1"/>
    <w:rsid w:val="00C22735"/>
    <w:rsid w:val="00C22A7E"/>
    <w:rsid w:val="00C22ACE"/>
    <w:rsid w:val="00C22E05"/>
    <w:rsid w:val="00C22E25"/>
    <w:rsid w:val="00C22EEC"/>
    <w:rsid w:val="00C22EF1"/>
    <w:rsid w:val="00C23057"/>
    <w:rsid w:val="00C231A7"/>
    <w:rsid w:val="00C232B1"/>
    <w:rsid w:val="00C232BB"/>
    <w:rsid w:val="00C233E0"/>
    <w:rsid w:val="00C234A7"/>
    <w:rsid w:val="00C236B0"/>
    <w:rsid w:val="00C2399B"/>
    <w:rsid w:val="00C23B23"/>
    <w:rsid w:val="00C23C7D"/>
    <w:rsid w:val="00C23CC7"/>
    <w:rsid w:val="00C23DFD"/>
    <w:rsid w:val="00C240B8"/>
    <w:rsid w:val="00C24164"/>
    <w:rsid w:val="00C243C9"/>
    <w:rsid w:val="00C24420"/>
    <w:rsid w:val="00C249DF"/>
    <w:rsid w:val="00C24DDE"/>
    <w:rsid w:val="00C2504D"/>
    <w:rsid w:val="00C25087"/>
    <w:rsid w:val="00C25110"/>
    <w:rsid w:val="00C252F9"/>
    <w:rsid w:val="00C25304"/>
    <w:rsid w:val="00C253EE"/>
    <w:rsid w:val="00C2542C"/>
    <w:rsid w:val="00C2545F"/>
    <w:rsid w:val="00C25637"/>
    <w:rsid w:val="00C25825"/>
    <w:rsid w:val="00C259C7"/>
    <w:rsid w:val="00C25C36"/>
    <w:rsid w:val="00C25CC8"/>
    <w:rsid w:val="00C25F9A"/>
    <w:rsid w:val="00C26308"/>
    <w:rsid w:val="00C26369"/>
    <w:rsid w:val="00C2642C"/>
    <w:rsid w:val="00C265FF"/>
    <w:rsid w:val="00C266E5"/>
    <w:rsid w:val="00C26772"/>
    <w:rsid w:val="00C26908"/>
    <w:rsid w:val="00C26940"/>
    <w:rsid w:val="00C26AE4"/>
    <w:rsid w:val="00C26BB2"/>
    <w:rsid w:val="00C26C11"/>
    <w:rsid w:val="00C26ECC"/>
    <w:rsid w:val="00C26F35"/>
    <w:rsid w:val="00C27640"/>
    <w:rsid w:val="00C277AE"/>
    <w:rsid w:val="00C277F2"/>
    <w:rsid w:val="00C278B9"/>
    <w:rsid w:val="00C278F0"/>
    <w:rsid w:val="00C27A26"/>
    <w:rsid w:val="00C27ABF"/>
    <w:rsid w:val="00C27B66"/>
    <w:rsid w:val="00C27CCB"/>
    <w:rsid w:val="00C27D5D"/>
    <w:rsid w:val="00C27D7F"/>
    <w:rsid w:val="00C27FE9"/>
    <w:rsid w:val="00C30168"/>
    <w:rsid w:val="00C30214"/>
    <w:rsid w:val="00C3041F"/>
    <w:rsid w:val="00C304DC"/>
    <w:rsid w:val="00C304F8"/>
    <w:rsid w:val="00C307F1"/>
    <w:rsid w:val="00C30810"/>
    <w:rsid w:val="00C30896"/>
    <w:rsid w:val="00C30A19"/>
    <w:rsid w:val="00C30AC8"/>
    <w:rsid w:val="00C30AEF"/>
    <w:rsid w:val="00C30C6A"/>
    <w:rsid w:val="00C30E5D"/>
    <w:rsid w:val="00C3106E"/>
    <w:rsid w:val="00C31088"/>
    <w:rsid w:val="00C310AA"/>
    <w:rsid w:val="00C315A2"/>
    <w:rsid w:val="00C315A9"/>
    <w:rsid w:val="00C315F0"/>
    <w:rsid w:val="00C316D5"/>
    <w:rsid w:val="00C31848"/>
    <w:rsid w:val="00C318C9"/>
    <w:rsid w:val="00C31944"/>
    <w:rsid w:val="00C319D2"/>
    <w:rsid w:val="00C31AB9"/>
    <w:rsid w:val="00C31AFA"/>
    <w:rsid w:val="00C31B57"/>
    <w:rsid w:val="00C31EBD"/>
    <w:rsid w:val="00C32041"/>
    <w:rsid w:val="00C322EE"/>
    <w:rsid w:val="00C324BC"/>
    <w:rsid w:val="00C325C9"/>
    <w:rsid w:val="00C325CB"/>
    <w:rsid w:val="00C32762"/>
    <w:rsid w:val="00C32A49"/>
    <w:rsid w:val="00C32BDC"/>
    <w:rsid w:val="00C32BEC"/>
    <w:rsid w:val="00C32C7E"/>
    <w:rsid w:val="00C32DD3"/>
    <w:rsid w:val="00C331BB"/>
    <w:rsid w:val="00C331EC"/>
    <w:rsid w:val="00C33487"/>
    <w:rsid w:val="00C334A1"/>
    <w:rsid w:val="00C334E6"/>
    <w:rsid w:val="00C336D6"/>
    <w:rsid w:val="00C3370C"/>
    <w:rsid w:val="00C33717"/>
    <w:rsid w:val="00C337C9"/>
    <w:rsid w:val="00C33B6D"/>
    <w:rsid w:val="00C33C81"/>
    <w:rsid w:val="00C33DEB"/>
    <w:rsid w:val="00C33E6B"/>
    <w:rsid w:val="00C33E92"/>
    <w:rsid w:val="00C33EE0"/>
    <w:rsid w:val="00C3408D"/>
    <w:rsid w:val="00C34095"/>
    <w:rsid w:val="00C340D1"/>
    <w:rsid w:val="00C34299"/>
    <w:rsid w:val="00C342FC"/>
    <w:rsid w:val="00C34333"/>
    <w:rsid w:val="00C3434A"/>
    <w:rsid w:val="00C345CD"/>
    <w:rsid w:val="00C346BA"/>
    <w:rsid w:val="00C346F0"/>
    <w:rsid w:val="00C34BB0"/>
    <w:rsid w:val="00C34E84"/>
    <w:rsid w:val="00C34FAA"/>
    <w:rsid w:val="00C34FB0"/>
    <w:rsid w:val="00C351E6"/>
    <w:rsid w:val="00C353A7"/>
    <w:rsid w:val="00C35427"/>
    <w:rsid w:val="00C354F4"/>
    <w:rsid w:val="00C3551B"/>
    <w:rsid w:val="00C355DE"/>
    <w:rsid w:val="00C358FF"/>
    <w:rsid w:val="00C359C6"/>
    <w:rsid w:val="00C359E1"/>
    <w:rsid w:val="00C35BBA"/>
    <w:rsid w:val="00C35E25"/>
    <w:rsid w:val="00C35E58"/>
    <w:rsid w:val="00C35F95"/>
    <w:rsid w:val="00C35FC7"/>
    <w:rsid w:val="00C3601A"/>
    <w:rsid w:val="00C36147"/>
    <w:rsid w:val="00C361C3"/>
    <w:rsid w:val="00C362AF"/>
    <w:rsid w:val="00C3631D"/>
    <w:rsid w:val="00C363DF"/>
    <w:rsid w:val="00C36696"/>
    <w:rsid w:val="00C3678B"/>
    <w:rsid w:val="00C367FB"/>
    <w:rsid w:val="00C36A68"/>
    <w:rsid w:val="00C36C4D"/>
    <w:rsid w:val="00C37025"/>
    <w:rsid w:val="00C37183"/>
    <w:rsid w:val="00C3728E"/>
    <w:rsid w:val="00C375A8"/>
    <w:rsid w:val="00C376AC"/>
    <w:rsid w:val="00C376E9"/>
    <w:rsid w:val="00C37B3E"/>
    <w:rsid w:val="00C37DA4"/>
    <w:rsid w:val="00C37E7D"/>
    <w:rsid w:val="00C37F4D"/>
    <w:rsid w:val="00C4020E"/>
    <w:rsid w:val="00C40366"/>
    <w:rsid w:val="00C40423"/>
    <w:rsid w:val="00C407D4"/>
    <w:rsid w:val="00C40AEF"/>
    <w:rsid w:val="00C40BAF"/>
    <w:rsid w:val="00C40BBB"/>
    <w:rsid w:val="00C40C16"/>
    <w:rsid w:val="00C411BF"/>
    <w:rsid w:val="00C41268"/>
    <w:rsid w:val="00C41313"/>
    <w:rsid w:val="00C41420"/>
    <w:rsid w:val="00C416E4"/>
    <w:rsid w:val="00C4171B"/>
    <w:rsid w:val="00C4177B"/>
    <w:rsid w:val="00C41989"/>
    <w:rsid w:val="00C419D3"/>
    <w:rsid w:val="00C41FEA"/>
    <w:rsid w:val="00C421DA"/>
    <w:rsid w:val="00C4227E"/>
    <w:rsid w:val="00C423DB"/>
    <w:rsid w:val="00C42A26"/>
    <w:rsid w:val="00C42EFD"/>
    <w:rsid w:val="00C430C3"/>
    <w:rsid w:val="00C430E9"/>
    <w:rsid w:val="00C4313E"/>
    <w:rsid w:val="00C431A5"/>
    <w:rsid w:val="00C43210"/>
    <w:rsid w:val="00C4324A"/>
    <w:rsid w:val="00C43366"/>
    <w:rsid w:val="00C43530"/>
    <w:rsid w:val="00C435B9"/>
    <w:rsid w:val="00C43620"/>
    <w:rsid w:val="00C43B03"/>
    <w:rsid w:val="00C44228"/>
    <w:rsid w:val="00C44254"/>
    <w:rsid w:val="00C44A07"/>
    <w:rsid w:val="00C44AC8"/>
    <w:rsid w:val="00C44C03"/>
    <w:rsid w:val="00C44C52"/>
    <w:rsid w:val="00C44CD2"/>
    <w:rsid w:val="00C4505A"/>
    <w:rsid w:val="00C4508C"/>
    <w:rsid w:val="00C45403"/>
    <w:rsid w:val="00C455EB"/>
    <w:rsid w:val="00C45749"/>
    <w:rsid w:val="00C458C2"/>
    <w:rsid w:val="00C45A74"/>
    <w:rsid w:val="00C45AA8"/>
    <w:rsid w:val="00C45AB5"/>
    <w:rsid w:val="00C45ADF"/>
    <w:rsid w:val="00C45D51"/>
    <w:rsid w:val="00C45D9F"/>
    <w:rsid w:val="00C4624E"/>
    <w:rsid w:val="00C46684"/>
    <w:rsid w:val="00C4669E"/>
    <w:rsid w:val="00C467C6"/>
    <w:rsid w:val="00C4692D"/>
    <w:rsid w:val="00C4695C"/>
    <w:rsid w:val="00C46C1C"/>
    <w:rsid w:val="00C46CF5"/>
    <w:rsid w:val="00C46EBC"/>
    <w:rsid w:val="00C470FF"/>
    <w:rsid w:val="00C47186"/>
    <w:rsid w:val="00C472C9"/>
    <w:rsid w:val="00C4742D"/>
    <w:rsid w:val="00C474C1"/>
    <w:rsid w:val="00C474EA"/>
    <w:rsid w:val="00C47602"/>
    <w:rsid w:val="00C47710"/>
    <w:rsid w:val="00C47729"/>
    <w:rsid w:val="00C47780"/>
    <w:rsid w:val="00C479D0"/>
    <w:rsid w:val="00C47B8A"/>
    <w:rsid w:val="00C47BBA"/>
    <w:rsid w:val="00C47D7E"/>
    <w:rsid w:val="00C47F77"/>
    <w:rsid w:val="00C500DF"/>
    <w:rsid w:val="00C50180"/>
    <w:rsid w:val="00C5041C"/>
    <w:rsid w:val="00C5050D"/>
    <w:rsid w:val="00C506A4"/>
    <w:rsid w:val="00C508A9"/>
    <w:rsid w:val="00C50A96"/>
    <w:rsid w:val="00C50BC9"/>
    <w:rsid w:val="00C50BD5"/>
    <w:rsid w:val="00C510F6"/>
    <w:rsid w:val="00C515C5"/>
    <w:rsid w:val="00C51A98"/>
    <w:rsid w:val="00C51B95"/>
    <w:rsid w:val="00C51D46"/>
    <w:rsid w:val="00C51E05"/>
    <w:rsid w:val="00C51E7D"/>
    <w:rsid w:val="00C524DE"/>
    <w:rsid w:val="00C52614"/>
    <w:rsid w:val="00C5286B"/>
    <w:rsid w:val="00C52878"/>
    <w:rsid w:val="00C529C0"/>
    <w:rsid w:val="00C52D27"/>
    <w:rsid w:val="00C52D3A"/>
    <w:rsid w:val="00C530F9"/>
    <w:rsid w:val="00C53111"/>
    <w:rsid w:val="00C531DA"/>
    <w:rsid w:val="00C53240"/>
    <w:rsid w:val="00C53289"/>
    <w:rsid w:val="00C533BF"/>
    <w:rsid w:val="00C533DE"/>
    <w:rsid w:val="00C53A25"/>
    <w:rsid w:val="00C53C5B"/>
    <w:rsid w:val="00C53DDB"/>
    <w:rsid w:val="00C5405D"/>
    <w:rsid w:val="00C540AB"/>
    <w:rsid w:val="00C540BD"/>
    <w:rsid w:val="00C54610"/>
    <w:rsid w:val="00C54619"/>
    <w:rsid w:val="00C5465A"/>
    <w:rsid w:val="00C5476F"/>
    <w:rsid w:val="00C547B2"/>
    <w:rsid w:val="00C54813"/>
    <w:rsid w:val="00C548B2"/>
    <w:rsid w:val="00C54B03"/>
    <w:rsid w:val="00C54C2D"/>
    <w:rsid w:val="00C54EDB"/>
    <w:rsid w:val="00C54FBD"/>
    <w:rsid w:val="00C5509B"/>
    <w:rsid w:val="00C5519A"/>
    <w:rsid w:val="00C55708"/>
    <w:rsid w:val="00C5570B"/>
    <w:rsid w:val="00C55A8F"/>
    <w:rsid w:val="00C55B24"/>
    <w:rsid w:val="00C56225"/>
    <w:rsid w:val="00C563A2"/>
    <w:rsid w:val="00C563F2"/>
    <w:rsid w:val="00C56449"/>
    <w:rsid w:val="00C564E7"/>
    <w:rsid w:val="00C5673E"/>
    <w:rsid w:val="00C567AD"/>
    <w:rsid w:val="00C56ACC"/>
    <w:rsid w:val="00C56BC1"/>
    <w:rsid w:val="00C56C45"/>
    <w:rsid w:val="00C56D13"/>
    <w:rsid w:val="00C56E49"/>
    <w:rsid w:val="00C56F11"/>
    <w:rsid w:val="00C56FAF"/>
    <w:rsid w:val="00C5700E"/>
    <w:rsid w:val="00C57016"/>
    <w:rsid w:val="00C57093"/>
    <w:rsid w:val="00C571B8"/>
    <w:rsid w:val="00C571DD"/>
    <w:rsid w:val="00C574A2"/>
    <w:rsid w:val="00C574D6"/>
    <w:rsid w:val="00C579A6"/>
    <w:rsid w:val="00C57B0D"/>
    <w:rsid w:val="00C6000E"/>
    <w:rsid w:val="00C600EE"/>
    <w:rsid w:val="00C6015B"/>
    <w:rsid w:val="00C60421"/>
    <w:rsid w:val="00C60434"/>
    <w:rsid w:val="00C604B4"/>
    <w:rsid w:val="00C60552"/>
    <w:rsid w:val="00C60675"/>
    <w:rsid w:val="00C606B4"/>
    <w:rsid w:val="00C6074E"/>
    <w:rsid w:val="00C607BA"/>
    <w:rsid w:val="00C6083A"/>
    <w:rsid w:val="00C60A28"/>
    <w:rsid w:val="00C60A74"/>
    <w:rsid w:val="00C60AA9"/>
    <w:rsid w:val="00C60C01"/>
    <w:rsid w:val="00C60FAC"/>
    <w:rsid w:val="00C6103F"/>
    <w:rsid w:val="00C6113F"/>
    <w:rsid w:val="00C61158"/>
    <w:rsid w:val="00C6117B"/>
    <w:rsid w:val="00C61268"/>
    <w:rsid w:val="00C6127B"/>
    <w:rsid w:val="00C612F2"/>
    <w:rsid w:val="00C6131A"/>
    <w:rsid w:val="00C613B2"/>
    <w:rsid w:val="00C61441"/>
    <w:rsid w:val="00C614A7"/>
    <w:rsid w:val="00C61592"/>
    <w:rsid w:val="00C615AF"/>
    <w:rsid w:val="00C61775"/>
    <w:rsid w:val="00C61837"/>
    <w:rsid w:val="00C61876"/>
    <w:rsid w:val="00C619B9"/>
    <w:rsid w:val="00C619F6"/>
    <w:rsid w:val="00C61B49"/>
    <w:rsid w:val="00C61B72"/>
    <w:rsid w:val="00C61BDE"/>
    <w:rsid w:val="00C61BF3"/>
    <w:rsid w:val="00C61C66"/>
    <w:rsid w:val="00C61EDD"/>
    <w:rsid w:val="00C624A1"/>
    <w:rsid w:val="00C624A9"/>
    <w:rsid w:val="00C624DE"/>
    <w:rsid w:val="00C6252C"/>
    <w:rsid w:val="00C6258C"/>
    <w:rsid w:val="00C62AF4"/>
    <w:rsid w:val="00C62B4A"/>
    <w:rsid w:val="00C62EC3"/>
    <w:rsid w:val="00C6310E"/>
    <w:rsid w:val="00C6322D"/>
    <w:rsid w:val="00C63329"/>
    <w:rsid w:val="00C63363"/>
    <w:rsid w:val="00C6336E"/>
    <w:rsid w:val="00C63385"/>
    <w:rsid w:val="00C635D2"/>
    <w:rsid w:val="00C636C7"/>
    <w:rsid w:val="00C63746"/>
    <w:rsid w:val="00C637BB"/>
    <w:rsid w:val="00C6385A"/>
    <w:rsid w:val="00C638DF"/>
    <w:rsid w:val="00C639DA"/>
    <w:rsid w:val="00C63BAB"/>
    <w:rsid w:val="00C63E0D"/>
    <w:rsid w:val="00C63F91"/>
    <w:rsid w:val="00C64409"/>
    <w:rsid w:val="00C6458D"/>
    <w:rsid w:val="00C64A5D"/>
    <w:rsid w:val="00C64A96"/>
    <w:rsid w:val="00C64B0C"/>
    <w:rsid w:val="00C64DAB"/>
    <w:rsid w:val="00C64DF6"/>
    <w:rsid w:val="00C64E32"/>
    <w:rsid w:val="00C64E9A"/>
    <w:rsid w:val="00C64F2D"/>
    <w:rsid w:val="00C6521D"/>
    <w:rsid w:val="00C65247"/>
    <w:rsid w:val="00C65268"/>
    <w:rsid w:val="00C6563C"/>
    <w:rsid w:val="00C658A3"/>
    <w:rsid w:val="00C6597D"/>
    <w:rsid w:val="00C65AB9"/>
    <w:rsid w:val="00C65BA7"/>
    <w:rsid w:val="00C65BF5"/>
    <w:rsid w:val="00C65CB5"/>
    <w:rsid w:val="00C65D11"/>
    <w:rsid w:val="00C6613F"/>
    <w:rsid w:val="00C66229"/>
    <w:rsid w:val="00C662F6"/>
    <w:rsid w:val="00C66358"/>
    <w:rsid w:val="00C663EB"/>
    <w:rsid w:val="00C66BBD"/>
    <w:rsid w:val="00C66BFE"/>
    <w:rsid w:val="00C66C75"/>
    <w:rsid w:val="00C66DE7"/>
    <w:rsid w:val="00C66F6F"/>
    <w:rsid w:val="00C67293"/>
    <w:rsid w:val="00C673E7"/>
    <w:rsid w:val="00C6782B"/>
    <w:rsid w:val="00C6787F"/>
    <w:rsid w:val="00C67B07"/>
    <w:rsid w:val="00C67D39"/>
    <w:rsid w:val="00C67DA3"/>
    <w:rsid w:val="00C7018F"/>
    <w:rsid w:val="00C70241"/>
    <w:rsid w:val="00C7024E"/>
    <w:rsid w:val="00C702B9"/>
    <w:rsid w:val="00C7043C"/>
    <w:rsid w:val="00C70747"/>
    <w:rsid w:val="00C70758"/>
    <w:rsid w:val="00C707E2"/>
    <w:rsid w:val="00C7081B"/>
    <w:rsid w:val="00C70B1B"/>
    <w:rsid w:val="00C70D94"/>
    <w:rsid w:val="00C71332"/>
    <w:rsid w:val="00C71573"/>
    <w:rsid w:val="00C715A5"/>
    <w:rsid w:val="00C715CD"/>
    <w:rsid w:val="00C71AEB"/>
    <w:rsid w:val="00C71C3D"/>
    <w:rsid w:val="00C71CB0"/>
    <w:rsid w:val="00C71DD7"/>
    <w:rsid w:val="00C71F39"/>
    <w:rsid w:val="00C72097"/>
    <w:rsid w:val="00C72192"/>
    <w:rsid w:val="00C7229C"/>
    <w:rsid w:val="00C7241A"/>
    <w:rsid w:val="00C729CB"/>
    <w:rsid w:val="00C729D6"/>
    <w:rsid w:val="00C72CFC"/>
    <w:rsid w:val="00C72EC4"/>
    <w:rsid w:val="00C73348"/>
    <w:rsid w:val="00C734CC"/>
    <w:rsid w:val="00C73666"/>
    <w:rsid w:val="00C73846"/>
    <w:rsid w:val="00C739A3"/>
    <w:rsid w:val="00C73ACB"/>
    <w:rsid w:val="00C73AEC"/>
    <w:rsid w:val="00C73AFC"/>
    <w:rsid w:val="00C73DE7"/>
    <w:rsid w:val="00C74852"/>
    <w:rsid w:val="00C749C7"/>
    <w:rsid w:val="00C74A0A"/>
    <w:rsid w:val="00C74A96"/>
    <w:rsid w:val="00C74BF8"/>
    <w:rsid w:val="00C74C69"/>
    <w:rsid w:val="00C74F29"/>
    <w:rsid w:val="00C74FFF"/>
    <w:rsid w:val="00C750AB"/>
    <w:rsid w:val="00C750D1"/>
    <w:rsid w:val="00C75327"/>
    <w:rsid w:val="00C75481"/>
    <w:rsid w:val="00C75699"/>
    <w:rsid w:val="00C7573C"/>
    <w:rsid w:val="00C75811"/>
    <w:rsid w:val="00C758B5"/>
    <w:rsid w:val="00C7597B"/>
    <w:rsid w:val="00C75F8B"/>
    <w:rsid w:val="00C75FAE"/>
    <w:rsid w:val="00C761B5"/>
    <w:rsid w:val="00C762BF"/>
    <w:rsid w:val="00C76329"/>
    <w:rsid w:val="00C7656D"/>
    <w:rsid w:val="00C76589"/>
    <w:rsid w:val="00C765F6"/>
    <w:rsid w:val="00C7665E"/>
    <w:rsid w:val="00C766FE"/>
    <w:rsid w:val="00C7685F"/>
    <w:rsid w:val="00C76A1B"/>
    <w:rsid w:val="00C76BEF"/>
    <w:rsid w:val="00C76D25"/>
    <w:rsid w:val="00C76D49"/>
    <w:rsid w:val="00C77156"/>
    <w:rsid w:val="00C771C8"/>
    <w:rsid w:val="00C77309"/>
    <w:rsid w:val="00C77474"/>
    <w:rsid w:val="00C774A2"/>
    <w:rsid w:val="00C7758F"/>
    <w:rsid w:val="00C77679"/>
    <w:rsid w:val="00C77734"/>
    <w:rsid w:val="00C77A02"/>
    <w:rsid w:val="00C77BA4"/>
    <w:rsid w:val="00C77BBF"/>
    <w:rsid w:val="00C77D06"/>
    <w:rsid w:val="00C77E9D"/>
    <w:rsid w:val="00C77EC8"/>
    <w:rsid w:val="00C80026"/>
    <w:rsid w:val="00C80111"/>
    <w:rsid w:val="00C8025F"/>
    <w:rsid w:val="00C80528"/>
    <w:rsid w:val="00C80736"/>
    <w:rsid w:val="00C80957"/>
    <w:rsid w:val="00C80F0C"/>
    <w:rsid w:val="00C814C3"/>
    <w:rsid w:val="00C814EC"/>
    <w:rsid w:val="00C81607"/>
    <w:rsid w:val="00C81944"/>
    <w:rsid w:val="00C819A4"/>
    <w:rsid w:val="00C81DAF"/>
    <w:rsid w:val="00C81EFB"/>
    <w:rsid w:val="00C82188"/>
    <w:rsid w:val="00C821A2"/>
    <w:rsid w:val="00C8228F"/>
    <w:rsid w:val="00C82300"/>
    <w:rsid w:val="00C8233A"/>
    <w:rsid w:val="00C824EA"/>
    <w:rsid w:val="00C8252F"/>
    <w:rsid w:val="00C8266E"/>
    <w:rsid w:val="00C8279C"/>
    <w:rsid w:val="00C829C7"/>
    <w:rsid w:val="00C82C0C"/>
    <w:rsid w:val="00C82D8D"/>
    <w:rsid w:val="00C82E4C"/>
    <w:rsid w:val="00C82E98"/>
    <w:rsid w:val="00C83057"/>
    <w:rsid w:val="00C831AC"/>
    <w:rsid w:val="00C833BB"/>
    <w:rsid w:val="00C835A5"/>
    <w:rsid w:val="00C8361D"/>
    <w:rsid w:val="00C8387C"/>
    <w:rsid w:val="00C83A23"/>
    <w:rsid w:val="00C83A44"/>
    <w:rsid w:val="00C83A75"/>
    <w:rsid w:val="00C83DE3"/>
    <w:rsid w:val="00C83E31"/>
    <w:rsid w:val="00C83ECF"/>
    <w:rsid w:val="00C84078"/>
    <w:rsid w:val="00C841B0"/>
    <w:rsid w:val="00C8426E"/>
    <w:rsid w:val="00C84316"/>
    <w:rsid w:val="00C84390"/>
    <w:rsid w:val="00C84533"/>
    <w:rsid w:val="00C846AF"/>
    <w:rsid w:val="00C849B7"/>
    <w:rsid w:val="00C84C06"/>
    <w:rsid w:val="00C84C75"/>
    <w:rsid w:val="00C84D2D"/>
    <w:rsid w:val="00C84D61"/>
    <w:rsid w:val="00C84E24"/>
    <w:rsid w:val="00C84ECB"/>
    <w:rsid w:val="00C85045"/>
    <w:rsid w:val="00C85175"/>
    <w:rsid w:val="00C851CF"/>
    <w:rsid w:val="00C853F8"/>
    <w:rsid w:val="00C85635"/>
    <w:rsid w:val="00C856AB"/>
    <w:rsid w:val="00C85756"/>
    <w:rsid w:val="00C858B6"/>
    <w:rsid w:val="00C858F8"/>
    <w:rsid w:val="00C85B47"/>
    <w:rsid w:val="00C85C4F"/>
    <w:rsid w:val="00C85CBC"/>
    <w:rsid w:val="00C85E30"/>
    <w:rsid w:val="00C860A2"/>
    <w:rsid w:val="00C861CB"/>
    <w:rsid w:val="00C867ED"/>
    <w:rsid w:val="00C868A3"/>
    <w:rsid w:val="00C86930"/>
    <w:rsid w:val="00C86BCF"/>
    <w:rsid w:val="00C86EA1"/>
    <w:rsid w:val="00C86FF0"/>
    <w:rsid w:val="00C87090"/>
    <w:rsid w:val="00C87165"/>
    <w:rsid w:val="00C872C0"/>
    <w:rsid w:val="00C8730C"/>
    <w:rsid w:val="00C87804"/>
    <w:rsid w:val="00C878C3"/>
    <w:rsid w:val="00C878C9"/>
    <w:rsid w:val="00C879AA"/>
    <w:rsid w:val="00C879D5"/>
    <w:rsid w:val="00C87B2A"/>
    <w:rsid w:val="00C87E4D"/>
    <w:rsid w:val="00C87EA7"/>
    <w:rsid w:val="00C87F7A"/>
    <w:rsid w:val="00C87FF0"/>
    <w:rsid w:val="00C90087"/>
    <w:rsid w:val="00C902B6"/>
    <w:rsid w:val="00C9034F"/>
    <w:rsid w:val="00C90665"/>
    <w:rsid w:val="00C90692"/>
    <w:rsid w:val="00C9088C"/>
    <w:rsid w:val="00C909A1"/>
    <w:rsid w:val="00C90CBE"/>
    <w:rsid w:val="00C90CEB"/>
    <w:rsid w:val="00C90D35"/>
    <w:rsid w:val="00C90F6C"/>
    <w:rsid w:val="00C9109F"/>
    <w:rsid w:val="00C910F2"/>
    <w:rsid w:val="00C91245"/>
    <w:rsid w:val="00C9130A"/>
    <w:rsid w:val="00C9147C"/>
    <w:rsid w:val="00C91523"/>
    <w:rsid w:val="00C9154D"/>
    <w:rsid w:val="00C91738"/>
    <w:rsid w:val="00C917BC"/>
    <w:rsid w:val="00C917FA"/>
    <w:rsid w:val="00C919A0"/>
    <w:rsid w:val="00C91B47"/>
    <w:rsid w:val="00C91CB6"/>
    <w:rsid w:val="00C91D62"/>
    <w:rsid w:val="00C91FAB"/>
    <w:rsid w:val="00C9229D"/>
    <w:rsid w:val="00C925CE"/>
    <w:rsid w:val="00C92AE4"/>
    <w:rsid w:val="00C92B92"/>
    <w:rsid w:val="00C9307B"/>
    <w:rsid w:val="00C93102"/>
    <w:rsid w:val="00C93190"/>
    <w:rsid w:val="00C934F3"/>
    <w:rsid w:val="00C93570"/>
    <w:rsid w:val="00C935E8"/>
    <w:rsid w:val="00C935F3"/>
    <w:rsid w:val="00C9367F"/>
    <w:rsid w:val="00C936AA"/>
    <w:rsid w:val="00C93802"/>
    <w:rsid w:val="00C9397E"/>
    <w:rsid w:val="00C939C1"/>
    <w:rsid w:val="00C939C5"/>
    <w:rsid w:val="00C939EE"/>
    <w:rsid w:val="00C939F5"/>
    <w:rsid w:val="00C93BEE"/>
    <w:rsid w:val="00C93CEC"/>
    <w:rsid w:val="00C93CFB"/>
    <w:rsid w:val="00C93E7C"/>
    <w:rsid w:val="00C93F93"/>
    <w:rsid w:val="00C940E4"/>
    <w:rsid w:val="00C9432C"/>
    <w:rsid w:val="00C9433A"/>
    <w:rsid w:val="00C9452B"/>
    <w:rsid w:val="00C94538"/>
    <w:rsid w:val="00C9463A"/>
    <w:rsid w:val="00C9474E"/>
    <w:rsid w:val="00C948A9"/>
    <w:rsid w:val="00C948DA"/>
    <w:rsid w:val="00C94A03"/>
    <w:rsid w:val="00C94F20"/>
    <w:rsid w:val="00C95009"/>
    <w:rsid w:val="00C950DF"/>
    <w:rsid w:val="00C9515E"/>
    <w:rsid w:val="00C952C6"/>
    <w:rsid w:val="00C95342"/>
    <w:rsid w:val="00C95B52"/>
    <w:rsid w:val="00C95C87"/>
    <w:rsid w:val="00C95DE1"/>
    <w:rsid w:val="00C95E44"/>
    <w:rsid w:val="00C95EE9"/>
    <w:rsid w:val="00C95F4A"/>
    <w:rsid w:val="00C9612D"/>
    <w:rsid w:val="00C96669"/>
    <w:rsid w:val="00C966F0"/>
    <w:rsid w:val="00C967B5"/>
    <w:rsid w:val="00C96906"/>
    <w:rsid w:val="00C969C4"/>
    <w:rsid w:val="00C96AC2"/>
    <w:rsid w:val="00C96B0D"/>
    <w:rsid w:val="00C972FC"/>
    <w:rsid w:val="00C9733D"/>
    <w:rsid w:val="00C9743B"/>
    <w:rsid w:val="00C974EA"/>
    <w:rsid w:val="00C978AF"/>
    <w:rsid w:val="00C979B2"/>
    <w:rsid w:val="00C97ACE"/>
    <w:rsid w:val="00C97BD9"/>
    <w:rsid w:val="00C97C84"/>
    <w:rsid w:val="00C97D19"/>
    <w:rsid w:val="00C97D63"/>
    <w:rsid w:val="00C97DAE"/>
    <w:rsid w:val="00C97DCB"/>
    <w:rsid w:val="00C97EE5"/>
    <w:rsid w:val="00C97FF5"/>
    <w:rsid w:val="00CA0678"/>
    <w:rsid w:val="00CA06B6"/>
    <w:rsid w:val="00CA06F1"/>
    <w:rsid w:val="00CA0827"/>
    <w:rsid w:val="00CA08DD"/>
    <w:rsid w:val="00CA0A3A"/>
    <w:rsid w:val="00CA105E"/>
    <w:rsid w:val="00CA1109"/>
    <w:rsid w:val="00CA11C0"/>
    <w:rsid w:val="00CA14B8"/>
    <w:rsid w:val="00CA1643"/>
    <w:rsid w:val="00CA19C0"/>
    <w:rsid w:val="00CA19F7"/>
    <w:rsid w:val="00CA1A14"/>
    <w:rsid w:val="00CA1C70"/>
    <w:rsid w:val="00CA1D82"/>
    <w:rsid w:val="00CA1F5D"/>
    <w:rsid w:val="00CA2000"/>
    <w:rsid w:val="00CA2068"/>
    <w:rsid w:val="00CA2111"/>
    <w:rsid w:val="00CA212F"/>
    <w:rsid w:val="00CA21C6"/>
    <w:rsid w:val="00CA227B"/>
    <w:rsid w:val="00CA25AB"/>
    <w:rsid w:val="00CA27FC"/>
    <w:rsid w:val="00CA2875"/>
    <w:rsid w:val="00CA2901"/>
    <w:rsid w:val="00CA2C5C"/>
    <w:rsid w:val="00CA2D9D"/>
    <w:rsid w:val="00CA2E07"/>
    <w:rsid w:val="00CA2FE0"/>
    <w:rsid w:val="00CA30DE"/>
    <w:rsid w:val="00CA30FA"/>
    <w:rsid w:val="00CA3244"/>
    <w:rsid w:val="00CA3323"/>
    <w:rsid w:val="00CA3705"/>
    <w:rsid w:val="00CA3706"/>
    <w:rsid w:val="00CA37D9"/>
    <w:rsid w:val="00CA39C0"/>
    <w:rsid w:val="00CA3A3B"/>
    <w:rsid w:val="00CA3A4B"/>
    <w:rsid w:val="00CA3B0F"/>
    <w:rsid w:val="00CA3D3A"/>
    <w:rsid w:val="00CA3D92"/>
    <w:rsid w:val="00CA3F8D"/>
    <w:rsid w:val="00CA438C"/>
    <w:rsid w:val="00CA445F"/>
    <w:rsid w:val="00CA45CB"/>
    <w:rsid w:val="00CA461F"/>
    <w:rsid w:val="00CA47E1"/>
    <w:rsid w:val="00CA4894"/>
    <w:rsid w:val="00CA48F5"/>
    <w:rsid w:val="00CA4937"/>
    <w:rsid w:val="00CA4B17"/>
    <w:rsid w:val="00CA4B4A"/>
    <w:rsid w:val="00CA4B6F"/>
    <w:rsid w:val="00CA4D0D"/>
    <w:rsid w:val="00CA5114"/>
    <w:rsid w:val="00CA5190"/>
    <w:rsid w:val="00CA5363"/>
    <w:rsid w:val="00CA537B"/>
    <w:rsid w:val="00CA54CF"/>
    <w:rsid w:val="00CA56B9"/>
    <w:rsid w:val="00CA5873"/>
    <w:rsid w:val="00CA5A57"/>
    <w:rsid w:val="00CA5A6B"/>
    <w:rsid w:val="00CA5B0D"/>
    <w:rsid w:val="00CA5BA7"/>
    <w:rsid w:val="00CA5BEC"/>
    <w:rsid w:val="00CA5D81"/>
    <w:rsid w:val="00CA5ED3"/>
    <w:rsid w:val="00CA612E"/>
    <w:rsid w:val="00CA62DB"/>
    <w:rsid w:val="00CA632E"/>
    <w:rsid w:val="00CA6337"/>
    <w:rsid w:val="00CA6599"/>
    <w:rsid w:val="00CA669E"/>
    <w:rsid w:val="00CA670F"/>
    <w:rsid w:val="00CA6721"/>
    <w:rsid w:val="00CA6951"/>
    <w:rsid w:val="00CA6BB3"/>
    <w:rsid w:val="00CA6D75"/>
    <w:rsid w:val="00CA706A"/>
    <w:rsid w:val="00CA713C"/>
    <w:rsid w:val="00CA72E3"/>
    <w:rsid w:val="00CA7375"/>
    <w:rsid w:val="00CA7464"/>
    <w:rsid w:val="00CA7665"/>
    <w:rsid w:val="00CA7687"/>
    <w:rsid w:val="00CA77C1"/>
    <w:rsid w:val="00CA77F0"/>
    <w:rsid w:val="00CA7868"/>
    <w:rsid w:val="00CA7920"/>
    <w:rsid w:val="00CA7EC2"/>
    <w:rsid w:val="00CB014D"/>
    <w:rsid w:val="00CB0588"/>
    <w:rsid w:val="00CB0613"/>
    <w:rsid w:val="00CB07E6"/>
    <w:rsid w:val="00CB0BB1"/>
    <w:rsid w:val="00CB0BBD"/>
    <w:rsid w:val="00CB0BFF"/>
    <w:rsid w:val="00CB0DA9"/>
    <w:rsid w:val="00CB0E14"/>
    <w:rsid w:val="00CB106B"/>
    <w:rsid w:val="00CB10CC"/>
    <w:rsid w:val="00CB11F0"/>
    <w:rsid w:val="00CB1339"/>
    <w:rsid w:val="00CB1344"/>
    <w:rsid w:val="00CB160E"/>
    <w:rsid w:val="00CB16C4"/>
    <w:rsid w:val="00CB189E"/>
    <w:rsid w:val="00CB18D5"/>
    <w:rsid w:val="00CB19CC"/>
    <w:rsid w:val="00CB19F7"/>
    <w:rsid w:val="00CB1C34"/>
    <w:rsid w:val="00CB1D24"/>
    <w:rsid w:val="00CB1D53"/>
    <w:rsid w:val="00CB1E54"/>
    <w:rsid w:val="00CB1EBF"/>
    <w:rsid w:val="00CB204D"/>
    <w:rsid w:val="00CB20C6"/>
    <w:rsid w:val="00CB212D"/>
    <w:rsid w:val="00CB2136"/>
    <w:rsid w:val="00CB233A"/>
    <w:rsid w:val="00CB2754"/>
    <w:rsid w:val="00CB2791"/>
    <w:rsid w:val="00CB2830"/>
    <w:rsid w:val="00CB2963"/>
    <w:rsid w:val="00CB2CA2"/>
    <w:rsid w:val="00CB2CE9"/>
    <w:rsid w:val="00CB2EC1"/>
    <w:rsid w:val="00CB2F4B"/>
    <w:rsid w:val="00CB2F56"/>
    <w:rsid w:val="00CB2F6E"/>
    <w:rsid w:val="00CB2F70"/>
    <w:rsid w:val="00CB2F71"/>
    <w:rsid w:val="00CB2F8C"/>
    <w:rsid w:val="00CB3286"/>
    <w:rsid w:val="00CB32DE"/>
    <w:rsid w:val="00CB32FB"/>
    <w:rsid w:val="00CB33B6"/>
    <w:rsid w:val="00CB347D"/>
    <w:rsid w:val="00CB348A"/>
    <w:rsid w:val="00CB3723"/>
    <w:rsid w:val="00CB374E"/>
    <w:rsid w:val="00CB3797"/>
    <w:rsid w:val="00CB381D"/>
    <w:rsid w:val="00CB3870"/>
    <w:rsid w:val="00CB3888"/>
    <w:rsid w:val="00CB3AFD"/>
    <w:rsid w:val="00CB3CC0"/>
    <w:rsid w:val="00CB3CF5"/>
    <w:rsid w:val="00CB3D10"/>
    <w:rsid w:val="00CB3DD3"/>
    <w:rsid w:val="00CB41AF"/>
    <w:rsid w:val="00CB4212"/>
    <w:rsid w:val="00CB4251"/>
    <w:rsid w:val="00CB4420"/>
    <w:rsid w:val="00CB46A8"/>
    <w:rsid w:val="00CB4844"/>
    <w:rsid w:val="00CB49EB"/>
    <w:rsid w:val="00CB4BFC"/>
    <w:rsid w:val="00CB4CAA"/>
    <w:rsid w:val="00CB4D44"/>
    <w:rsid w:val="00CB4DB4"/>
    <w:rsid w:val="00CB4E67"/>
    <w:rsid w:val="00CB4F5D"/>
    <w:rsid w:val="00CB501F"/>
    <w:rsid w:val="00CB5094"/>
    <w:rsid w:val="00CB51FD"/>
    <w:rsid w:val="00CB552A"/>
    <w:rsid w:val="00CB566E"/>
    <w:rsid w:val="00CB5994"/>
    <w:rsid w:val="00CB59BB"/>
    <w:rsid w:val="00CB59EC"/>
    <w:rsid w:val="00CB5A80"/>
    <w:rsid w:val="00CB5A81"/>
    <w:rsid w:val="00CB5DB8"/>
    <w:rsid w:val="00CB5DBD"/>
    <w:rsid w:val="00CB626A"/>
    <w:rsid w:val="00CB6423"/>
    <w:rsid w:val="00CB65EF"/>
    <w:rsid w:val="00CB6A1A"/>
    <w:rsid w:val="00CB6B22"/>
    <w:rsid w:val="00CB6BDB"/>
    <w:rsid w:val="00CB6F4C"/>
    <w:rsid w:val="00CB6FB1"/>
    <w:rsid w:val="00CB7015"/>
    <w:rsid w:val="00CB72FE"/>
    <w:rsid w:val="00CB7523"/>
    <w:rsid w:val="00CB7681"/>
    <w:rsid w:val="00CB76FE"/>
    <w:rsid w:val="00CB7833"/>
    <w:rsid w:val="00CB7872"/>
    <w:rsid w:val="00CB7898"/>
    <w:rsid w:val="00CB7ADA"/>
    <w:rsid w:val="00CB7C6B"/>
    <w:rsid w:val="00CB7CC1"/>
    <w:rsid w:val="00CC01EA"/>
    <w:rsid w:val="00CC04F2"/>
    <w:rsid w:val="00CC0650"/>
    <w:rsid w:val="00CC06A6"/>
    <w:rsid w:val="00CC06CB"/>
    <w:rsid w:val="00CC0925"/>
    <w:rsid w:val="00CC09DA"/>
    <w:rsid w:val="00CC0A13"/>
    <w:rsid w:val="00CC0C5F"/>
    <w:rsid w:val="00CC0D18"/>
    <w:rsid w:val="00CC0DF5"/>
    <w:rsid w:val="00CC1197"/>
    <w:rsid w:val="00CC11B2"/>
    <w:rsid w:val="00CC1264"/>
    <w:rsid w:val="00CC127A"/>
    <w:rsid w:val="00CC13D7"/>
    <w:rsid w:val="00CC152B"/>
    <w:rsid w:val="00CC15F1"/>
    <w:rsid w:val="00CC16B4"/>
    <w:rsid w:val="00CC1793"/>
    <w:rsid w:val="00CC17A1"/>
    <w:rsid w:val="00CC1C64"/>
    <w:rsid w:val="00CC1C73"/>
    <w:rsid w:val="00CC2189"/>
    <w:rsid w:val="00CC21FB"/>
    <w:rsid w:val="00CC243C"/>
    <w:rsid w:val="00CC246C"/>
    <w:rsid w:val="00CC2564"/>
    <w:rsid w:val="00CC28B0"/>
    <w:rsid w:val="00CC2916"/>
    <w:rsid w:val="00CC29DC"/>
    <w:rsid w:val="00CC2A99"/>
    <w:rsid w:val="00CC2B20"/>
    <w:rsid w:val="00CC2B9A"/>
    <w:rsid w:val="00CC2EA3"/>
    <w:rsid w:val="00CC2FA9"/>
    <w:rsid w:val="00CC3105"/>
    <w:rsid w:val="00CC31A6"/>
    <w:rsid w:val="00CC3677"/>
    <w:rsid w:val="00CC381F"/>
    <w:rsid w:val="00CC3B4B"/>
    <w:rsid w:val="00CC3E59"/>
    <w:rsid w:val="00CC4051"/>
    <w:rsid w:val="00CC412B"/>
    <w:rsid w:val="00CC417D"/>
    <w:rsid w:val="00CC427C"/>
    <w:rsid w:val="00CC43F8"/>
    <w:rsid w:val="00CC4424"/>
    <w:rsid w:val="00CC4460"/>
    <w:rsid w:val="00CC4495"/>
    <w:rsid w:val="00CC4A4B"/>
    <w:rsid w:val="00CC4B19"/>
    <w:rsid w:val="00CC4B68"/>
    <w:rsid w:val="00CC4DAD"/>
    <w:rsid w:val="00CC500D"/>
    <w:rsid w:val="00CC52F6"/>
    <w:rsid w:val="00CC5308"/>
    <w:rsid w:val="00CC538C"/>
    <w:rsid w:val="00CC53BA"/>
    <w:rsid w:val="00CC53E3"/>
    <w:rsid w:val="00CC53F0"/>
    <w:rsid w:val="00CC5498"/>
    <w:rsid w:val="00CC55C2"/>
    <w:rsid w:val="00CC5687"/>
    <w:rsid w:val="00CC56F9"/>
    <w:rsid w:val="00CC588A"/>
    <w:rsid w:val="00CC58E5"/>
    <w:rsid w:val="00CC5956"/>
    <w:rsid w:val="00CC5AAB"/>
    <w:rsid w:val="00CC5E99"/>
    <w:rsid w:val="00CC5F72"/>
    <w:rsid w:val="00CC5FFC"/>
    <w:rsid w:val="00CC6408"/>
    <w:rsid w:val="00CC640E"/>
    <w:rsid w:val="00CC6538"/>
    <w:rsid w:val="00CC6981"/>
    <w:rsid w:val="00CC6A24"/>
    <w:rsid w:val="00CC6BDF"/>
    <w:rsid w:val="00CC6C14"/>
    <w:rsid w:val="00CC6C2C"/>
    <w:rsid w:val="00CC6D39"/>
    <w:rsid w:val="00CC6DDD"/>
    <w:rsid w:val="00CC70A2"/>
    <w:rsid w:val="00CC71A2"/>
    <w:rsid w:val="00CC723E"/>
    <w:rsid w:val="00CC7324"/>
    <w:rsid w:val="00CC7437"/>
    <w:rsid w:val="00CC7457"/>
    <w:rsid w:val="00CC7603"/>
    <w:rsid w:val="00CC7891"/>
    <w:rsid w:val="00CC790E"/>
    <w:rsid w:val="00CC79BD"/>
    <w:rsid w:val="00CC79D7"/>
    <w:rsid w:val="00CC7B9D"/>
    <w:rsid w:val="00CC7D3C"/>
    <w:rsid w:val="00CC7DE0"/>
    <w:rsid w:val="00CC7EA9"/>
    <w:rsid w:val="00CC7F69"/>
    <w:rsid w:val="00CC7F77"/>
    <w:rsid w:val="00CD00CD"/>
    <w:rsid w:val="00CD015B"/>
    <w:rsid w:val="00CD01B1"/>
    <w:rsid w:val="00CD01ED"/>
    <w:rsid w:val="00CD033C"/>
    <w:rsid w:val="00CD0370"/>
    <w:rsid w:val="00CD05BC"/>
    <w:rsid w:val="00CD05F4"/>
    <w:rsid w:val="00CD061D"/>
    <w:rsid w:val="00CD0761"/>
    <w:rsid w:val="00CD08BF"/>
    <w:rsid w:val="00CD09A1"/>
    <w:rsid w:val="00CD0AA5"/>
    <w:rsid w:val="00CD0ADA"/>
    <w:rsid w:val="00CD0AFD"/>
    <w:rsid w:val="00CD0B53"/>
    <w:rsid w:val="00CD0E0D"/>
    <w:rsid w:val="00CD100C"/>
    <w:rsid w:val="00CD113E"/>
    <w:rsid w:val="00CD11B5"/>
    <w:rsid w:val="00CD145D"/>
    <w:rsid w:val="00CD1523"/>
    <w:rsid w:val="00CD1738"/>
    <w:rsid w:val="00CD19F1"/>
    <w:rsid w:val="00CD1BD9"/>
    <w:rsid w:val="00CD1C27"/>
    <w:rsid w:val="00CD1C4F"/>
    <w:rsid w:val="00CD1D6E"/>
    <w:rsid w:val="00CD1FC1"/>
    <w:rsid w:val="00CD21A0"/>
    <w:rsid w:val="00CD2235"/>
    <w:rsid w:val="00CD2807"/>
    <w:rsid w:val="00CD280F"/>
    <w:rsid w:val="00CD2815"/>
    <w:rsid w:val="00CD2874"/>
    <w:rsid w:val="00CD28CC"/>
    <w:rsid w:val="00CD2A51"/>
    <w:rsid w:val="00CD2B60"/>
    <w:rsid w:val="00CD2E04"/>
    <w:rsid w:val="00CD2E78"/>
    <w:rsid w:val="00CD2FF2"/>
    <w:rsid w:val="00CD31E5"/>
    <w:rsid w:val="00CD3311"/>
    <w:rsid w:val="00CD33D4"/>
    <w:rsid w:val="00CD34C2"/>
    <w:rsid w:val="00CD34EF"/>
    <w:rsid w:val="00CD34F7"/>
    <w:rsid w:val="00CD3523"/>
    <w:rsid w:val="00CD3928"/>
    <w:rsid w:val="00CD3BAE"/>
    <w:rsid w:val="00CD3CED"/>
    <w:rsid w:val="00CD3DDA"/>
    <w:rsid w:val="00CD433B"/>
    <w:rsid w:val="00CD4389"/>
    <w:rsid w:val="00CD44D0"/>
    <w:rsid w:val="00CD478E"/>
    <w:rsid w:val="00CD4A46"/>
    <w:rsid w:val="00CD4A5A"/>
    <w:rsid w:val="00CD4D42"/>
    <w:rsid w:val="00CD4D6F"/>
    <w:rsid w:val="00CD4D7B"/>
    <w:rsid w:val="00CD4EB3"/>
    <w:rsid w:val="00CD5056"/>
    <w:rsid w:val="00CD5057"/>
    <w:rsid w:val="00CD5215"/>
    <w:rsid w:val="00CD52F7"/>
    <w:rsid w:val="00CD52FB"/>
    <w:rsid w:val="00CD54E0"/>
    <w:rsid w:val="00CD5515"/>
    <w:rsid w:val="00CD5809"/>
    <w:rsid w:val="00CD5A92"/>
    <w:rsid w:val="00CD5BEB"/>
    <w:rsid w:val="00CD5CF6"/>
    <w:rsid w:val="00CD5DBA"/>
    <w:rsid w:val="00CD6457"/>
    <w:rsid w:val="00CD6823"/>
    <w:rsid w:val="00CD6833"/>
    <w:rsid w:val="00CD68E1"/>
    <w:rsid w:val="00CD6985"/>
    <w:rsid w:val="00CD69EF"/>
    <w:rsid w:val="00CD6B9C"/>
    <w:rsid w:val="00CD6BE4"/>
    <w:rsid w:val="00CD6C87"/>
    <w:rsid w:val="00CD6EB3"/>
    <w:rsid w:val="00CD71BF"/>
    <w:rsid w:val="00CD7230"/>
    <w:rsid w:val="00CD729A"/>
    <w:rsid w:val="00CD7366"/>
    <w:rsid w:val="00CD7388"/>
    <w:rsid w:val="00CD7394"/>
    <w:rsid w:val="00CD74D5"/>
    <w:rsid w:val="00CD75E2"/>
    <w:rsid w:val="00CD75FA"/>
    <w:rsid w:val="00CD7778"/>
    <w:rsid w:val="00CD7779"/>
    <w:rsid w:val="00CD77E0"/>
    <w:rsid w:val="00CD79D7"/>
    <w:rsid w:val="00CD7BA4"/>
    <w:rsid w:val="00CD7BC0"/>
    <w:rsid w:val="00CD7BD9"/>
    <w:rsid w:val="00CD7C15"/>
    <w:rsid w:val="00CE00B6"/>
    <w:rsid w:val="00CE00BC"/>
    <w:rsid w:val="00CE017E"/>
    <w:rsid w:val="00CE047A"/>
    <w:rsid w:val="00CE049F"/>
    <w:rsid w:val="00CE06AB"/>
    <w:rsid w:val="00CE077B"/>
    <w:rsid w:val="00CE0858"/>
    <w:rsid w:val="00CE0946"/>
    <w:rsid w:val="00CE09E0"/>
    <w:rsid w:val="00CE0C6A"/>
    <w:rsid w:val="00CE0D0D"/>
    <w:rsid w:val="00CE1035"/>
    <w:rsid w:val="00CE11BF"/>
    <w:rsid w:val="00CE12BC"/>
    <w:rsid w:val="00CE12CD"/>
    <w:rsid w:val="00CE141A"/>
    <w:rsid w:val="00CE15C5"/>
    <w:rsid w:val="00CE1AB8"/>
    <w:rsid w:val="00CE2184"/>
    <w:rsid w:val="00CE2234"/>
    <w:rsid w:val="00CE2274"/>
    <w:rsid w:val="00CE252F"/>
    <w:rsid w:val="00CE28C7"/>
    <w:rsid w:val="00CE2927"/>
    <w:rsid w:val="00CE295B"/>
    <w:rsid w:val="00CE298B"/>
    <w:rsid w:val="00CE2A58"/>
    <w:rsid w:val="00CE2A96"/>
    <w:rsid w:val="00CE2B3F"/>
    <w:rsid w:val="00CE2B4A"/>
    <w:rsid w:val="00CE2BFF"/>
    <w:rsid w:val="00CE2D8A"/>
    <w:rsid w:val="00CE2E46"/>
    <w:rsid w:val="00CE2F34"/>
    <w:rsid w:val="00CE303B"/>
    <w:rsid w:val="00CE3065"/>
    <w:rsid w:val="00CE3132"/>
    <w:rsid w:val="00CE3197"/>
    <w:rsid w:val="00CE34C9"/>
    <w:rsid w:val="00CE35B0"/>
    <w:rsid w:val="00CE366E"/>
    <w:rsid w:val="00CE3699"/>
    <w:rsid w:val="00CE36DB"/>
    <w:rsid w:val="00CE3765"/>
    <w:rsid w:val="00CE379C"/>
    <w:rsid w:val="00CE37A7"/>
    <w:rsid w:val="00CE3940"/>
    <w:rsid w:val="00CE3A75"/>
    <w:rsid w:val="00CE3B02"/>
    <w:rsid w:val="00CE3B2F"/>
    <w:rsid w:val="00CE3C4B"/>
    <w:rsid w:val="00CE3C5B"/>
    <w:rsid w:val="00CE3C6A"/>
    <w:rsid w:val="00CE3CF9"/>
    <w:rsid w:val="00CE3D5B"/>
    <w:rsid w:val="00CE3D92"/>
    <w:rsid w:val="00CE3D95"/>
    <w:rsid w:val="00CE3EA8"/>
    <w:rsid w:val="00CE3FFE"/>
    <w:rsid w:val="00CE4025"/>
    <w:rsid w:val="00CE4143"/>
    <w:rsid w:val="00CE42B2"/>
    <w:rsid w:val="00CE446A"/>
    <w:rsid w:val="00CE46B2"/>
    <w:rsid w:val="00CE470E"/>
    <w:rsid w:val="00CE4894"/>
    <w:rsid w:val="00CE4A5B"/>
    <w:rsid w:val="00CE4B41"/>
    <w:rsid w:val="00CE4B4E"/>
    <w:rsid w:val="00CE4C0C"/>
    <w:rsid w:val="00CE5069"/>
    <w:rsid w:val="00CE5146"/>
    <w:rsid w:val="00CE516B"/>
    <w:rsid w:val="00CE5222"/>
    <w:rsid w:val="00CE530E"/>
    <w:rsid w:val="00CE5543"/>
    <w:rsid w:val="00CE5780"/>
    <w:rsid w:val="00CE5800"/>
    <w:rsid w:val="00CE5952"/>
    <w:rsid w:val="00CE5B45"/>
    <w:rsid w:val="00CE5CB5"/>
    <w:rsid w:val="00CE5CB7"/>
    <w:rsid w:val="00CE6047"/>
    <w:rsid w:val="00CE604F"/>
    <w:rsid w:val="00CE61AC"/>
    <w:rsid w:val="00CE64D2"/>
    <w:rsid w:val="00CE6595"/>
    <w:rsid w:val="00CE66CE"/>
    <w:rsid w:val="00CE69D3"/>
    <w:rsid w:val="00CE6A84"/>
    <w:rsid w:val="00CE6B42"/>
    <w:rsid w:val="00CE6E15"/>
    <w:rsid w:val="00CE7166"/>
    <w:rsid w:val="00CE7283"/>
    <w:rsid w:val="00CE7430"/>
    <w:rsid w:val="00CE7B8A"/>
    <w:rsid w:val="00CE7B93"/>
    <w:rsid w:val="00CE7BB4"/>
    <w:rsid w:val="00CE7E6D"/>
    <w:rsid w:val="00CE7EC5"/>
    <w:rsid w:val="00CE7FB7"/>
    <w:rsid w:val="00CE7FE4"/>
    <w:rsid w:val="00CF0007"/>
    <w:rsid w:val="00CF03DE"/>
    <w:rsid w:val="00CF04F0"/>
    <w:rsid w:val="00CF05D5"/>
    <w:rsid w:val="00CF062E"/>
    <w:rsid w:val="00CF0785"/>
    <w:rsid w:val="00CF08C4"/>
    <w:rsid w:val="00CF0951"/>
    <w:rsid w:val="00CF0D7A"/>
    <w:rsid w:val="00CF1121"/>
    <w:rsid w:val="00CF1350"/>
    <w:rsid w:val="00CF1621"/>
    <w:rsid w:val="00CF165A"/>
    <w:rsid w:val="00CF1871"/>
    <w:rsid w:val="00CF192D"/>
    <w:rsid w:val="00CF1A1E"/>
    <w:rsid w:val="00CF1DED"/>
    <w:rsid w:val="00CF1E96"/>
    <w:rsid w:val="00CF204B"/>
    <w:rsid w:val="00CF2120"/>
    <w:rsid w:val="00CF2537"/>
    <w:rsid w:val="00CF2561"/>
    <w:rsid w:val="00CF2591"/>
    <w:rsid w:val="00CF259A"/>
    <w:rsid w:val="00CF2648"/>
    <w:rsid w:val="00CF2740"/>
    <w:rsid w:val="00CF2805"/>
    <w:rsid w:val="00CF294E"/>
    <w:rsid w:val="00CF2A8C"/>
    <w:rsid w:val="00CF2DC6"/>
    <w:rsid w:val="00CF2E4D"/>
    <w:rsid w:val="00CF2EE2"/>
    <w:rsid w:val="00CF2F40"/>
    <w:rsid w:val="00CF30E0"/>
    <w:rsid w:val="00CF313F"/>
    <w:rsid w:val="00CF3213"/>
    <w:rsid w:val="00CF323F"/>
    <w:rsid w:val="00CF324A"/>
    <w:rsid w:val="00CF33BB"/>
    <w:rsid w:val="00CF33F5"/>
    <w:rsid w:val="00CF354F"/>
    <w:rsid w:val="00CF365C"/>
    <w:rsid w:val="00CF3708"/>
    <w:rsid w:val="00CF386E"/>
    <w:rsid w:val="00CF3908"/>
    <w:rsid w:val="00CF3967"/>
    <w:rsid w:val="00CF3D15"/>
    <w:rsid w:val="00CF3DBB"/>
    <w:rsid w:val="00CF3EE6"/>
    <w:rsid w:val="00CF3F78"/>
    <w:rsid w:val="00CF403F"/>
    <w:rsid w:val="00CF458D"/>
    <w:rsid w:val="00CF45A6"/>
    <w:rsid w:val="00CF45FC"/>
    <w:rsid w:val="00CF4755"/>
    <w:rsid w:val="00CF47B3"/>
    <w:rsid w:val="00CF488C"/>
    <w:rsid w:val="00CF4950"/>
    <w:rsid w:val="00CF4A49"/>
    <w:rsid w:val="00CF4AEA"/>
    <w:rsid w:val="00CF4B1E"/>
    <w:rsid w:val="00CF4B61"/>
    <w:rsid w:val="00CF4E58"/>
    <w:rsid w:val="00CF513B"/>
    <w:rsid w:val="00CF51AA"/>
    <w:rsid w:val="00CF5761"/>
    <w:rsid w:val="00CF5B7B"/>
    <w:rsid w:val="00CF5C16"/>
    <w:rsid w:val="00CF5C7A"/>
    <w:rsid w:val="00CF5F20"/>
    <w:rsid w:val="00CF624E"/>
    <w:rsid w:val="00CF62EF"/>
    <w:rsid w:val="00CF6375"/>
    <w:rsid w:val="00CF637A"/>
    <w:rsid w:val="00CF669E"/>
    <w:rsid w:val="00CF67E6"/>
    <w:rsid w:val="00CF6932"/>
    <w:rsid w:val="00CF6AA8"/>
    <w:rsid w:val="00CF6C48"/>
    <w:rsid w:val="00CF6C91"/>
    <w:rsid w:val="00CF70A5"/>
    <w:rsid w:val="00CF72AA"/>
    <w:rsid w:val="00CF769A"/>
    <w:rsid w:val="00CF76F8"/>
    <w:rsid w:val="00CF77AC"/>
    <w:rsid w:val="00CF77FB"/>
    <w:rsid w:val="00CF7903"/>
    <w:rsid w:val="00CF79B8"/>
    <w:rsid w:val="00CF7A9B"/>
    <w:rsid w:val="00CF7C44"/>
    <w:rsid w:val="00CF7EFA"/>
    <w:rsid w:val="00D00729"/>
    <w:rsid w:val="00D00818"/>
    <w:rsid w:val="00D00AFD"/>
    <w:rsid w:val="00D00C23"/>
    <w:rsid w:val="00D00D0B"/>
    <w:rsid w:val="00D00DA9"/>
    <w:rsid w:val="00D0100F"/>
    <w:rsid w:val="00D01028"/>
    <w:rsid w:val="00D0124D"/>
    <w:rsid w:val="00D01397"/>
    <w:rsid w:val="00D013BD"/>
    <w:rsid w:val="00D014A1"/>
    <w:rsid w:val="00D0163E"/>
    <w:rsid w:val="00D01718"/>
    <w:rsid w:val="00D0174E"/>
    <w:rsid w:val="00D01878"/>
    <w:rsid w:val="00D018BD"/>
    <w:rsid w:val="00D01984"/>
    <w:rsid w:val="00D019F0"/>
    <w:rsid w:val="00D01A0D"/>
    <w:rsid w:val="00D01A20"/>
    <w:rsid w:val="00D01A75"/>
    <w:rsid w:val="00D01C6B"/>
    <w:rsid w:val="00D01E59"/>
    <w:rsid w:val="00D01E7B"/>
    <w:rsid w:val="00D01ED6"/>
    <w:rsid w:val="00D01F62"/>
    <w:rsid w:val="00D01F86"/>
    <w:rsid w:val="00D02007"/>
    <w:rsid w:val="00D02157"/>
    <w:rsid w:val="00D02347"/>
    <w:rsid w:val="00D02592"/>
    <w:rsid w:val="00D0276E"/>
    <w:rsid w:val="00D027E1"/>
    <w:rsid w:val="00D02C1B"/>
    <w:rsid w:val="00D02C85"/>
    <w:rsid w:val="00D032D5"/>
    <w:rsid w:val="00D033FA"/>
    <w:rsid w:val="00D0351D"/>
    <w:rsid w:val="00D037C8"/>
    <w:rsid w:val="00D03A08"/>
    <w:rsid w:val="00D03DD7"/>
    <w:rsid w:val="00D04100"/>
    <w:rsid w:val="00D0426B"/>
    <w:rsid w:val="00D04299"/>
    <w:rsid w:val="00D04423"/>
    <w:rsid w:val="00D0445C"/>
    <w:rsid w:val="00D045F0"/>
    <w:rsid w:val="00D046CA"/>
    <w:rsid w:val="00D0477B"/>
    <w:rsid w:val="00D049BA"/>
    <w:rsid w:val="00D04A7E"/>
    <w:rsid w:val="00D04B9B"/>
    <w:rsid w:val="00D04BA8"/>
    <w:rsid w:val="00D04BB7"/>
    <w:rsid w:val="00D04C9F"/>
    <w:rsid w:val="00D04DDB"/>
    <w:rsid w:val="00D04FC5"/>
    <w:rsid w:val="00D04FD2"/>
    <w:rsid w:val="00D05209"/>
    <w:rsid w:val="00D05273"/>
    <w:rsid w:val="00D05298"/>
    <w:rsid w:val="00D05623"/>
    <w:rsid w:val="00D0572E"/>
    <w:rsid w:val="00D0577C"/>
    <w:rsid w:val="00D0584B"/>
    <w:rsid w:val="00D05A9C"/>
    <w:rsid w:val="00D05B3C"/>
    <w:rsid w:val="00D05BA0"/>
    <w:rsid w:val="00D05BDA"/>
    <w:rsid w:val="00D05CD9"/>
    <w:rsid w:val="00D05E85"/>
    <w:rsid w:val="00D05E8E"/>
    <w:rsid w:val="00D05F59"/>
    <w:rsid w:val="00D06048"/>
    <w:rsid w:val="00D062BB"/>
    <w:rsid w:val="00D0640B"/>
    <w:rsid w:val="00D06413"/>
    <w:rsid w:val="00D0646D"/>
    <w:rsid w:val="00D064AF"/>
    <w:rsid w:val="00D0650A"/>
    <w:rsid w:val="00D0661D"/>
    <w:rsid w:val="00D06660"/>
    <w:rsid w:val="00D066A4"/>
    <w:rsid w:val="00D066CD"/>
    <w:rsid w:val="00D067F0"/>
    <w:rsid w:val="00D0683F"/>
    <w:rsid w:val="00D06918"/>
    <w:rsid w:val="00D06B8C"/>
    <w:rsid w:val="00D06BB6"/>
    <w:rsid w:val="00D06D0B"/>
    <w:rsid w:val="00D070ED"/>
    <w:rsid w:val="00D070FB"/>
    <w:rsid w:val="00D07108"/>
    <w:rsid w:val="00D075D7"/>
    <w:rsid w:val="00D0767E"/>
    <w:rsid w:val="00D0784A"/>
    <w:rsid w:val="00D0786E"/>
    <w:rsid w:val="00D07895"/>
    <w:rsid w:val="00D07C5D"/>
    <w:rsid w:val="00D07D56"/>
    <w:rsid w:val="00D07E6C"/>
    <w:rsid w:val="00D07F6A"/>
    <w:rsid w:val="00D1036A"/>
    <w:rsid w:val="00D1065C"/>
    <w:rsid w:val="00D10A26"/>
    <w:rsid w:val="00D10B28"/>
    <w:rsid w:val="00D10BDB"/>
    <w:rsid w:val="00D10E51"/>
    <w:rsid w:val="00D112B8"/>
    <w:rsid w:val="00D114C8"/>
    <w:rsid w:val="00D11517"/>
    <w:rsid w:val="00D1160A"/>
    <w:rsid w:val="00D11639"/>
    <w:rsid w:val="00D1179E"/>
    <w:rsid w:val="00D1181C"/>
    <w:rsid w:val="00D11842"/>
    <w:rsid w:val="00D11908"/>
    <w:rsid w:val="00D11953"/>
    <w:rsid w:val="00D11CC9"/>
    <w:rsid w:val="00D11D50"/>
    <w:rsid w:val="00D11DB2"/>
    <w:rsid w:val="00D11F5D"/>
    <w:rsid w:val="00D12045"/>
    <w:rsid w:val="00D120B2"/>
    <w:rsid w:val="00D12272"/>
    <w:rsid w:val="00D122EB"/>
    <w:rsid w:val="00D1239F"/>
    <w:rsid w:val="00D124D1"/>
    <w:rsid w:val="00D1260D"/>
    <w:rsid w:val="00D1268D"/>
    <w:rsid w:val="00D126C6"/>
    <w:rsid w:val="00D12AB0"/>
    <w:rsid w:val="00D12BCA"/>
    <w:rsid w:val="00D12CBE"/>
    <w:rsid w:val="00D12E30"/>
    <w:rsid w:val="00D12E57"/>
    <w:rsid w:val="00D138CF"/>
    <w:rsid w:val="00D13985"/>
    <w:rsid w:val="00D13A23"/>
    <w:rsid w:val="00D13C11"/>
    <w:rsid w:val="00D13DA4"/>
    <w:rsid w:val="00D13EBB"/>
    <w:rsid w:val="00D13F04"/>
    <w:rsid w:val="00D13F14"/>
    <w:rsid w:val="00D13F94"/>
    <w:rsid w:val="00D14071"/>
    <w:rsid w:val="00D1420C"/>
    <w:rsid w:val="00D14267"/>
    <w:rsid w:val="00D142D0"/>
    <w:rsid w:val="00D1433B"/>
    <w:rsid w:val="00D14376"/>
    <w:rsid w:val="00D144DA"/>
    <w:rsid w:val="00D14564"/>
    <w:rsid w:val="00D147BE"/>
    <w:rsid w:val="00D148D5"/>
    <w:rsid w:val="00D149E9"/>
    <w:rsid w:val="00D14A4C"/>
    <w:rsid w:val="00D14B59"/>
    <w:rsid w:val="00D14D15"/>
    <w:rsid w:val="00D14E1F"/>
    <w:rsid w:val="00D14E90"/>
    <w:rsid w:val="00D1506B"/>
    <w:rsid w:val="00D15080"/>
    <w:rsid w:val="00D15461"/>
    <w:rsid w:val="00D155F7"/>
    <w:rsid w:val="00D15618"/>
    <w:rsid w:val="00D157D1"/>
    <w:rsid w:val="00D15AB8"/>
    <w:rsid w:val="00D15ACC"/>
    <w:rsid w:val="00D15B93"/>
    <w:rsid w:val="00D15DE0"/>
    <w:rsid w:val="00D15EAF"/>
    <w:rsid w:val="00D1600A"/>
    <w:rsid w:val="00D16159"/>
    <w:rsid w:val="00D1622A"/>
    <w:rsid w:val="00D162BB"/>
    <w:rsid w:val="00D16303"/>
    <w:rsid w:val="00D16325"/>
    <w:rsid w:val="00D16651"/>
    <w:rsid w:val="00D16BB1"/>
    <w:rsid w:val="00D16C8B"/>
    <w:rsid w:val="00D16D04"/>
    <w:rsid w:val="00D16DFB"/>
    <w:rsid w:val="00D16E3B"/>
    <w:rsid w:val="00D16E4D"/>
    <w:rsid w:val="00D17125"/>
    <w:rsid w:val="00D17185"/>
    <w:rsid w:val="00D172B7"/>
    <w:rsid w:val="00D1738C"/>
    <w:rsid w:val="00D173FC"/>
    <w:rsid w:val="00D17519"/>
    <w:rsid w:val="00D17721"/>
    <w:rsid w:val="00D1780F"/>
    <w:rsid w:val="00D17951"/>
    <w:rsid w:val="00D1795E"/>
    <w:rsid w:val="00D17D28"/>
    <w:rsid w:val="00D17F17"/>
    <w:rsid w:val="00D17F83"/>
    <w:rsid w:val="00D201AC"/>
    <w:rsid w:val="00D20314"/>
    <w:rsid w:val="00D2037F"/>
    <w:rsid w:val="00D205AE"/>
    <w:rsid w:val="00D205B5"/>
    <w:rsid w:val="00D2078C"/>
    <w:rsid w:val="00D20993"/>
    <w:rsid w:val="00D20A30"/>
    <w:rsid w:val="00D20A88"/>
    <w:rsid w:val="00D20AC7"/>
    <w:rsid w:val="00D20AF0"/>
    <w:rsid w:val="00D20D8B"/>
    <w:rsid w:val="00D20EE4"/>
    <w:rsid w:val="00D20F93"/>
    <w:rsid w:val="00D2108B"/>
    <w:rsid w:val="00D210FE"/>
    <w:rsid w:val="00D2129F"/>
    <w:rsid w:val="00D212A2"/>
    <w:rsid w:val="00D21D88"/>
    <w:rsid w:val="00D21E78"/>
    <w:rsid w:val="00D21FF7"/>
    <w:rsid w:val="00D2207C"/>
    <w:rsid w:val="00D2219C"/>
    <w:rsid w:val="00D22401"/>
    <w:rsid w:val="00D2247B"/>
    <w:rsid w:val="00D22627"/>
    <w:rsid w:val="00D226FD"/>
    <w:rsid w:val="00D22774"/>
    <w:rsid w:val="00D2290F"/>
    <w:rsid w:val="00D22AC3"/>
    <w:rsid w:val="00D22B61"/>
    <w:rsid w:val="00D22C29"/>
    <w:rsid w:val="00D22C35"/>
    <w:rsid w:val="00D22C3A"/>
    <w:rsid w:val="00D230C8"/>
    <w:rsid w:val="00D23130"/>
    <w:rsid w:val="00D232E2"/>
    <w:rsid w:val="00D232F4"/>
    <w:rsid w:val="00D2384F"/>
    <w:rsid w:val="00D23882"/>
    <w:rsid w:val="00D23BAC"/>
    <w:rsid w:val="00D23C28"/>
    <w:rsid w:val="00D23EBE"/>
    <w:rsid w:val="00D24024"/>
    <w:rsid w:val="00D24216"/>
    <w:rsid w:val="00D24265"/>
    <w:rsid w:val="00D2428D"/>
    <w:rsid w:val="00D2439D"/>
    <w:rsid w:val="00D24610"/>
    <w:rsid w:val="00D24711"/>
    <w:rsid w:val="00D2486C"/>
    <w:rsid w:val="00D249AF"/>
    <w:rsid w:val="00D249F0"/>
    <w:rsid w:val="00D24A01"/>
    <w:rsid w:val="00D24AD0"/>
    <w:rsid w:val="00D24C3D"/>
    <w:rsid w:val="00D25400"/>
    <w:rsid w:val="00D255E7"/>
    <w:rsid w:val="00D25850"/>
    <w:rsid w:val="00D25873"/>
    <w:rsid w:val="00D25F07"/>
    <w:rsid w:val="00D26049"/>
    <w:rsid w:val="00D263B4"/>
    <w:rsid w:val="00D263BE"/>
    <w:rsid w:val="00D263F1"/>
    <w:rsid w:val="00D26878"/>
    <w:rsid w:val="00D268F1"/>
    <w:rsid w:val="00D26A81"/>
    <w:rsid w:val="00D26B79"/>
    <w:rsid w:val="00D26FD4"/>
    <w:rsid w:val="00D2707C"/>
    <w:rsid w:val="00D270BF"/>
    <w:rsid w:val="00D2718C"/>
    <w:rsid w:val="00D27A06"/>
    <w:rsid w:val="00D27A8C"/>
    <w:rsid w:val="00D27CCC"/>
    <w:rsid w:val="00D3027A"/>
    <w:rsid w:val="00D3031B"/>
    <w:rsid w:val="00D303A9"/>
    <w:rsid w:val="00D305D2"/>
    <w:rsid w:val="00D306E7"/>
    <w:rsid w:val="00D3074F"/>
    <w:rsid w:val="00D308CB"/>
    <w:rsid w:val="00D3090E"/>
    <w:rsid w:val="00D3093D"/>
    <w:rsid w:val="00D30A72"/>
    <w:rsid w:val="00D30AA2"/>
    <w:rsid w:val="00D30CCB"/>
    <w:rsid w:val="00D30E18"/>
    <w:rsid w:val="00D312B9"/>
    <w:rsid w:val="00D314E0"/>
    <w:rsid w:val="00D31586"/>
    <w:rsid w:val="00D3174A"/>
    <w:rsid w:val="00D3182B"/>
    <w:rsid w:val="00D318B1"/>
    <w:rsid w:val="00D318DE"/>
    <w:rsid w:val="00D31998"/>
    <w:rsid w:val="00D31AEB"/>
    <w:rsid w:val="00D31C02"/>
    <w:rsid w:val="00D31C3F"/>
    <w:rsid w:val="00D3201C"/>
    <w:rsid w:val="00D32505"/>
    <w:rsid w:val="00D32590"/>
    <w:rsid w:val="00D326B1"/>
    <w:rsid w:val="00D327BD"/>
    <w:rsid w:val="00D327F6"/>
    <w:rsid w:val="00D32A5A"/>
    <w:rsid w:val="00D32B83"/>
    <w:rsid w:val="00D32D62"/>
    <w:rsid w:val="00D32F9A"/>
    <w:rsid w:val="00D331E7"/>
    <w:rsid w:val="00D33279"/>
    <w:rsid w:val="00D334DB"/>
    <w:rsid w:val="00D3352C"/>
    <w:rsid w:val="00D33626"/>
    <w:rsid w:val="00D336BA"/>
    <w:rsid w:val="00D336DF"/>
    <w:rsid w:val="00D33732"/>
    <w:rsid w:val="00D337B9"/>
    <w:rsid w:val="00D33821"/>
    <w:rsid w:val="00D33B62"/>
    <w:rsid w:val="00D33B7A"/>
    <w:rsid w:val="00D33E2D"/>
    <w:rsid w:val="00D33F02"/>
    <w:rsid w:val="00D33FA6"/>
    <w:rsid w:val="00D3401E"/>
    <w:rsid w:val="00D34037"/>
    <w:rsid w:val="00D3414B"/>
    <w:rsid w:val="00D341DD"/>
    <w:rsid w:val="00D344DC"/>
    <w:rsid w:val="00D34593"/>
    <w:rsid w:val="00D345AB"/>
    <w:rsid w:val="00D346AD"/>
    <w:rsid w:val="00D3482F"/>
    <w:rsid w:val="00D34985"/>
    <w:rsid w:val="00D34A4E"/>
    <w:rsid w:val="00D34AA7"/>
    <w:rsid w:val="00D34B3A"/>
    <w:rsid w:val="00D34C7E"/>
    <w:rsid w:val="00D34D45"/>
    <w:rsid w:val="00D34E74"/>
    <w:rsid w:val="00D3548C"/>
    <w:rsid w:val="00D3558F"/>
    <w:rsid w:val="00D359A4"/>
    <w:rsid w:val="00D359F1"/>
    <w:rsid w:val="00D35B35"/>
    <w:rsid w:val="00D35E4B"/>
    <w:rsid w:val="00D35E9F"/>
    <w:rsid w:val="00D35EAD"/>
    <w:rsid w:val="00D36059"/>
    <w:rsid w:val="00D360AA"/>
    <w:rsid w:val="00D360BF"/>
    <w:rsid w:val="00D361EA"/>
    <w:rsid w:val="00D36374"/>
    <w:rsid w:val="00D364AC"/>
    <w:rsid w:val="00D365CD"/>
    <w:rsid w:val="00D36684"/>
    <w:rsid w:val="00D36802"/>
    <w:rsid w:val="00D36C09"/>
    <w:rsid w:val="00D36D39"/>
    <w:rsid w:val="00D36E5B"/>
    <w:rsid w:val="00D36EE3"/>
    <w:rsid w:val="00D36EF6"/>
    <w:rsid w:val="00D36F74"/>
    <w:rsid w:val="00D36FC5"/>
    <w:rsid w:val="00D36FE0"/>
    <w:rsid w:val="00D370F1"/>
    <w:rsid w:val="00D37139"/>
    <w:rsid w:val="00D376B0"/>
    <w:rsid w:val="00D37930"/>
    <w:rsid w:val="00D37ACA"/>
    <w:rsid w:val="00D37BE6"/>
    <w:rsid w:val="00D37D52"/>
    <w:rsid w:val="00D37DCF"/>
    <w:rsid w:val="00D40026"/>
    <w:rsid w:val="00D40046"/>
    <w:rsid w:val="00D4004B"/>
    <w:rsid w:val="00D400D7"/>
    <w:rsid w:val="00D4035F"/>
    <w:rsid w:val="00D40432"/>
    <w:rsid w:val="00D40521"/>
    <w:rsid w:val="00D4089A"/>
    <w:rsid w:val="00D40B04"/>
    <w:rsid w:val="00D40C0D"/>
    <w:rsid w:val="00D40D4C"/>
    <w:rsid w:val="00D40D73"/>
    <w:rsid w:val="00D40E37"/>
    <w:rsid w:val="00D40FAC"/>
    <w:rsid w:val="00D410F7"/>
    <w:rsid w:val="00D4120A"/>
    <w:rsid w:val="00D4124B"/>
    <w:rsid w:val="00D4125D"/>
    <w:rsid w:val="00D412A1"/>
    <w:rsid w:val="00D412E9"/>
    <w:rsid w:val="00D41595"/>
    <w:rsid w:val="00D41647"/>
    <w:rsid w:val="00D416C9"/>
    <w:rsid w:val="00D41707"/>
    <w:rsid w:val="00D4172E"/>
    <w:rsid w:val="00D4175A"/>
    <w:rsid w:val="00D41832"/>
    <w:rsid w:val="00D41D88"/>
    <w:rsid w:val="00D41D9A"/>
    <w:rsid w:val="00D41ED2"/>
    <w:rsid w:val="00D41FD5"/>
    <w:rsid w:val="00D41FEB"/>
    <w:rsid w:val="00D42048"/>
    <w:rsid w:val="00D420A3"/>
    <w:rsid w:val="00D42187"/>
    <w:rsid w:val="00D42504"/>
    <w:rsid w:val="00D426A9"/>
    <w:rsid w:val="00D42819"/>
    <w:rsid w:val="00D4296E"/>
    <w:rsid w:val="00D429A1"/>
    <w:rsid w:val="00D42AC7"/>
    <w:rsid w:val="00D42B5A"/>
    <w:rsid w:val="00D42CA7"/>
    <w:rsid w:val="00D42D6F"/>
    <w:rsid w:val="00D42EB7"/>
    <w:rsid w:val="00D42F5D"/>
    <w:rsid w:val="00D432FB"/>
    <w:rsid w:val="00D433D7"/>
    <w:rsid w:val="00D43427"/>
    <w:rsid w:val="00D4342B"/>
    <w:rsid w:val="00D43528"/>
    <w:rsid w:val="00D43BB3"/>
    <w:rsid w:val="00D43BBE"/>
    <w:rsid w:val="00D43FB2"/>
    <w:rsid w:val="00D43FBF"/>
    <w:rsid w:val="00D44163"/>
    <w:rsid w:val="00D4444E"/>
    <w:rsid w:val="00D44451"/>
    <w:rsid w:val="00D4484E"/>
    <w:rsid w:val="00D44850"/>
    <w:rsid w:val="00D44D64"/>
    <w:rsid w:val="00D44E5E"/>
    <w:rsid w:val="00D452DB"/>
    <w:rsid w:val="00D4543B"/>
    <w:rsid w:val="00D454A1"/>
    <w:rsid w:val="00D4558D"/>
    <w:rsid w:val="00D456D0"/>
    <w:rsid w:val="00D45743"/>
    <w:rsid w:val="00D458BC"/>
    <w:rsid w:val="00D458BE"/>
    <w:rsid w:val="00D45A17"/>
    <w:rsid w:val="00D45A71"/>
    <w:rsid w:val="00D45A95"/>
    <w:rsid w:val="00D45CF9"/>
    <w:rsid w:val="00D45ED9"/>
    <w:rsid w:val="00D45F47"/>
    <w:rsid w:val="00D45F90"/>
    <w:rsid w:val="00D45FEA"/>
    <w:rsid w:val="00D46700"/>
    <w:rsid w:val="00D46991"/>
    <w:rsid w:val="00D4699C"/>
    <w:rsid w:val="00D46A5D"/>
    <w:rsid w:val="00D46BA5"/>
    <w:rsid w:val="00D46BB8"/>
    <w:rsid w:val="00D46EA9"/>
    <w:rsid w:val="00D46EE7"/>
    <w:rsid w:val="00D472B8"/>
    <w:rsid w:val="00D47334"/>
    <w:rsid w:val="00D4739E"/>
    <w:rsid w:val="00D476BA"/>
    <w:rsid w:val="00D47A01"/>
    <w:rsid w:val="00D47A81"/>
    <w:rsid w:val="00D47AC0"/>
    <w:rsid w:val="00D47BD8"/>
    <w:rsid w:val="00D47E9E"/>
    <w:rsid w:val="00D47F5D"/>
    <w:rsid w:val="00D50146"/>
    <w:rsid w:val="00D5018B"/>
    <w:rsid w:val="00D503A8"/>
    <w:rsid w:val="00D50498"/>
    <w:rsid w:val="00D508E5"/>
    <w:rsid w:val="00D50A00"/>
    <w:rsid w:val="00D50BDB"/>
    <w:rsid w:val="00D50C46"/>
    <w:rsid w:val="00D50EDD"/>
    <w:rsid w:val="00D512E9"/>
    <w:rsid w:val="00D515F1"/>
    <w:rsid w:val="00D51616"/>
    <w:rsid w:val="00D51683"/>
    <w:rsid w:val="00D51933"/>
    <w:rsid w:val="00D51A00"/>
    <w:rsid w:val="00D51BF5"/>
    <w:rsid w:val="00D51E41"/>
    <w:rsid w:val="00D51FCF"/>
    <w:rsid w:val="00D52159"/>
    <w:rsid w:val="00D52179"/>
    <w:rsid w:val="00D522C4"/>
    <w:rsid w:val="00D5240C"/>
    <w:rsid w:val="00D52473"/>
    <w:rsid w:val="00D5270D"/>
    <w:rsid w:val="00D52A29"/>
    <w:rsid w:val="00D52A55"/>
    <w:rsid w:val="00D52B27"/>
    <w:rsid w:val="00D52C5D"/>
    <w:rsid w:val="00D52C8B"/>
    <w:rsid w:val="00D52D9D"/>
    <w:rsid w:val="00D52F3D"/>
    <w:rsid w:val="00D530F1"/>
    <w:rsid w:val="00D53332"/>
    <w:rsid w:val="00D5333D"/>
    <w:rsid w:val="00D533DB"/>
    <w:rsid w:val="00D5355F"/>
    <w:rsid w:val="00D53A51"/>
    <w:rsid w:val="00D53BB5"/>
    <w:rsid w:val="00D53D5E"/>
    <w:rsid w:val="00D53E31"/>
    <w:rsid w:val="00D53FD2"/>
    <w:rsid w:val="00D54192"/>
    <w:rsid w:val="00D541ED"/>
    <w:rsid w:val="00D543A4"/>
    <w:rsid w:val="00D5458A"/>
    <w:rsid w:val="00D54627"/>
    <w:rsid w:val="00D5462D"/>
    <w:rsid w:val="00D5471B"/>
    <w:rsid w:val="00D54735"/>
    <w:rsid w:val="00D548AA"/>
    <w:rsid w:val="00D548DB"/>
    <w:rsid w:val="00D548EC"/>
    <w:rsid w:val="00D549A6"/>
    <w:rsid w:val="00D549BD"/>
    <w:rsid w:val="00D54CA9"/>
    <w:rsid w:val="00D54ED4"/>
    <w:rsid w:val="00D54F9B"/>
    <w:rsid w:val="00D54FAA"/>
    <w:rsid w:val="00D550BD"/>
    <w:rsid w:val="00D552A6"/>
    <w:rsid w:val="00D553A3"/>
    <w:rsid w:val="00D55442"/>
    <w:rsid w:val="00D5544E"/>
    <w:rsid w:val="00D5551E"/>
    <w:rsid w:val="00D555EE"/>
    <w:rsid w:val="00D55A3F"/>
    <w:rsid w:val="00D55B78"/>
    <w:rsid w:val="00D55D1E"/>
    <w:rsid w:val="00D56178"/>
    <w:rsid w:val="00D5624C"/>
    <w:rsid w:val="00D56329"/>
    <w:rsid w:val="00D56511"/>
    <w:rsid w:val="00D565C1"/>
    <w:rsid w:val="00D565E1"/>
    <w:rsid w:val="00D5664C"/>
    <w:rsid w:val="00D5685F"/>
    <w:rsid w:val="00D56861"/>
    <w:rsid w:val="00D5686B"/>
    <w:rsid w:val="00D56BC1"/>
    <w:rsid w:val="00D56E0F"/>
    <w:rsid w:val="00D56E7A"/>
    <w:rsid w:val="00D56E8A"/>
    <w:rsid w:val="00D56F4E"/>
    <w:rsid w:val="00D5700E"/>
    <w:rsid w:val="00D57160"/>
    <w:rsid w:val="00D571C4"/>
    <w:rsid w:val="00D5724E"/>
    <w:rsid w:val="00D573EE"/>
    <w:rsid w:val="00D5749D"/>
    <w:rsid w:val="00D5768E"/>
    <w:rsid w:val="00D576F0"/>
    <w:rsid w:val="00D57848"/>
    <w:rsid w:val="00D578CC"/>
    <w:rsid w:val="00D57A45"/>
    <w:rsid w:val="00D57AF5"/>
    <w:rsid w:val="00D57D14"/>
    <w:rsid w:val="00D601E9"/>
    <w:rsid w:val="00D602DD"/>
    <w:rsid w:val="00D60384"/>
    <w:rsid w:val="00D605BA"/>
    <w:rsid w:val="00D605BC"/>
    <w:rsid w:val="00D6091D"/>
    <w:rsid w:val="00D609D9"/>
    <w:rsid w:val="00D609F9"/>
    <w:rsid w:val="00D60AEE"/>
    <w:rsid w:val="00D60B4A"/>
    <w:rsid w:val="00D60B63"/>
    <w:rsid w:val="00D60B8A"/>
    <w:rsid w:val="00D60C24"/>
    <w:rsid w:val="00D60CF8"/>
    <w:rsid w:val="00D60E0C"/>
    <w:rsid w:val="00D61002"/>
    <w:rsid w:val="00D6102F"/>
    <w:rsid w:val="00D6110B"/>
    <w:rsid w:val="00D6157F"/>
    <w:rsid w:val="00D6179C"/>
    <w:rsid w:val="00D61807"/>
    <w:rsid w:val="00D61841"/>
    <w:rsid w:val="00D61873"/>
    <w:rsid w:val="00D619A3"/>
    <w:rsid w:val="00D61DB8"/>
    <w:rsid w:val="00D61EB8"/>
    <w:rsid w:val="00D61EBF"/>
    <w:rsid w:val="00D61F2B"/>
    <w:rsid w:val="00D61FE0"/>
    <w:rsid w:val="00D62249"/>
    <w:rsid w:val="00D62303"/>
    <w:rsid w:val="00D62408"/>
    <w:rsid w:val="00D62601"/>
    <w:rsid w:val="00D62627"/>
    <w:rsid w:val="00D62684"/>
    <w:rsid w:val="00D626C4"/>
    <w:rsid w:val="00D62843"/>
    <w:rsid w:val="00D628FE"/>
    <w:rsid w:val="00D62A56"/>
    <w:rsid w:val="00D62C9E"/>
    <w:rsid w:val="00D62E2E"/>
    <w:rsid w:val="00D63024"/>
    <w:rsid w:val="00D63076"/>
    <w:rsid w:val="00D630B9"/>
    <w:rsid w:val="00D630C2"/>
    <w:rsid w:val="00D631F4"/>
    <w:rsid w:val="00D6322D"/>
    <w:rsid w:val="00D633CC"/>
    <w:rsid w:val="00D63601"/>
    <w:rsid w:val="00D63713"/>
    <w:rsid w:val="00D63763"/>
    <w:rsid w:val="00D63AC5"/>
    <w:rsid w:val="00D63BE7"/>
    <w:rsid w:val="00D63C18"/>
    <w:rsid w:val="00D6404F"/>
    <w:rsid w:val="00D640D5"/>
    <w:rsid w:val="00D6417A"/>
    <w:rsid w:val="00D64255"/>
    <w:rsid w:val="00D6426B"/>
    <w:rsid w:val="00D642B6"/>
    <w:rsid w:val="00D64424"/>
    <w:rsid w:val="00D649B3"/>
    <w:rsid w:val="00D64A04"/>
    <w:rsid w:val="00D64CE6"/>
    <w:rsid w:val="00D64F85"/>
    <w:rsid w:val="00D65045"/>
    <w:rsid w:val="00D65118"/>
    <w:rsid w:val="00D651F1"/>
    <w:rsid w:val="00D65293"/>
    <w:rsid w:val="00D652C3"/>
    <w:rsid w:val="00D652F7"/>
    <w:rsid w:val="00D65541"/>
    <w:rsid w:val="00D65C1D"/>
    <w:rsid w:val="00D65EA3"/>
    <w:rsid w:val="00D65FBE"/>
    <w:rsid w:val="00D662B1"/>
    <w:rsid w:val="00D66379"/>
    <w:rsid w:val="00D663D2"/>
    <w:rsid w:val="00D664D5"/>
    <w:rsid w:val="00D66621"/>
    <w:rsid w:val="00D6698C"/>
    <w:rsid w:val="00D66DA0"/>
    <w:rsid w:val="00D66E1F"/>
    <w:rsid w:val="00D66FB5"/>
    <w:rsid w:val="00D670C5"/>
    <w:rsid w:val="00D6725D"/>
    <w:rsid w:val="00D67576"/>
    <w:rsid w:val="00D676E4"/>
    <w:rsid w:val="00D6786A"/>
    <w:rsid w:val="00D67B1D"/>
    <w:rsid w:val="00D67D1B"/>
    <w:rsid w:val="00D67F46"/>
    <w:rsid w:val="00D700BB"/>
    <w:rsid w:val="00D700C8"/>
    <w:rsid w:val="00D70173"/>
    <w:rsid w:val="00D701B6"/>
    <w:rsid w:val="00D705C8"/>
    <w:rsid w:val="00D707C8"/>
    <w:rsid w:val="00D70936"/>
    <w:rsid w:val="00D70966"/>
    <w:rsid w:val="00D70A4F"/>
    <w:rsid w:val="00D70B92"/>
    <w:rsid w:val="00D70BA5"/>
    <w:rsid w:val="00D70BED"/>
    <w:rsid w:val="00D70F43"/>
    <w:rsid w:val="00D7110D"/>
    <w:rsid w:val="00D7140A"/>
    <w:rsid w:val="00D7146F"/>
    <w:rsid w:val="00D71564"/>
    <w:rsid w:val="00D715CA"/>
    <w:rsid w:val="00D7168D"/>
    <w:rsid w:val="00D71765"/>
    <w:rsid w:val="00D718F8"/>
    <w:rsid w:val="00D71ACF"/>
    <w:rsid w:val="00D71B94"/>
    <w:rsid w:val="00D71C40"/>
    <w:rsid w:val="00D7218D"/>
    <w:rsid w:val="00D722DA"/>
    <w:rsid w:val="00D722DE"/>
    <w:rsid w:val="00D7256F"/>
    <w:rsid w:val="00D727CB"/>
    <w:rsid w:val="00D72AEE"/>
    <w:rsid w:val="00D72CA8"/>
    <w:rsid w:val="00D73082"/>
    <w:rsid w:val="00D7311A"/>
    <w:rsid w:val="00D7353A"/>
    <w:rsid w:val="00D73572"/>
    <w:rsid w:val="00D736CB"/>
    <w:rsid w:val="00D73973"/>
    <w:rsid w:val="00D73DCB"/>
    <w:rsid w:val="00D73EA0"/>
    <w:rsid w:val="00D74050"/>
    <w:rsid w:val="00D74087"/>
    <w:rsid w:val="00D740CD"/>
    <w:rsid w:val="00D74242"/>
    <w:rsid w:val="00D74339"/>
    <w:rsid w:val="00D743AD"/>
    <w:rsid w:val="00D7498E"/>
    <w:rsid w:val="00D74AEF"/>
    <w:rsid w:val="00D74B9F"/>
    <w:rsid w:val="00D74DF7"/>
    <w:rsid w:val="00D74F08"/>
    <w:rsid w:val="00D75121"/>
    <w:rsid w:val="00D75159"/>
    <w:rsid w:val="00D754B7"/>
    <w:rsid w:val="00D754FA"/>
    <w:rsid w:val="00D754FC"/>
    <w:rsid w:val="00D755DF"/>
    <w:rsid w:val="00D7573C"/>
    <w:rsid w:val="00D7594C"/>
    <w:rsid w:val="00D759A6"/>
    <w:rsid w:val="00D75B80"/>
    <w:rsid w:val="00D75B93"/>
    <w:rsid w:val="00D75C1D"/>
    <w:rsid w:val="00D75DE3"/>
    <w:rsid w:val="00D75ED1"/>
    <w:rsid w:val="00D75FBB"/>
    <w:rsid w:val="00D7635D"/>
    <w:rsid w:val="00D763DB"/>
    <w:rsid w:val="00D765DA"/>
    <w:rsid w:val="00D76630"/>
    <w:rsid w:val="00D766D3"/>
    <w:rsid w:val="00D767E9"/>
    <w:rsid w:val="00D76C96"/>
    <w:rsid w:val="00D77075"/>
    <w:rsid w:val="00D770FD"/>
    <w:rsid w:val="00D772A2"/>
    <w:rsid w:val="00D77386"/>
    <w:rsid w:val="00D774BF"/>
    <w:rsid w:val="00D774D8"/>
    <w:rsid w:val="00D7769D"/>
    <w:rsid w:val="00D776D3"/>
    <w:rsid w:val="00D77A14"/>
    <w:rsid w:val="00D77A80"/>
    <w:rsid w:val="00D77E50"/>
    <w:rsid w:val="00D80011"/>
    <w:rsid w:val="00D8046F"/>
    <w:rsid w:val="00D804B7"/>
    <w:rsid w:val="00D806C4"/>
    <w:rsid w:val="00D807DC"/>
    <w:rsid w:val="00D80804"/>
    <w:rsid w:val="00D80930"/>
    <w:rsid w:val="00D8096F"/>
    <w:rsid w:val="00D80AA6"/>
    <w:rsid w:val="00D81028"/>
    <w:rsid w:val="00D81058"/>
    <w:rsid w:val="00D810B3"/>
    <w:rsid w:val="00D81361"/>
    <w:rsid w:val="00D817DE"/>
    <w:rsid w:val="00D8182D"/>
    <w:rsid w:val="00D81831"/>
    <w:rsid w:val="00D81870"/>
    <w:rsid w:val="00D81A8A"/>
    <w:rsid w:val="00D81AFF"/>
    <w:rsid w:val="00D81D29"/>
    <w:rsid w:val="00D81DED"/>
    <w:rsid w:val="00D81E40"/>
    <w:rsid w:val="00D82228"/>
    <w:rsid w:val="00D822C4"/>
    <w:rsid w:val="00D822E1"/>
    <w:rsid w:val="00D824C6"/>
    <w:rsid w:val="00D8265B"/>
    <w:rsid w:val="00D82906"/>
    <w:rsid w:val="00D82D64"/>
    <w:rsid w:val="00D82FAA"/>
    <w:rsid w:val="00D83152"/>
    <w:rsid w:val="00D831E2"/>
    <w:rsid w:val="00D83526"/>
    <w:rsid w:val="00D83ACC"/>
    <w:rsid w:val="00D83C8D"/>
    <w:rsid w:val="00D8405C"/>
    <w:rsid w:val="00D84301"/>
    <w:rsid w:val="00D844E0"/>
    <w:rsid w:val="00D845C0"/>
    <w:rsid w:val="00D846CE"/>
    <w:rsid w:val="00D84B20"/>
    <w:rsid w:val="00D84BA5"/>
    <w:rsid w:val="00D84C11"/>
    <w:rsid w:val="00D84C1E"/>
    <w:rsid w:val="00D84CD9"/>
    <w:rsid w:val="00D84F38"/>
    <w:rsid w:val="00D84F90"/>
    <w:rsid w:val="00D84FCF"/>
    <w:rsid w:val="00D85082"/>
    <w:rsid w:val="00D85088"/>
    <w:rsid w:val="00D852FA"/>
    <w:rsid w:val="00D85583"/>
    <w:rsid w:val="00D855C0"/>
    <w:rsid w:val="00D85688"/>
    <w:rsid w:val="00D856FF"/>
    <w:rsid w:val="00D85AB7"/>
    <w:rsid w:val="00D85B19"/>
    <w:rsid w:val="00D85B34"/>
    <w:rsid w:val="00D85B41"/>
    <w:rsid w:val="00D85E55"/>
    <w:rsid w:val="00D8611A"/>
    <w:rsid w:val="00D861D6"/>
    <w:rsid w:val="00D86268"/>
    <w:rsid w:val="00D862F7"/>
    <w:rsid w:val="00D863AD"/>
    <w:rsid w:val="00D863F8"/>
    <w:rsid w:val="00D864DC"/>
    <w:rsid w:val="00D86700"/>
    <w:rsid w:val="00D86A2C"/>
    <w:rsid w:val="00D86A80"/>
    <w:rsid w:val="00D86A99"/>
    <w:rsid w:val="00D86ED3"/>
    <w:rsid w:val="00D86F06"/>
    <w:rsid w:val="00D86F84"/>
    <w:rsid w:val="00D86FA4"/>
    <w:rsid w:val="00D87102"/>
    <w:rsid w:val="00D871AF"/>
    <w:rsid w:val="00D871B4"/>
    <w:rsid w:val="00D8774E"/>
    <w:rsid w:val="00D87840"/>
    <w:rsid w:val="00D87853"/>
    <w:rsid w:val="00D87AEB"/>
    <w:rsid w:val="00D87B52"/>
    <w:rsid w:val="00D87C0E"/>
    <w:rsid w:val="00D87CDE"/>
    <w:rsid w:val="00D87CF7"/>
    <w:rsid w:val="00D87F7D"/>
    <w:rsid w:val="00D90097"/>
    <w:rsid w:val="00D900FE"/>
    <w:rsid w:val="00D9020A"/>
    <w:rsid w:val="00D902A8"/>
    <w:rsid w:val="00D904CF"/>
    <w:rsid w:val="00D906A2"/>
    <w:rsid w:val="00D91095"/>
    <w:rsid w:val="00D912A9"/>
    <w:rsid w:val="00D912B1"/>
    <w:rsid w:val="00D91521"/>
    <w:rsid w:val="00D91534"/>
    <w:rsid w:val="00D9179C"/>
    <w:rsid w:val="00D9182F"/>
    <w:rsid w:val="00D918B5"/>
    <w:rsid w:val="00D91960"/>
    <w:rsid w:val="00D91AC5"/>
    <w:rsid w:val="00D91FC1"/>
    <w:rsid w:val="00D922C8"/>
    <w:rsid w:val="00D92319"/>
    <w:rsid w:val="00D92498"/>
    <w:rsid w:val="00D92528"/>
    <w:rsid w:val="00D925AA"/>
    <w:rsid w:val="00D92836"/>
    <w:rsid w:val="00D92A4B"/>
    <w:rsid w:val="00D92C62"/>
    <w:rsid w:val="00D92C90"/>
    <w:rsid w:val="00D92E54"/>
    <w:rsid w:val="00D92EF9"/>
    <w:rsid w:val="00D93220"/>
    <w:rsid w:val="00D9343C"/>
    <w:rsid w:val="00D93593"/>
    <w:rsid w:val="00D935A1"/>
    <w:rsid w:val="00D9384F"/>
    <w:rsid w:val="00D93AC5"/>
    <w:rsid w:val="00D93B43"/>
    <w:rsid w:val="00D93B64"/>
    <w:rsid w:val="00D93C64"/>
    <w:rsid w:val="00D93C8F"/>
    <w:rsid w:val="00D93CEF"/>
    <w:rsid w:val="00D94153"/>
    <w:rsid w:val="00D942B0"/>
    <w:rsid w:val="00D94314"/>
    <w:rsid w:val="00D94371"/>
    <w:rsid w:val="00D94558"/>
    <w:rsid w:val="00D94644"/>
    <w:rsid w:val="00D9464C"/>
    <w:rsid w:val="00D94800"/>
    <w:rsid w:val="00D9482B"/>
    <w:rsid w:val="00D94A99"/>
    <w:rsid w:val="00D94AA1"/>
    <w:rsid w:val="00D94B8D"/>
    <w:rsid w:val="00D94C42"/>
    <w:rsid w:val="00D94C8C"/>
    <w:rsid w:val="00D94D2E"/>
    <w:rsid w:val="00D94EA4"/>
    <w:rsid w:val="00D95004"/>
    <w:rsid w:val="00D9538E"/>
    <w:rsid w:val="00D9542F"/>
    <w:rsid w:val="00D954AD"/>
    <w:rsid w:val="00D95585"/>
    <w:rsid w:val="00D95594"/>
    <w:rsid w:val="00D955AB"/>
    <w:rsid w:val="00D955F8"/>
    <w:rsid w:val="00D95710"/>
    <w:rsid w:val="00D95F3D"/>
    <w:rsid w:val="00D95FFE"/>
    <w:rsid w:val="00D961AE"/>
    <w:rsid w:val="00D963F3"/>
    <w:rsid w:val="00D96630"/>
    <w:rsid w:val="00D96800"/>
    <w:rsid w:val="00D968BE"/>
    <w:rsid w:val="00D969C6"/>
    <w:rsid w:val="00D96AE9"/>
    <w:rsid w:val="00D96CBA"/>
    <w:rsid w:val="00D97137"/>
    <w:rsid w:val="00D9729B"/>
    <w:rsid w:val="00D973B5"/>
    <w:rsid w:val="00D975D7"/>
    <w:rsid w:val="00D975DA"/>
    <w:rsid w:val="00D9774A"/>
    <w:rsid w:val="00D97774"/>
    <w:rsid w:val="00D9780D"/>
    <w:rsid w:val="00D97838"/>
    <w:rsid w:val="00D978EB"/>
    <w:rsid w:val="00D97928"/>
    <w:rsid w:val="00D979C4"/>
    <w:rsid w:val="00D97A31"/>
    <w:rsid w:val="00D97A3E"/>
    <w:rsid w:val="00D97C5C"/>
    <w:rsid w:val="00D97F7C"/>
    <w:rsid w:val="00DA0007"/>
    <w:rsid w:val="00DA02B7"/>
    <w:rsid w:val="00DA0489"/>
    <w:rsid w:val="00DA0670"/>
    <w:rsid w:val="00DA0941"/>
    <w:rsid w:val="00DA0CDA"/>
    <w:rsid w:val="00DA0D98"/>
    <w:rsid w:val="00DA0DF8"/>
    <w:rsid w:val="00DA0F02"/>
    <w:rsid w:val="00DA100E"/>
    <w:rsid w:val="00DA10EF"/>
    <w:rsid w:val="00DA12C2"/>
    <w:rsid w:val="00DA1651"/>
    <w:rsid w:val="00DA1863"/>
    <w:rsid w:val="00DA18D6"/>
    <w:rsid w:val="00DA19A2"/>
    <w:rsid w:val="00DA1A4A"/>
    <w:rsid w:val="00DA1B77"/>
    <w:rsid w:val="00DA1C75"/>
    <w:rsid w:val="00DA1C7B"/>
    <w:rsid w:val="00DA1FC7"/>
    <w:rsid w:val="00DA211B"/>
    <w:rsid w:val="00DA21F9"/>
    <w:rsid w:val="00DA2242"/>
    <w:rsid w:val="00DA2494"/>
    <w:rsid w:val="00DA2563"/>
    <w:rsid w:val="00DA25C9"/>
    <w:rsid w:val="00DA2698"/>
    <w:rsid w:val="00DA2C5E"/>
    <w:rsid w:val="00DA30F0"/>
    <w:rsid w:val="00DA341F"/>
    <w:rsid w:val="00DA36DE"/>
    <w:rsid w:val="00DA3A84"/>
    <w:rsid w:val="00DA3AAA"/>
    <w:rsid w:val="00DA3F24"/>
    <w:rsid w:val="00DA4005"/>
    <w:rsid w:val="00DA4055"/>
    <w:rsid w:val="00DA414D"/>
    <w:rsid w:val="00DA41CA"/>
    <w:rsid w:val="00DA450F"/>
    <w:rsid w:val="00DA4651"/>
    <w:rsid w:val="00DA4768"/>
    <w:rsid w:val="00DA4780"/>
    <w:rsid w:val="00DA48BF"/>
    <w:rsid w:val="00DA4A07"/>
    <w:rsid w:val="00DA4A8D"/>
    <w:rsid w:val="00DA4C0E"/>
    <w:rsid w:val="00DA4C1C"/>
    <w:rsid w:val="00DA4E82"/>
    <w:rsid w:val="00DA4F05"/>
    <w:rsid w:val="00DA4F73"/>
    <w:rsid w:val="00DA50CA"/>
    <w:rsid w:val="00DA51CF"/>
    <w:rsid w:val="00DA52EA"/>
    <w:rsid w:val="00DA56AB"/>
    <w:rsid w:val="00DA56CC"/>
    <w:rsid w:val="00DA572B"/>
    <w:rsid w:val="00DA577D"/>
    <w:rsid w:val="00DA6227"/>
    <w:rsid w:val="00DA6862"/>
    <w:rsid w:val="00DA68D7"/>
    <w:rsid w:val="00DA6997"/>
    <w:rsid w:val="00DA6A92"/>
    <w:rsid w:val="00DA6E9C"/>
    <w:rsid w:val="00DA6EAD"/>
    <w:rsid w:val="00DA6FCD"/>
    <w:rsid w:val="00DA7153"/>
    <w:rsid w:val="00DA7370"/>
    <w:rsid w:val="00DA73E7"/>
    <w:rsid w:val="00DA75B1"/>
    <w:rsid w:val="00DA75D8"/>
    <w:rsid w:val="00DA7819"/>
    <w:rsid w:val="00DA79D6"/>
    <w:rsid w:val="00DA7A51"/>
    <w:rsid w:val="00DA7A76"/>
    <w:rsid w:val="00DA7A84"/>
    <w:rsid w:val="00DA7C52"/>
    <w:rsid w:val="00DA7D62"/>
    <w:rsid w:val="00DA7D75"/>
    <w:rsid w:val="00DA7D7C"/>
    <w:rsid w:val="00DA7E7C"/>
    <w:rsid w:val="00DA7FC9"/>
    <w:rsid w:val="00DB012F"/>
    <w:rsid w:val="00DB024A"/>
    <w:rsid w:val="00DB0292"/>
    <w:rsid w:val="00DB04DC"/>
    <w:rsid w:val="00DB0A25"/>
    <w:rsid w:val="00DB0B73"/>
    <w:rsid w:val="00DB0BEE"/>
    <w:rsid w:val="00DB1049"/>
    <w:rsid w:val="00DB113A"/>
    <w:rsid w:val="00DB1281"/>
    <w:rsid w:val="00DB12E1"/>
    <w:rsid w:val="00DB13EF"/>
    <w:rsid w:val="00DB170A"/>
    <w:rsid w:val="00DB1735"/>
    <w:rsid w:val="00DB1822"/>
    <w:rsid w:val="00DB1974"/>
    <w:rsid w:val="00DB1B63"/>
    <w:rsid w:val="00DB203D"/>
    <w:rsid w:val="00DB215F"/>
    <w:rsid w:val="00DB24DA"/>
    <w:rsid w:val="00DB266C"/>
    <w:rsid w:val="00DB28AE"/>
    <w:rsid w:val="00DB29BD"/>
    <w:rsid w:val="00DB2A14"/>
    <w:rsid w:val="00DB2DA8"/>
    <w:rsid w:val="00DB2F5B"/>
    <w:rsid w:val="00DB2F9B"/>
    <w:rsid w:val="00DB34AA"/>
    <w:rsid w:val="00DB352F"/>
    <w:rsid w:val="00DB35FC"/>
    <w:rsid w:val="00DB36F8"/>
    <w:rsid w:val="00DB3AC9"/>
    <w:rsid w:val="00DB3BB9"/>
    <w:rsid w:val="00DB3C37"/>
    <w:rsid w:val="00DB3F6B"/>
    <w:rsid w:val="00DB40D6"/>
    <w:rsid w:val="00DB42AF"/>
    <w:rsid w:val="00DB42CB"/>
    <w:rsid w:val="00DB4453"/>
    <w:rsid w:val="00DB4649"/>
    <w:rsid w:val="00DB46C4"/>
    <w:rsid w:val="00DB4891"/>
    <w:rsid w:val="00DB4B01"/>
    <w:rsid w:val="00DB4B98"/>
    <w:rsid w:val="00DB4CFD"/>
    <w:rsid w:val="00DB4D74"/>
    <w:rsid w:val="00DB4DEB"/>
    <w:rsid w:val="00DB4FAE"/>
    <w:rsid w:val="00DB4FC3"/>
    <w:rsid w:val="00DB5003"/>
    <w:rsid w:val="00DB507A"/>
    <w:rsid w:val="00DB5105"/>
    <w:rsid w:val="00DB5285"/>
    <w:rsid w:val="00DB536B"/>
    <w:rsid w:val="00DB5508"/>
    <w:rsid w:val="00DB5861"/>
    <w:rsid w:val="00DB58A0"/>
    <w:rsid w:val="00DB594F"/>
    <w:rsid w:val="00DB5B3E"/>
    <w:rsid w:val="00DB5C81"/>
    <w:rsid w:val="00DB5FD3"/>
    <w:rsid w:val="00DB600D"/>
    <w:rsid w:val="00DB6070"/>
    <w:rsid w:val="00DB633B"/>
    <w:rsid w:val="00DB655F"/>
    <w:rsid w:val="00DB6583"/>
    <w:rsid w:val="00DB67C9"/>
    <w:rsid w:val="00DB68B6"/>
    <w:rsid w:val="00DB68F2"/>
    <w:rsid w:val="00DB6978"/>
    <w:rsid w:val="00DB69BE"/>
    <w:rsid w:val="00DB6E22"/>
    <w:rsid w:val="00DB6FB9"/>
    <w:rsid w:val="00DB704F"/>
    <w:rsid w:val="00DB70C6"/>
    <w:rsid w:val="00DB7357"/>
    <w:rsid w:val="00DB73C2"/>
    <w:rsid w:val="00DB7673"/>
    <w:rsid w:val="00DB7696"/>
    <w:rsid w:val="00DB77EF"/>
    <w:rsid w:val="00DB7BB2"/>
    <w:rsid w:val="00DB7CF7"/>
    <w:rsid w:val="00DB7D37"/>
    <w:rsid w:val="00DB7E59"/>
    <w:rsid w:val="00DC0042"/>
    <w:rsid w:val="00DC05E0"/>
    <w:rsid w:val="00DC0628"/>
    <w:rsid w:val="00DC064A"/>
    <w:rsid w:val="00DC0669"/>
    <w:rsid w:val="00DC0678"/>
    <w:rsid w:val="00DC07B8"/>
    <w:rsid w:val="00DC0859"/>
    <w:rsid w:val="00DC0B5B"/>
    <w:rsid w:val="00DC0D2F"/>
    <w:rsid w:val="00DC0D70"/>
    <w:rsid w:val="00DC0DCD"/>
    <w:rsid w:val="00DC13A8"/>
    <w:rsid w:val="00DC1417"/>
    <w:rsid w:val="00DC15A8"/>
    <w:rsid w:val="00DC1715"/>
    <w:rsid w:val="00DC183C"/>
    <w:rsid w:val="00DC1940"/>
    <w:rsid w:val="00DC1AFA"/>
    <w:rsid w:val="00DC1B1E"/>
    <w:rsid w:val="00DC1DB4"/>
    <w:rsid w:val="00DC1F44"/>
    <w:rsid w:val="00DC22F4"/>
    <w:rsid w:val="00DC2303"/>
    <w:rsid w:val="00DC268C"/>
    <w:rsid w:val="00DC28CD"/>
    <w:rsid w:val="00DC28DF"/>
    <w:rsid w:val="00DC290A"/>
    <w:rsid w:val="00DC2A1B"/>
    <w:rsid w:val="00DC2B8F"/>
    <w:rsid w:val="00DC2D20"/>
    <w:rsid w:val="00DC32D9"/>
    <w:rsid w:val="00DC35E2"/>
    <w:rsid w:val="00DC35E5"/>
    <w:rsid w:val="00DC3815"/>
    <w:rsid w:val="00DC3DEA"/>
    <w:rsid w:val="00DC3E43"/>
    <w:rsid w:val="00DC3FA6"/>
    <w:rsid w:val="00DC3FDF"/>
    <w:rsid w:val="00DC401F"/>
    <w:rsid w:val="00DC4050"/>
    <w:rsid w:val="00DC40BB"/>
    <w:rsid w:val="00DC426A"/>
    <w:rsid w:val="00DC4285"/>
    <w:rsid w:val="00DC42A7"/>
    <w:rsid w:val="00DC458C"/>
    <w:rsid w:val="00DC4712"/>
    <w:rsid w:val="00DC47EE"/>
    <w:rsid w:val="00DC4825"/>
    <w:rsid w:val="00DC498B"/>
    <w:rsid w:val="00DC4FA7"/>
    <w:rsid w:val="00DC5103"/>
    <w:rsid w:val="00DC5210"/>
    <w:rsid w:val="00DC5219"/>
    <w:rsid w:val="00DC55A4"/>
    <w:rsid w:val="00DC5685"/>
    <w:rsid w:val="00DC5788"/>
    <w:rsid w:val="00DC592E"/>
    <w:rsid w:val="00DC5A5B"/>
    <w:rsid w:val="00DC5AA6"/>
    <w:rsid w:val="00DC5BBC"/>
    <w:rsid w:val="00DC5C2F"/>
    <w:rsid w:val="00DC5DAD"/>
    <w:rsid w:val="00DC5FF7"/>
    <w:rsid w:val="00DC62E7"/>
    <w:rsid w:val="00DC6400"/>
    <w:rsid w:val="00DC677C"/>
    <w:rsid w:val="00DC67B3"/>
    <w:rsid w:val="00DC6A07"/>
    <w:rsid w:val="00DC6C3E"/>
    <w:rsid w:val="00DC6D0A"/>
    <w:rsid w:val="00DC6D56"/>
    <w:rsid w:val="00DC6DB3"/>
    <w:rsid w:val="00DC6E4E"/>
    <w:rsid w:val="00DC718B"/>
    <w:rsid w:val="00DC72A6"/>
    <w:rsid w:val="00DC7370"/>
    <w:rsid w:val="00DC73FA"/>
    <w:rsid w:val="00DC77B3"/>
    <w:rsid w:val="00DC77F8"/>
    <w:rsid w:val="00DC7827"/>
    <w:rsid w:val="00DC7911"/>
    <w:rsid w:val="00DC7A6B"/>
    <w:rsid w:val="00DC7C79"/>
    <w:rsid w:val="00DC7D7A"/>
    <w:rsid w:val="00DC7E73"/>
    <w:rsid w:val="00DC7EAE"/>
    <w:rsid w:val="00DC7FD3"/>
    <w:rsid w:val="00DC7FDA"/>
    <w:rsid w:val="00DD00BA"/>
    <w:rsid w:val="00DD0124"/>
    <w:rsid w:val="00DD012E"/>
    <w:rsid w:val="00DD025A"/>
    <w:rsid w:val="00DD0686"/>
    <w:rsid w:val="00DD0720"/>
    <w:rsid w:val="00DD0736"/>
    <w:rsid w:val="00DD08AA"/>
    <w:rsid w:val="00DD08AD"/>
    <w:rsid w:val="00DD0CDC"/>
    <w:rsid w:val="00DD0F32"/>
    <w:rsid w:val="00DD1042"/>
    <w:rsid w:val="00DD1062"/>
    <w:rsid w:val="00DD11A5"/>
    <w:rsid w:val="00DD11C1"/>
    <w:rsid w:val="00DD1287"/>
    <w:rsid w:val="00DD12D3"/>
    <w:rsid w:val="00DD13A5"/>
    <w:rsid w:val="00DD15C6"/>
    <w:rsid w:val="00DD16B7"/>
    <w:rsid w:val="00DD18A5"/>
    <w:rsid w:val="00DD194D"/>
    <w:rsid w:val="00DD196C"/>
    <w:rsid w:val="00DD1B5C"/>
    <w:rsid w:val="00DD1D0F"/>
    <w:rsid w:val="00DD2141"/>
    <w:rsid w:val="00DD22BD"/>
    <w:rsid w:val="00DD236C"/>
    <w:rsid w:val="00DD24A6"/>
    <w:rsid w:val="00DD25D5"/>
    <w:rsid w:val="00DD2A23"/>
    <w:rsid w:val="00DD2A3B"/>
    <w:rsid w:val="00DD2B90"/>
    <w:rsid w:val="00DD2BB9"/>
    <w:rsid w:val="00DD2D2C"/>
    <w:rsid w:val="00DD2E7A"/>
    <w:rsid w:val="00DD2F27"/>
    <w:rsid w:val="00DD311E"/>
    <w:rsid w:val="00DD313C"/>
    <w:rsid w:val="00DD365C"/>
    <w:rsid w:val="00DD3780"/>
    <w:rsid w:val="00DD379A"/>
    <w:rsid w:val="00DD38E4"/>
    <w:rsid w:val="00DD3A5C"/>
    <w:rsid w:val="00DD3C22"/>
    <w:rsid w:val="00DD3E33"/>
    <w:rsid w:val="00DD3FCB"/>
    <w:rsid w:val="00DD42D0"/>
    <w:rsid w:val="00DD4747"/>
    <w:rsid w:val="00DD4833"/>
    <w:rsid w:val="00DD4922"/>
    <w:rsid w:val="00DD4A36"/>
    <w:rsid w:val="00DD4B56"/>
    <w:rsid w:val="00DD4EC0"/>
    <w:rsid w:val="00DD4F28"/>
    <w:rsid w:val="00DD5333"/>
    <w:rsid w:val="00DD534E"/>
    <w:rsid w:val="00DD53F9"/>
    <w:rsid w:val="00DD5795"/>
    <w:rsid w:val="00DD5A32"/>
    <w:rsid w:val="00DD5AD3"/>
    <w:rsid w:val="00DD5B2C"/>
    <w:rsid w:val="00DD5BEF"/>
    <w:rsid w:val="00DD5D63"/>
    <w:rsid w:val="00DD5D87"/>
    <w:rsid w:val="00DD5FA0"/>
    <w:rsid w:val="00DD6052"/>
    <w:rsid w:val="00DD60E9"/>
    <w:rsid w:val="00DD60EB"/>
    <w:rsid w:val="00DD63FF"/>
    <w:rsid w:val="00DD6798"/>
    <w:rsid w:val="00DD6939"/>
    <w:rsid w:val="00DD6AEC"/>
    <w:rsid w:val="00DD6AEE"/>
    <w:rsid w:val="00DD6BCC"/>
    <w:rsid w:val="00DD6C4B"/>
    <w:rsid w:val="00DD6D9C"/>
    <w:rsid w:val="00DD6EB8"/>
    <w:rsid w:val="00DD73C3"/>
    <w:rsid w:val="00DD74FD"/>
    <w:rsid w:val="00DD75C5"/>
    <w:rsid w:val="00DD7640"/>
    <w:rsid w:val="00DD7960"/>
    <w:rsid w:val="00DD7C92"/>
    <w:rsid w:val="00DD7E6C"/>
    <w:rsid w:val="00DD7EC2"/>
    <w:rsid w:val="00DD7ED9"/>
    <w:rsid w:val="00DE003A"/>
    <w:rsid w:val="00DE01EA"/>
    <w:rsid w:val="00DE021E"/>
    <w:rsid w:val="00DE0281"/>
    <w:rsid w:val="00DE02B6"/>
    <w:rsid w:val="00DE0726"/>
    <w:rsid w:val="00DE0844"/>
    <w:rsid w:val="00DE0888"/>
    <w:rsid w:val="00DE0898"/>
    <w:rsid w:val="00DE08E6"/>
    <w:rsid w:val="00DE0B63"/>
    <w:rsid w:val="00DE0B65"/>
    <w:rsid w:val="00DE0C24"/>
    <w:rsid w:val="00DE0E8E"/>
    <w:rsid w:val="00DE0F01"/>
    <w:rsid w:val="00DE0FEB"/>
    <w:rsid w:val="00DE1226"/>
    <w:rsid w:val="00DE134D"/>
    <w:rsid w:val="00DE1514"/>
    <w:rsid w:val="00DE1601"/>
    <w:rsid w:val="00DE1602"/>
    <w:rsid w:val="00DE18A5"/>
    <w:rsid w:val="00DE1962"/>
    <w:rsid w:val="00DE1A84"/>
    <w:rsid w:val="00DE1A8C"/>
    <w:rsid w:val="00DE20A8"/>
    <w:rsid w:val="00DE20F1"/>
    <w:rsid w:val="00DE210C"/>
    <w:rsid w:val="00DE21A5"/>
    <w:rsid w:val="00DE224D"/>
    <w:rsid w:val="00DE241B"/>
    <w:rsid w:val="00DE254B"/>
    <w:rsid w:val="00DE26C4"/>
    <w:rsid w:val="00DE26C8"/>
    <w:rsid w:val="00DE273E"/>
    <w:rsid w:val="00DE27DE"/>
    <w:rsid w:val="00DE28DC"/>
    <w:rsid w:val="00DE2994"/>
    <w:rsid w:val="00DE2B2E"/>
    <w:rsid w:val="00DE2B38"/>
    <w:rsid w:val="00DE2B48"/>
    <w:rsid w:val="00DE2C85"/>
    <w:rsid w:val="00DE2CB5"/>
    <w:rsid w:val="00DE2F26"/>
    <w:rsid w:val="00DE304B"/>
    <w:rsid w:val="00DE327F"/>
    <w:rsid w:val="00DE32E0"/>
    <w:rsid w:val="00DE3397"/>
    <w:rsid w:val="00DE354F"/>
    <w:rsid w:val="00DE36A1"/>
    <w:rsid w:val="00DE37A3"/>
    <w:rsid w:val="00DE3BDD"/>
    <w:rsid w:val="00DE3C25"/>
    <w:rsid w:val="00DE4013"/>
    <w:rsid w:val="00DE4233"/>
    <w:rsid w:val="00DE47E6"/>
    <w:rsid w:val="00DE48F7"/>
    <w:rsid w:val="00DE4AD4"/>
    <w:rsid w:val="00DE4BDB"/>
    <w:rsid w:val="00DE4CD8"/>
    <w:rsid w:val="00DE4E09"/>
    <w:rsid w:val="00DE4FCC"/>
    <w:rsid w:val="00DE5189"/>
    <w:rsid w:val="00DE530E"/>
    <w:rsid w:val="00DE533E"/>
    <w:rsid w:val="00DE56E9"/>
    <w:rsid w:val="00DE57FC"/>
    <w:rsid w:val="00DE5894"/>
    <w:rsid w:val="00DE58F5"/>
    <w:rsid w:val="00DE5C4F"/>
    <w:rsid w:val="00DE5D07"/>
    <w:rsid w:val="00DE5DAE"/>
    <w:rsid w:val="00DE5FB2"/>
    <w:rsid w:val="00DE5FB3"/>
    <w:rsid w:val="00DE60D3"/>
    <w:rsid w:val="00DE616A"/>
    <w:rsid w:val="00DE63B4"/>
    <w:rsid w:val="00DE642A"/>
    <w:rsid w:val="00DE64F5"/>
    <w:rsid w:val="00DE65F5"/>
    <w:rsid w:val="00DE6663"/>
    <w:rsid w:val="00DE68AD"/>
    <w:rsid w:val="00DE68C2"/>
    <w:rsid w:val="00DE69ED"/>
    <w:rsid w:val="00DE6A2F"/>
    <w:rsid w:val="00DE6A8A"/>
    <w:rsid w:val="00DE6B31"/>
    <w:rsid w:val="00DE6D7D"/>
    <w:rsid w:val="00DE6F78"/>
    <w:rsid w:val="00DE6FDD"/>
    <w:rsid w:val="00DE7145"/>
    <w:rsid w:val="00DE71D9"/>
    <w:rsid w:val="00DE733B"/>
    <w:rsid w:val="00DE734F"/>
    <w:rsid w:val="00DE75AA"/>
    <w:rsid w:val="00DE75DD"/>
    <w:rsid w:val="00DE75F8"/>
    <w:rsid w:val="00DE7698"/>
    <w:rsid w:val="00DE7BE3"/>
    <w:rsid w:val="00DE7E31"/>
    <w:rsid w:val="00DE7F19"/>
    <w:rsid w:val="00DE7F51"/>
    <w:rsid w:val="00DF0053"/>
    <w:rsid w:val="00DF00B7"/>
    <w:rsid w:val="00DF049A"/>
    <w:rsid w:val="00DF055C"/>
    <w:rsid w:val="00DF0561"/>
    <w:rsid w:val="00DF0666"/>
    <w:rsid w:val="00DF06D2"/>
    <w:rsid w:val="00DF081D"/>
    <w:rsid w:val="00DF095F"/>
    <w:rsid w:val="00DF0D64"/>
    <w:rsid w:val="00DF0EE7"/>
    <w:rsid w:val="00DF0F71"/>
    <w:rsid w:val="00DF0FCE"/>
    <w:rsid w:val="00DF1075"/>
    <w:rsid w:val="00DF119C"/>
    <w:rsid w:val="00DF14E0"/>
    <w:rsid w:val="00DF1623"/>
    <w:rsid w:val="00DF17C2"/>
    <w:rsid w:val="00DF17CA"/>
    <w:rsid w:val="00DF17D9"/>
    <w:rsid w:val="00DF182F"/>
    <w:rsid w:val="00DF18AA"/>
    <w:rsid w:val="00DF1A01"/>
    <w:rsid w:val="00DF1D05"/>
    <w:rsid w:val="00DF1D73"/>
    <w:rsid w:val="00DF203B"/>
    <w:rsid w:val="00DF23A6"/>
    <w:rsid w:val="00DF23FB"/>
    <w:rsid w:val="00DF2744"/>
    <w:rsid w:val="00DF29DB"/>
    <w:rsid w:val="00DF2A0B"/>
    <w:rsid w:val="00DF2DF8"/>
    <w:rsid w:val="00DF303E"/>
    <w:rsid w:val="00DF3240"/>
    <w:rsid w:val="00DF3395"/>
    <w:rsid w:val="00DF34C0"/>
    <w:rsid w:val="00DF358B"/>
    <w:rsid w:val="00DF36F6"/>
    <w:rsid w:val="00DF3781"/>
    <w:rsid w:val="00DF3807"/>
    <w:rsid w:val="00DF3814"/>
    <w:rsid w:val="00DF3B17"/>
    <w:rsid w:val="00DF3D5F"/>
    <w:rsid w:val="00DF3E23"/>
    <w:rsid w:val="00DF3E65"/>
    <w:rsid w:val="00DF4316"/>
    <w:rsid w:val="00DF455E"/>
    <w:rsid w:val="00DF464D"/>
    <w:rsid w:val="00DF4685"/>
    <w:rsid w:val="00DF46C2"/>
    <w:rsid w:val="00DF47C3"/>
    <w:rsid w:val="00DF4968"/>
    <w:rsid w:val="00DF49FE"/>
    <w:rsid w:val="00DF4B8F"/>
    <w:rsid w:val="00DF4C2A"/>
    <w:rsid w:val="00DF4D1C"/>
    <w:rsid w:val="00DF523D"/>
    <w:rsid w:val="00DF523F"/>
    <w:rsid w:val="00DF5263"/>
    <w:rsid w:val="00DF599A"/>
    <w:rsid w:val="00DF5C5A"/>
    <w:rsid w:val="00DF60E1"/>
    <w:rsid w:val="00DF6173"/>
    <w:rsid w:val="00DF629F"/>
    <w:rsid w:val="00DF68A1"/>
    <w:rsid w:val="00DF6903"/>
    <w:rsid w:val="00DF6A4E"/>
    <w:rsid w:val="00DF6AF5"/>
    <w:rsid w:val="00DF6B7F"/>
    <w:rsid w:val="00DF6EDA"/>
    <w:rsid w:val="00DF701E"/>
    <w:rsid w:val="00DF711A"/>
    <w:rsid w:val="00DF7192"/>
    <w:rsid w:val="00DF72B2"/>
    <w:rsid w:val="00DF7337"/>
    <w:rsid w:val="00DF744A"/>
    <w:rsid w:val="00DF74B7"/>
    <w:rsid w:val="00DF7694"/>
    <w:rsid w:val="00DF7794"/>
    <w:rsid w:val="00DF77EA"/>
    <w:rsid w:val="00DF7877"/>
    <w:rsid w:val="00DF79BA"/>
    <w:rsid w:val="00DF7AF0"/>
    <w:rsid w:val="00DF7C9F"/>
    <w:rsid w:val="00DF7D6B"/>
    <w:rsid w:val="00DF7D80"/>
    <w:rsid w:val="00DF7F25"/>
    <w:rsid w:val="00E00045"/>
    <w:rsid w:val="00E0008F"/>
    <w:rsid w:val="00E001F8"/>
    <w:rsid w:val="00E002DA"/>
    <w:rsid w:val="00E004C8"/>
    <w:rsid w:val="00E0055B"/>
    <w:rsid w:val="00E007F8"/>
    <w:rsid w:val="00E00838"/>
    <w:rsid w:val="00E0087E"/>
    <w:rsid w:val="00E00D41"/>
    <w:rsid w:val="00E00DD5"/>
    <w:rsid w:val="00E00F1C"/>
    <w:rsid w:val="00E00F20"/>
    <w:rsid w:val="00E00FE7"/>
    <w:rsid w:val="00E0128C"/>
    <w:rsid w:val="00E0137B"/>
    <w:rsid w:val="00E01475"/>
    <w:rsid w:val="00E01598"/>
    <w:rsid w:val="00E015EE"/>
    <w:rsid w:val="00E01616"/>
    <w:rsid w:val="00E01684"/>
    <w:rsid w:val="00E01900"/>
    <w:rsid w:val="00E01BD5"/>
    <w:rsid w:val="00E01C44"/>
    <w:rsid w:val="00E021BE"/>
    <w:rsid w:val="00E022D9"/>
    <w:rsid w:val="00E0238B"/>
    <w:rsid w:val="00E02454"/>
    <w:rsid w:val="00E0251B"/>
    <w:rsid w:val="00E02527"/>
    <w:rsid w:val="00E0261C"/>
    <w:rsid w:val="00E02722"/>
    <w:rsid w:val="00E028E1"/>
    <w:rsid w:val="00E0296F"/>
    <w:rsid w:val="00E02997"/>
    <w:rsid w:val="00E02B1E"/>
    <w:rsid w:val="00E02BFB"/>
    <w:rsid w:val="00E02FA5"/>
    <w:rsid w:val="00E031CD"/>
    <w:rsid w:val="00E03208"/>
    <w:rsid w:val="00E032F6"/>
    <w:rsid w:val="00E03715"/>
    <w:rsid w:val="00E0376E"/>
    <w:rsid w:val="00E039BB"/>
    <w:rsid w:val="00E03B67"/>
    <w:rsid w:val="00E03CF6"/>
    <w:rsid w:val="00E03D29"/>
    <w:rsid w:val="00E03E5A"/>
    <w:rsid w:val="00E03EAB"/>
    <w:rsid w:val="00E04153"/>
    <w:rsid w:val="00E043E0"/>
    <w:rsid w:val="00E043F1"/>
    <w:rsid w:val="00E04495"/>
    <w:rsid w:val="00E044BC"/>
    <w:rsid w:val="00E0473A"/>
    <w:rsid w:val="00E047C4"/>
    <w:rsid w:val="00E048A9"/>
    <w:rsid w:val="00E048E7"/>
    <w:rsid w:val="00E049E6"/>
    <w:rsid w:val="00E04D2C"/>
    <w:rsid w:val="00E04DDB"/>
    <w:rsid w:val="00E04DEA"/>
    <w:rsid w:val="00E04E2F"/>
    <w:rsid w:val="00E04F4E"/>
    <w:rsid w:val="00E05210"/>
    <w:rsid w:val="00E05252"/>
    <w:rsid w:val="00E05254"/>
    <w:rsid w:val="00E052DF"/>
    <w:rsid w:val="00E0533B"/>
    <w:rsid w:val="00E05428"/>
    <w:rsid w:val="00E0567C"/>
    <w:rsid w:val="00E05795"/>
    <w:rsid w:val="00E05866"/>
    <w:rsid w:val="00E05AC6"/>
    <w:rsid w:val="00E05B47"/>
    <w:rsid w:val="00E05BB2"/>
    <w:rsid w:val="00E05BE8"/>
    <w:rsid w:val="00E05C7C"/>
    <w:rsid w:val="00E05D5D"/>
    <w:rsid w:val="00E05D94"/>
    <w:rsid w:val="00E05F74"/>
    <w:rsid w:val="00E06653"/>
    <w:rsid w:val="00E06726"/>
    <w:rsid w:val="00E067C3"/>
    <w:rsid w:val="00E068ED"/>
    <w:rsid w:val="00E06A36"/>
    <w:rsid w:val="00E06D5E"/>
    <w:rsid w:val="00E06E98"/>
    <w:rsid w:val="00E06EB3"/>
    <w:rsid w:val="00E06F8E"/>
    <w:rsid w:val="00E070E9"/>
    <w:rsid w:val="00E074E3"/>
    <w:rsid w:val="00E07690"/>
    <w:rsid w:val="00E076A2"/>
    <w:rsid w:val="00E078B3"/>
    <w:rsid w:val="00E07C24"/>
    <w:rsid w:val="00E07CAB"/>
    <w:rsid w:val="00E07D60"/>
    <w:rsid w:val="00E07EBB"/>
    <w:rsid w:val="00E100D7"/>
    <w:rsid w:val="00E100F0"/>
    <w:rsid w:val="00E101F1"/>
    <w:rsid w:val="00E104E2"/>
    <w:rsid w:val="00E10715"/>
    <w:rsid w:val="00E10994"/>
    <w:rsid w:val="00E10AA1"/>
    <w:rsid w:val="00E10B73"/>
    <w:rsid w:val="00E10DB4"/>
    <w:rsid w:val="00E10DDB"/>
    <w:rsid w:val="00E10F3C"/>
    <w:rsid w:val="00E10FD0"/>
    <w:rsid w:val="00E11200"/>
    <w:rsid w:val="00E11540"/>
    <w:rsid w:val="00E11631"/>
    <w:rsid w:val="00E11A3C"/>
    <w:rsid w:val="00E11ACD"/>
    <w:rsid w:val="00E11CE1"/>
    <w:rsid w:val="00E1202B"/>
    <w:rsid w:val="00E1217C"/>
    <w:rsid w:val="00E121A9"/>
    <w:rsid w:val="00E1229F"/>
    <w:rsid w:val="00E122CA"/>
    <w:rsid w:val="00E123D3"/>
    <w:rsid w:val="00E12547"/>
    <w:rsid w:val="00E12610"/>
    <w:rsid w:val="00E1271B"/>
    <w:rsid w:val="00E127AE"/>
    <w:rsid w:val="00E127D7"/>
    <w:rsid w:val="00E12845"/>
    <w:rsid w:val="00E12964"/>
    <w:rsid w:val="00E12BC5"/>
    <w:rsid w:val="00E12D75"/>
    <w:rsid w:val="00E12E8B"/>
    <w:rsid w:val="00E12F11"/>
    <w:rsid w:val="00E12F40"/>
    <w:rsid w:val="00E1301C"/>
    <w:rsid w:val="00E13090"/>
    <w:rsid w:val="00E130C9"/>
    <w:rsid w:val="00E13325"/>
    <w:rsid w:val="00E133C6"/>
    <w:rsid w:val="00E1356D"/>
    <w:rsid w:val="00E13576"/>
    <w:rsid w:val="00E1377C"/>
    <w:rsid w:val="00E137C1"/>
    <w:rsid w:val="00E13830"/>
    <w:rsid w:val="00E138BA"/>
    <w:rsid w:val="00E138DE"/>
    <w:rsid w:val="00E13994"/>
    <w:rsid w:val="00E139C8"/>
    <w:rsid w:val="00E139DE"/>
    <w:rsid w:val="00E13D86"/>
    <w:rsid w:val="00E140F3"/>
    <w:rsid w:val="00E1415D"/>
    <w:rsid w:val="00E144D0"/>
    <w:rsid w:val="00E149D8"/>
    <w:rsid w:val="00E14A76"/>
    <w:rsid w:val="00E14C40"/>
    <w:rsid w:val="00E14DF6"/>
    <w:rsid w:val="00E14E08"/>
    <w:rsid w:val="00E14E22"/>
    <w:rsid w:val="00E14EC7"/>
    <w:rsid w:val="00E15238"/>
    <w:rsid w:val="00E153C8"/>
    <w:rsid w:val="00E15402"/>
    <w:rsid w:val="00E15501"/>
    <w:rsid w:val="00E1550E"/>
    <w:rsid w:val="00E1554E"/>
    <w:rsid w:val="00E15A6D"/>
    <w:rsid w:val="00E15ACA"/>
    <w:rsid w:val="00E15B5D"/>
    <w:rsid w:val="00E15E97"/>
    <w:rsid w:val="00E16047"/>
    <w:rsid w:val="00E1614E"/>
    <w:rsid w:val="00E161DC"/>
    <w:rsid w:val="00E16214"/>
    <w:rsid w:val="00E1628E"/>
    <w:rsid w:val="00E163F7"/>
    <w:rsid w:val="00E166B9"/>
    <w:rsid w:val="00E1697F"/>
    <w:rsid w:val="00E16A48"/>
    <w:rsid w:val="00E16BB7"/>
    <w:rsid w:val="00E16E67"/>
    <w:rsid w:val="00E16E9B"/>
    <w:rsid w:val="00E16FAD"/>
    <w:rsid w:val="00E171BD"/>
    <w:rsid w:val="00E1749D"/>
    <w:rsid w:val="00E174B1"/>
    <w:rsid w:val="00E174C3"/>
    <w:rsid w:val="00E175B3"/>
    <w:rsid w:val="00E175BC"/>
    <w:rsid w:val="00E175E9"/>
    <w:rsid w:val="00E17889"/>
    <w:rsid w:val="00E17BD2"/>
    <w:rsid w:val="00E17C2F"/>
    <w:rsid w:val="00E17F1A"/>
    <w:rsid w:val="00E20432"/>
    <w:rsid w:val="00E205CE"/>
    <w:rsid w:val="00E205D9"/>
    <w:rsid w:val="00E20616"/>
    <w:rsid w:val="00E20678"/>
    <w:rsid w:val="00E206C4"/>
    <w:rsid w:val="00E2078F"/>
    <w:rsid w:val="00E2098B"/>
    <w:rsid w:val="00E20A3F"/>
    <w:rsid w:val="00E20AAB"/>
    <w:rsid w:val="00E20B79"/>
    <w:rsid w:val="00E20BC6"/>
    <w:rsid w:val="00E20C56"/>
    <w:rsid w:val="00E20E5F"/>
    <w:rsid w:val="00E21298"/>
    <w:rsid w:val="00E21455"/>
    <w:rsid w:val="00E21542"/>
    <w:rsid w:val="00E2177D"/>
    <w:rsid w:val="00E21834"/>
    <w:rsid w:val="00E218E2"/>
    <w:rsid w:val="00E21BAC"/>
    <w:rsid w:val="00E21CA1"/>
    <w:rsid w:val="00E21E31"/>
    <w:rsid w:val="00E21FB7"/>
    <w:rsid w:val="00E222F2"/>
    <w:rsid w:val="00E22382"/>
    <w:rsid w:val="00E22693"/>
    <w:rsid w:val="00E2277B"/>
    <w:rsid w:val="00E22EF4"/>
    <w:rsid w:val="00E230D4"/>
    <w:rsid w:val="00E2357D"/>
    <w:rsid w:val="00E23715"/>
    <w:rsid w:val="00E23743"/>
    <w:rsid w:val="00E238C6"/>
    <w:rsid w:val="00E23F35"/>
    <w:rsid w:val="00E23F68"/>
    <w:rsid w:val="00E245E7"/>
    <w:rsid w:val="00E2465F"/>
    <w:rsid w:val="00E246B4"/>
    <w:rsid w:val="00E2499B"/>
    <w:rsid w:val="00E24AF9"/>
    <w:rsid w:val="00E24B91"/>
    <w:rsid w:val="00E24BD6"/>
    <w:rsid w:val="00E24CA8"/>
    <w:rsid w:val="00E24EA0"/>
    <w:rsid w:val="00E25060"/>
    <w:rsid w:val="00E2506F"/>
    <w:rsid w:val="00E2511B"/>
    <w:rsid w:val="00E252AA"/>
    <w:rsid w:val="00E25534"/>
    <w:rsid w:val="00E25569"/>
    <w:rsid w:val="00E25663"/>
    <w:rsid w:val="00E256B2"/>
    <w:rsid w:val="00E2573A"/>
    <w:rsid w:val="00E2583B"/>
    <w:rsid w:val="00E259B1"/>
    <w:rsid w:val="00E25BA2"/>
    <w:rsid w:val="00E25F32"/>
    <w:rsid w:val="00E2607F"/>
    <w:rsid w:val="00E260CB"/>
    <w:rsid w:val="00E26187"/>
    <w:rsid w:val="00E261D0"/>
    <w:rsid w:val="00E26238"/>
    <w:rsid w:val="00E26248"/>
    <w:rsid w:val="00E262C0"/>
    <w:rsid w:val="00E262DB"/>
    <w:rsid w:val="00E26719"/>
    <w:rsid w:val="00E26800"/>
    <w:rsid w:val="00E26C6A"/>
    <w:rsid w:val="00E26DDD"/>
    <w:rsid w:val="00E26F59"/>
    <w:rsid w:val="00E270CF"/>
    <w:rsid w:val="00E2729A"/>
    <w:rsid w:val="00E272F7"/>
    <w:rsid w:val="00E2735F"/>
    <w:rsid w:val="00E2762B"/>
    <w:rsid w:val="00E277E5"/>
    <w:rsid w:val="00E277E8"/>
    <w:rsid w:val="00E27997"/>
    <w:rsid w:val="00E27B86"/>
    <w:rsid w:val="00E27BA0"/>
    <w:rsid w:val="00E27BEA"/>
    <w:rsid w:val="00E27CC9"/>
    <w:rsid w:val="00E27D89"/>
    <w:rsid w:val="00E27DD1"/>
    <w:rsid w:val="00E27E6F"/>
    <w:rsid w:val="00E300B9"/>
    <w:rsid w:val="00E30238"/>
    <w:rsid w:val="00E30335"/>
    <w:rsid w:val="00E30394"/>
    <w:rsid w:val="00E303B1"/>
    <w:rsid w:val="00E304BC"/>
    <w:rsid w:val="00E3080D"/>
    <w:rsid w:val="00E3089E"/>
    <w:rsid w:val="00E308A1"/>
    <w:rsid w:val="00E30C5C"/>
    <w:rsid w:val="00E30CF7"/>
    <w:rsid w:val="00E30D35"/>
    <w:rsid w:val="00E30E75"/>
    <w:rsid w:val="00E3107D"/>
    <w:rsid w:val="00E310B2"/>
    <w:rsid w:val="00E310C6"/>
    <w:rsid w:val="00E311E5"/>
    <w:rsid w:val="00E31497"/>
    <w:rsid w:val="00E3170A"/>
    <w:rsid w:val="00E3170F"/>
    <w:rsid w:val="00E318D7"/>
    <w:rsid w:val="00E31AD2"/>
    <w:rsid w:val="00E31B64"/>
    <w:rsid w:val="00E31BAC"/>
    <w:rsid w:val="00E31C2F"/>
    <w:rsid w:val="00E31CA7"/>
    <w:rsid w:val="00E31E46"/>
    <w:rsid w:val="00E31E71"/>
    <w:rsid w:val="00E32056"/>
    <w:rsid w:val="00E3232A"/>
    <w:rsid w:val="00E3239E"/>
    <w:rsid w:val="00E326AD"/>
    <w:rsid w:val="00E326B2"/>
    <w:rsid w:val="00E3277C"/>
    <w:rsid w:val="00E32A0B"/>
    <w:rsid w:val="00E32B03"/>
    <w:rsid w:val="00E32D1E"/>
    <w:rsid w:val="00E32DCE"/>
    <w:rsid w:val="00E32E05"/>
    <w:rsid w:val="00E32E3F"/>
    <w:rsid w:val="00E32F1B"/>
    <w:rsid w:val="00E330EC"/>
    <w:rsid w:val="00E3323F"/>
    <w:rsid w:val="00E33449"/>
    <w:rsid w:val="00E3353A"/>
    <w:rsid w:val="00E335D2"/>
    <w:rsid w:val="00E3364A"/>
    <w:rsid w:val="00E33A9D"/>
    <w:rsid w:val="00E33BBB"/>
    <w:rsid w:val="00E33D02"/>
    <w:rsid w:val="00E34010"/>
    <w:rsid w:val="00E3428B"/>
    <w:rsid w:val="00E3432B"/>
    <w:rsid w:val="00E34418"/>
    <w:rsid w:val="00E34492"/>
    <w:rsid w:val="00E34580"/>
    <w:rsid w:val="00E3459B"/>
    <w:rsid w:val="00E345D5"/>
    <w:rsid w:val="00E34685"/>
    <w:rsid w:val="00E346CF"/>
    <w:rsid w:val="00E34836"/>
    <w:rsid w:val="00E34CA2"/>
    <w:rsid w:val="00E34D4E"/>
    <w:rsid w:val="00E34E9A"/>
    <w:rsid w:val="00E34FC6"/>
    <w:rsid w:val="00E35006"/>
    <w:rsid w:val="00E35076"/>
    <w:rsid w:val="00E350B6"/>
    <w:rsid w:val="00E35197"/>
    <w:rsid w:val="00E351CC"/>
    <w:rsid w:val="00E35551"/>
    <w:rsid w:val="00E35666"/>
    <w:rsid w:val="00E35955"/>
    <w:rsid w:val="00E35A82"/>
    <w:rsid w:val="00E35B0B"/>
    <w:rsid w:val="00E35B8F"/>
    <w:rsid w:val="00E35BDB"/>
    <w:rsid w:val="00E35D94"/>
    <w:rsid w:val="00E35DEA"/>
    <w:rsid w:val="00E36006"/>
    <w:rsid w:val="00E36175"/>
    <w:rsid w:val="00E3630A"/>
    <w:rsid w:val="00E3638E"/>
    <w:rsid w:val="00E367BA"/>
    <w:rsid w:val="00E36CD2"/>
    <w:rsid w:val="00E36D50"/>
    <w:rsid w:val="00E36D63"/>
    <w:rsid w:val="00E36ED3"/>
    <w:rsid w:val="00E370A1"/>
    <w:rsid w:val="00E373A4"/>
    <w:rsid w:val="00E374BA"/>
    <w:rsid w:val="00E376FF"/>
    <w:rsid w:val="00E3773E"/>
    <w:rsid w:val="00E3777A"/>
    <w:rsid w:val="00E378CB"/>
    <w:rsid w:val="00E37993"/>
    <w:rsid w:val="00E37C52"/>
    <w:rsid w:val="00E37C69"/>
    <w:rsid w:val="00E37CAB"/>
    <w:rsid w:val="00E37F9D"/>
    <w:rsid w:val="00E400D0"/>
    <w:rsid w:val="00E40133"/>
    <w:rsid w:val="00E402E9"/>
    <w:rsid w:val="00E404A6"/>
    <w:rsid w:val="00E406DB"/>
    <w:rsid w:val="00E40708"/>
    <w:rsid w:val="00E407B0"/>
    <w:rsid w:val="00E40927"/>
    <w:rsid w:val="00E40AF1"/>
    <w:rsid w:val="00E40DDC"/>
    <w:rsid w:val="00E40E0C"/>
    <w:rsid w:val="00E40EA4"/>
    <w:rsid w:val="00E41081"/>
    <w:rsid w:val="00E41182"/>
    <w:rsid w:val="00E41647"/>
    <w:rsid w:val="00E41775"/>
    <w:rsid w:val="00E41875"/>
    <w:rsid w:val="00E41C44"/>
    <w:rsid w:val="00E41C8E"/>
    <w:rsid w:val="00E41D34"/>
    <w:rsid w:val="00E41E6F"/>
    <w:rsid w:val="00E41F87"/>
    <w:rsid w:val="00E42094"/>
    <w:rsid w:val="00E4244C"/>
    <w:rsid w:val="00E4284B"/>
    <w:rsid w:val="00E42897"/>
    <w:rsid w:val="00E42D4B"/>
    <w:rsid w:val="00E42D76"/>
    <w:rsid w:val="00E42EAB"/>
    <w:rsid w:val="00E43003"/>
    <w:rsid w:val="00E43209"/>
    <w:rsid w:val="00E4337C"/>
    <w:rsid w:val="00E435EB"/>
    <w:rsid w:val="00E43D7F"/>
    <w:rsid w:val="00E43EA8"/>
    <w:rsid w:val="00E43F86"/>
    <w:rsid w:val="00E44052"/>
    <w:rsid w:val="00E44055"/>
    <w:rsid w:val="00E4439C"/>
    <w:rsid w:val="00E443A2"/>
    <w:rsid w:val="00E4453F"/>
    <w:rsid w:val="00E44602"/>
    <w:rsid w:val="00E449E6"/>
    <w:rsid w:val="00E44ABC"/>
    <w:rsid w:val="00E44B4A"/>
    <w:rsid w:val="00E44B9D"/>
    <w:rsid w:val="00E44DD2"/>
    <w:rsid w:val="00E44EEE"/>
    <w:rsid w:val="00E45172"/>
    <w:rsid w:val="00E452C7"/>
    <w:rsid w:val="00E45598"/>
    <w:rsid w:val="00E45610"/>
    <w:rsid w:val="00E457B8"/>
    <w:rsid w:val="00E4589D"/>
    <w:rsid w:val="00E458E4"/>
    <w:rsid w:val="00E458F2"/>
    <w:rsid w:val="00E45A23"/>
    <w:rsid w:val="00E45BB1"/>
    <w:rsid w:val="00E45D4B"/>
    <w:rsid w:val="00E45D61"/>
    <w:rsid w:val="00E461C3"/>
    <w:rsid w:val="00E462D9"/>
    <w:rsid w:val="00E4637A"/>
    <w:rsid w:val="00E46572"/>
    <w:rsid w:val="00E4657A"/>
    <w:rsid w:val="00E467BC"/>
    <w:rsid w:val="00E46AE2"/>
    <w:rsid w:val="00E46D19"/>
    <w:rsid w:val="00E46D42"/>
    <w:rsid w:val="00E46E13"/>
    <w:rsid w:val="00E46EBB"/>
    <w:rsid w:val="00E47007"/>
    <w:rsid w:val="00E47053"/>
    <w:rsid w:val="00E47137"/>
    <w:rsid w:val="00E472E9"/>
    <w:rsid w:val="00E473A4"/>
    <w:rsid w:val="00E47591"/>
    <w:rsid w:val="00E4787C"/>
    <w:rsid w:val="00E47B7A"/>
    <w:rsid w:val="00E47C93"/>
    <w:rsid w:val="00E47D1A"/>
    <w:rsid w:val="00E47EB5"/>
    <w:rsid w:val="00E47FE9"/>
    <w:rsid w:val="00E50297"/>
    <w:rsid w:val="00E503A6"/>
    <w:rsid w:val="00E50468"/>
    <w:rsid w:val="00E50640"/>
    <w:rsid w:val="00E50767"/>
    <w:rsid w:val="00E508B2"/>
    <w:rsid w:val="00E50A1C"/>
    <w:rsid w:val="00E50ADA"/>
    <w:rsid w:val="00E50AE0"/>
    <w:rsid w:val="00E50CF5"/>
    <w:rsid w:val="00E50FEC"/>
    <w:rsid w:val="00E5107F"/>
    <w:rsid w:val="00E51740"/>
    <w:rsid w:val="00E51830"/>
    <w:rsid w:val="00E518A5"/>
    <w:rsid w:val="00E51B75"/>
    <w:rsid w:val="00E51C10"/>
    <w:rsid w:val="00E51D3E"/>
    <w:rsid w:val="00E5217F"/>
    <w:rsid w:val="00E521C2"/>
    <w:rsid w:val="00E52350"/>
    <w:rsid w:val="00E524A4"/>
    <w:rsid w:val="00E524FF"/>
    <w:rsid w:val="00E52605"/>
    <w:rsid w:val="00E52683"/>
    <w:rsid w:val="00E528D1"/>
    <w:rsid w:val="00E528E6"/>
    <w:rsid w:val="00E52AF5"/>
    <w:rsid w:val="00E52B31"/>
    <w:rsid w:val="00E52B46"/>
    <w:rsid w:val="00E52C1A"/>
    <w:rsid w:val="00E52D06"/>
    <w:rsid w:val="00E52E4F"/>
    <w:rsid w:val="00E52E8E"/>
    <w:rsid w:val="00E52F07"/>
    <w:rsid w:val="00E52F15"/>
    <w:rsid w:val="00E52F86"/>
    <w:rsid w:val="00E53426"/>
    <w:rsid w:val="00E536DB"/>
    <w:rsid w:val="00E539B2"/>
    <w:rsid w:val="00E53AD0"/>
    <w:rsid w:val="00E53BE6"/>
    <w:rsid w:val="00E53EB4"/>
    <w:rsid w:val="00E5401E"/>
    <w:rsid w:val="00E5429A"/>
    <w:rsid w:val="00E544DB"/>
    <w:rsid w:val="00E54694"/>
    <w:rsid w:val="00E54798"/>
    <w:rsid w:val="00E547CC"/>
    <w:rsid w:val="00E54819"/>
    <w:rsid w:val="00E549C5"/>
    <w:rsid w:val="00E54B46"/>
    <w:rsid w:val="00E54B4A"/>
    <w:rsid w:val="00E54EB4"/>
    <w:rsid w:val="00E55116"/>
    <w:rsid w:val="00E552E3"/>
    <w:rsid w:val="00E55347"/>
    <w:rsid w:val="00E5540A"/>
    <w:rsid w:val="00E554B6"/>
    <w:rsid w:val="00E5568A"/>
    <w:rsid w:val="00E556D5"/>
    <w:rsid w:val="00E557E0"/>
    <w:rsid w:val="00E55869"/>
    <w:rsid w:val="00E55A0F"/>
    <w:rsid w:val="00E55A5B"/>
    <w:rsid w:val="00E5628F"/>
    <w:rsid w:val="00E56727"/>
    <w:rsid w:val="00E56A04"/>
    <w:rsid w:val="00E56A1D"/>
    <w:rsid w:val="00E56C9E"/>
    <w:rsid w:val="00E56E59"/>
    <w:rsid w:val="00E56EA5"/>
    <w:rsid w:val="00E56FA0"/>
    <w:rsid w:val="00E57049"/>
    <w:rsid w:val="00E57128"/>
    <w:rsid w:val="00E57188"/>
    <w:rsid w:val="00E571B1"/>
    <w:rsid w:val="00E576D4"/>
    <w:rsid w:val="00E576ED"/>
    <w:rsid w:val="00E57AC1"/>
    <w:rsid w:val="00E57B33"/>
    <w:rsid w:val="00E57CAE"/>
    <w:rsid w:val="00E57CC4"/>
    <w:rsid w:val="00E57E65"/>
    <w:rsid w:val="00E57FBC"/>
    <w:rsid w:val="00E60143"/>
    <w:rsid w:val="00E602D9"/>
    <w:rsid w:val="00E6056F"/>
    <w:rsid w:val="00E60A66"/>
    <w:rsid w:val="00E60B9B"/>
    <w:rsid w:val="00E60C57"/>
    <w:rsid w:val="00E60CA1"/>
    <w:rsid w:val="00E60D1A"/>
    <w:rsid w:val="00E60F14"/>
    <w:rsid w:val="00E61096"/>
    <w:rsid w:val="00E61233"/>
    <w:rsid w:val="00E61243"/>
    <w:rsid w:val="00E612ED"/>
    <w:rsid w:val="00E616AA"/>
    <w:rsid w:val="00E617A1"/>
    <w:rsid w:val="00E617CB"/>
    <w:rsid w:val="00E617EF"/>
    <w:rsid w:val="00E618A8"/>
    <w:rsid w:val="00E61990"/>
    <w:rsid w:val="00E61BC7"/>
    <w:rsid w:val="00E61C21"/>
    <w:rsid w:val="00E620F2"/>
    <w:rsid w:val="00E620FD"/>
    <w:rsid w:val="00E6229A"/>
    <w:rsid w:val="00E623C0"/>
    <w:rsid w:val="00E6261F"/>
    <w:rsid w:val="00E6272D"/>
    <w:rsid w:val="00E6293F"/>
    <w:rsid w:val="00E62991"/>
    <w:rsid w:val="00E62A4B"/>
    <w:rsid w:val="00E62A7D"/>
    <w:rsid w:val="00E62BCC"/>
    <w:rsid w:val="00E62F19"/>
    <w:rsid w:val="00E6304D"/>
    <w:rsid w:val="00E63284"/>
    <w:rsid w:val="00E6337F"/>
    <w:rsid w:val="00E63383"/>
    <w:rsid w:val="00E633B3"/>
    <w:rsid w:val="00E634D7"/>
    <w:rsid w:val="00E63556"/>
    <w:rsid w:val="00E63638"/>
    <w:rsid w:val="00E6364A"/>
    <w:rsid w:val="00E637CC"/>
    <w:rsid w:val="00E63933"/>
    <w:rsid w:val="00E639F9"/>
    <w:rsid w:val="00E63D86"/>
    <w:rsid w:val="00E64097"/>
    <w:rsid w:val="00E6412F"/>
    <w:rsid w:val="00E642EA"/>
    <w:rsid w:val="00E64314"/>
    <w:rsid w:val="00E64412"/>
    <w:rsid w:val="00E6441A"/>
    <w:rsid w:val="00E6447E"/>
    <w:rsid w:val="00E644F5"/>
    <w:rsid w:val="00E64690"/>
    <w:rsid w:val="00E64763"/>
    <w:rsid w:val="00E648EB"/>
    <w:rsid w:val="00E64CDB"/>
    <w:rsid w:val="00E64D6B"/>
    <w:rsid w:val="00E64DB6"/>
    <w:rsid w:val="00E64DDC"/>
    <w:rsid w:val="00E64FDB"/>
    <w:rsid w:val="00E65718"/>
    <w:rsid w:val="00E65780"/>
    <w:rsid w:val="00E6587B"/>
    <w:rsid w:val="00E658C8"/>
    <w:rsid w:val="00E65A5D"/>
    <w:rsid w:val="00E65BC5"/>
    <w:rsid w:val="00E65C43"/>
    <w:rsid w:val="00E65E2D"/>
    <w:rsid w:val="00E6617C"/>
    <w:rsid w:val="00E66375"/>
    <w:rsid w:val="00E66404"/>
    <w:rsid w:val="00E66875"/>
    <w:rsid w:val="00E6692A"/>
    <w:rsid w:val="00E66D97"/>
    <w:rsid w:val="00E66E23"/>
    <w:rsid w:val="00E66E4E"/>
    <w:rsid w:val="00E66F51"/>
    <w:rsid w:val="00E66F82"/>
    <w:rsid w:val="00E6702B"/>
    <w:rsid w:val="00E6719C"/>
    <w:rsid w:val="00E6727C"/>
    <w:rsid w:val="00E67365"/>
    <w:rsid w:val="00E675EE"/>
    <w:rsid w:val="00E676AE"/>
    <w:rsid w:val="00E6797D"/>
    <w:rsid w:val="00E67986"/>
    <w:rsid w:val="00E67A01"/>
    <w:rsid w:val="00E67BBC"/>
    <w:rsid w:val="00E67C12"/>
    <w:rsid w:val="00E67C4C"/>
    <w:rsid w:val="00E67CF0"/>
    <w:rsid w:val="00E67DBC"/>
    <w:rsid w:val="00E67F0A"/>
    <w:rsid w:val="00E70045"/>
    <w:rsid w:val="00E703E6"/>
    <w:rsid w:val="00E7051E"/>
    <w:rsid w:val="00E7052A"/>
    <w:rsid w:val="00E7054D"/>
    <w:rsid w:val="00E70552"/>
    <w:rsid w:val="00E70728"/>
    <w:rsid w:val="00E7091D"/>
    <w:rsid w:val="00E70A69"/>
    <w:rsid w:val="00E70A81"/>
    <w:rsid w:val="00E70BFE"/>
    <w:rsid w:val="00E70FDF"/>
    <w:rsid w:val="00E70FFD"/>
    <w:rsid w:val="00E71080"/>
    <w:rsid w:val="00E7108F"/>
    <w:rsid w:val="00E71113"/>
    <w:rsid w:val="00E7113C"/>
    <w:rsid w:val="00E71192"/>
    <w:rsid w:val="00E7132A"/>
    <w:rsid w:val="00E71745"/>
    <w:rsid w:val="00E7177C"/>
    <w:rsid w:val="00E71905"/>
    <w:rsid w:val="00E71965"/>
    <w:rsid w:val="00E719E8"/>
    <w:rsid w:val="00E71AF1"/>
    <w:rsid w:val="00E71BD9"/>
    <w:rsid w:val="00E71DA2"/>
    <w:rsid w:val="00E720CF"/>
    <w:rsid w:val="00E720F2"/>
    <w:rsid w:val="00E721B8"/>
    <w:rsid w:val="00E72228"/>
    <w:rsid w:val="00E7225C"/>
    <w:rsid w:val="00E722D2"/>
    <w:rsid w:val="00E72337"/>
    <w:rsid w:val="00E723E8"/>
    <w:rsid w:val="00E72453"/>
    <w:rsid w:val="00E7262E"/>
    <w:rsid w:val="00E72718"/>
    <w:rsid w:val="00E729A8"/>
    <w:rsid w:val="00E72A22"/>
    <w:rsid w:val="00E72D2B"/>
    <w:rsid w:val="00E730DC"/>
    <w:rsid w:val="00E73140"/>
    <w:rsid w:val="00E732BA"/>
    <w:rsid w:val="00E73497"/>
    <w:rsid w:val="00E7358A"/>
    <w:rsid w:val="00E73610"/>
    <w:rsid w:val="00E739F8"/>
    <w:rsid w:val="00E73B5D"/>
    <w:rsid w:val="00E73BBD"/>
    <w:rsid w:val="00E74069"/>
    <w:rsid w:val="00E740F7"/>
    <w:rsid w:val="00E7435E"/>
    <w:rsid w:val="00E7444B"/>
    <w:rsid w:val="00E7446C"/>
    <w:rsid w:val="00E745B0"/>
    <w:rsid w:val="00E745BA"/>
    <w:rsid w:val="00E74934"/>
    <w:rsid w:val="00E74A81"/>
    <w:rsid w:val="00E74AE4"/>
    <w:rsid w:val="00E74F20"/>
    <w:rsid w:val="00E7517C"/>
    <w:rsid w:val="00E7534E"/>
    <w:rsid w:val="00E754BC"/>
    <w:rsid w:val="00E754DA"/>
    <w:rsid w:val="00E75504"/>
    <w:rsid w:val="00E7573A"/>
    <w:rsid w:val="00E757A9"/>
    <w:rsid w:val="00E7584A"/>
    <w:rsid w:val="00E758F7"/>
    <w:rsid w:val="00E7596C"/>
    <w:rsid w:val="00E75A2B"/>
    <w:rsid w:val="00E75A61"/>
    <w:rsid w:val="00E75AEF"/>
    <w:rsid w:val="00E75B8A"/>
    <w:rsid w:val="00E75C50"/>
    <w:rsid w:val="00E75C5C"/>
    <w:rsid w:val="00E75E46"/>
    <w:rsid w:val="00E7619C"/>
    <w:rsid w:val="00E762BE"/>
    <w:rsid w:val="00E7641A"/>
    <w:rsid w:val="00E76493"/>
    <w:rsid w:val="00E765DC"/>
    <w:rsid w:val="00E768BE"/>
    <w:rsid w:val="00E769DB"/>
    <w:rsid w:val="00E76D0D"/>
    <w:rsid w:val="00E76E5A"/>
    <w:rsid w:val="00E76E83"/>
    <w:rsid w:val="00E76F7B"/>
    <w:rsid w:val="00E770F7"/>
    <w:rsid w:val="00E7728E"/>
    <w:rsid w:val="00E772CA"/>
    <w:rsid w:val="00E7738A"/>
    <w:rsid w:val="00E7738C"/>
    <w:rsid w:val="00E7742A"/>
    <w:rsid w:val="00E77570"/>
    <w:rsid w:val="00E77596"/>
    <w:rsid w:val="00E77679"/>
    <w:rsid w:val="00E778A6"/>
    <w:rsid w:val="00E7793D"/>
    <w:rsid w:val="00E77AEB"/>
    <w:rsid w:val="00E77C01"/>
    <w:rsid w:val="00E77D26"/>
    <w:rsid w:val="00E77D8C"/>
    <w:rsid w:val="00E77DAD"/>
    <w:rsid w:val="00E77DDB"/>
    <w:rsid w:val="00E77EBE"/>
    <w:rsid w:val="00E77FFE"/>
    <w:rsid w:val="00E80010"/>
    <w:rsid w:val="00E801F1"/>
    <w:rsid w:val="00E80212"/>
    <w:rsid w:val="00E802EC"/>
    <w:rsid w:val="00E804E1"/>
    <w:rsid w:val="00E8051B"/>
    <w:rsid w:val="00E80558"/>
    <w:rsid w:val="00E80599"/>
    <w:rsid w:val="00E805EA"/>
    <w:rsid w:val="00E80CFF"/>
    <w:rsid w:val="00E81106"/>
    <w:rsid w:val="00E811F7"/>
    <w:rsid w:val="00E8123E"/>
    <w:rsid w:val="00E8137C"/>
    <w:rsid w:val="00E813E8"/>
    <w:rsid w:val="00E81611"/>
    <w:rsid w:val="00E8186F"/>
    <w:rsid w:val="00E818EF"/>
    <w:rsid w:val="00E81B5E"/>
    <w:rsid w:val="00E81B91"/>
    <w:rsid w:val="00E81D3D"/>
    <w:rsid w:val="00E81E5C"/>
    <w:rsid w:val="00E81F0D"/>
    <w:rsid w:val="00E8218E"/>
    <w:rsid w:val="00E821FB"/>
    <w:rsid w:val="00E824C3"/>
    <w:rsid w:val="00E829F9"/>
    <w:rsid w:val="00E82C95"/>
    <w:rsid w:val="00E82D69"/>
    <w:rsid w:val="00E82DF7"/>
    <w:rsid w:val="00E83028"/>
    <w:rsid w:val="00E8302C"/>
    <w:rsid w:val="00E8329C"/>
    <w:rsid w:val="00E8362C"/>
    <w:rsid w:val="00E83733"/>
    <w:rsid w:val="00E837AC"/>
    <w:rsid w:val="00E83857"/>
    <w:rsid w:val="00E838AF"/>
    <w:rsid w:val="00E839B0"/>
    <w:rsid w:val="00E83C84"/>
    <w:rsid w:val="00E83D9A"/>
    <w:rsid w:val="00E8404E"/>
    <w:rsid w:val="00E84079"/>
    <w:rsid w:val="00E841ED"/>
    <w:rsid w:val="00E845F6"/>
    <w:rsid w:val="00E846A7"/>
    <w:rsid w:val="00E846D0"/>
    <w:rsid w:val="00E846DB"/>
    <w:rsid w:val="00E8473B"/>
    <w:rsid w:val="00E849C9"/>
    <w:rsid w:val="00E84A2E"/>
    <w:rsid w:val="00E84A5A"/>
    <w:rsid w:val="00E84DCE"/>
    <w:rsid w:val="00E84DF0"/>
    <w:rsid w:val="00E84DF2"/>
    <w:rsid w:val="00E850A7"/>
    <w:rsid w:val="00E850EA"/>
    <w:rsid w:val="00E8521D"/>
    <w:rsid w:val="00E85332"/>
    <w:rsid w:val="00E85334"/>
    <w:rsid w:val="00E8565F"/>
    <w:rsid w:val="00E856AC"/>
    <w:rsid w:val="00E858F4"/>
    <w:rsid w:val="00E85A30"/>
    <w:rsid w:val="00E85B2F"/>
    <w:rsid w:val="00E85B92"/>
    <w:rsid w:val="00E85BC0"/>
    <w:rsid w:val="00E85D1D"/>
    <w:rsid w:val="00E85ED2"/>
    <w:rsid w:val="00E86090"/>
    <w:rsid w:val="00E861C6"/>
    <w:rsid w:val="00E86476"/>
    <w:rsid w:val="00E865A6"/>
    <w:rsid w:val="00E86903"/>
    <w:rsid w:val="00E86975"/>
    <w:rsid w:val="00E8698C"/>
    <w:rsid w:val="00E86B0A"/>
    <w:rsid w:val="00E86DEB"/>
    <w:rsid w:val="00E87150"/>
    <w:rsid w:val="00E87182"/>
    <w:rsid w:val="00E87480"/>
    <w:rsid w:val="00E875BC"/>
    <w:rsid w:val="00E87618"/>
    <w:rsid w:val="00E87776"/>
    <w:rsid w:val="00E87954"/>
    <w:rsid w:val="00E879AE"/>
    <w:rsid w:val="00E879F0"/>
    <w:rsid w:val="00E87A11"/>
    <w:rsid w:val="00E87C04"/>
    <w:rsid w:val="00E87C1B"/>
    <w:rsid w:val="00E87C8A"/>
    <w:rsid w:val="00E87D1A"/>
    <w:rsid w:val="00E87D6C"/>
    <w:rsid w:val="00E87E51"/>
    <w:rsid w:val="00E87E6B"/>
    <w:rsid w:val="00E90108"/>
    <w:rsid w:val="00E90556"/>
    <w:rsid w:val="00E90629"/>
    <w:rsid w:val="00E90801"/>
    <w:rsid w:val="00E90B77"/>
    <w:rsid w:val="00E90EDA"/>
    <w:rsid w:val="00E910C3"/>
    <w:rsid w:val="00E91403"/>
    <w:rsid w:val="00E914AE"/>
    <w:rsid w:val="00E9157D"/>
    <w:rsid w:val="00E9168C"/>
    <w:rsid w:val="00E916FD"/>
    <w:rsid w:val="00E917C5"/>
    <w:rsid w:val="00E9184D"/>
    <w:rsid w:val="00E918AC"/>
    <w:rsid w:val="00E9191D"/>
    <w:rsid w:val="00E9192E"/>
    <w:rsid w:val="00E919E1"/>
    <w:rsid w:val="00E92041"/>
    <w:rsid w:val="00E92202"/>
    <w:rsid w:val="00E9227A"/>
    <w:rsid w:val="00E922AD"/>
    <w:rsid w:val="00E9246E"/>
    <w:rsid w:val="00E9248F"/>
    <w:rsid w:val="00E92507"/>
    <w:rsid w:val="00E92840"/>
    <w:rsid w:val="00E928C4"/>
    <w:rsid w:val="00E9292F"/>
    <w:rsid w:val="00E9299F"/>
    <w:rsid w:val="00E92CDF"/>
    <w:rsid w:val="00E92D7A"/>
    <w:rsid w:val="00E92EA3"/>
    <w:rsid w:val="00E92F40"/>
    <w:rsid w:val="00E92FB9"/>
    <w:rsid w:val="00E930E7"/>
    <w:rsid w:val="00E931F0"/>
    <w:rsid w:val="00E93506"/>
    <w:rsid w:val="00E937CC"/>
    <w:rsid w:val="00E93824"/>
    <w:rsid w:val="00E93C71"/>
    <w:rsid w:val="00E93CA7"/>
    <w:rsid w:val="00E93CD0"/>
    <w:rsid w:val="00E93D7D"/>
    <w:rsid w:val="00E93DB7"/>
    <w:rsid w:val="00E93F1A"/>
    <w:rsid w:val="00E93F59"/>
    <w:rsid w:val="00E94005"/>
    <w:rsid w:val="00E9405D"/>
    <w:rsid w:val="00E9434E"/>
    <w:rsid w:val="00E946C7"/>
    <w:rsid w:val="00E94994"/>
    <w:rsid w:val="00E949A4"/>
    <w:rsid w:val="00E94A37"/>
    <w:rsid w:val="00E94B57"/>
    <w:rsid w:val="00E94BDE"/>
    <w:rsid w:val="00E94CC7"/>
    <w:rsid w:val="00E94E20"/>
    <w:rsid w:val="00E94F09"/>
    <w:rsid w:val="00E950D3"/>
    <w:rsid w:val="00E95336"/>
    <w:rsid w:val="00E953C2"/>
    <w:rsid w:val="00E954F0"/>
    <w:rsid w:val="00E95723"/>
    <w:rsid w:val="00E95967"/>
    <w:rsid w:val="00E95997"/>
    <w:rsid w:val="00E95B37"/>
    <w:rsid w:val="00E95FA8"/>
    <w:rsid w:val="00E9614B"/>
    <w:rsid w:val="00E963C8"/>
    <w:rsid w:val="00E96498"/>
    <w:rsid w:val="00E964E1"/>
    <w:rsid w:val="00E9650C"/>
    <w:rsid w:val="00E9657F"/>
    <w:rsid w:val="00E96B49"/>
    <w:rsid w:val="00E96DF1"/>
    <w:rsid w:val="00E972E2"/>
    <w:rsid w:val="00E973B8"/>
    <w:rsid w:val="00E9760D"/>
    <w:rsid w:val="00E976A1"/>
    <w:rsid w:val="00E9777C"/>
    <w:rsid w:val="00E97A97"/>
    <w:rsid w:val="00E97C49"/>
    <w:rsid w:val="00E97CA1"/>
    <w:rsid w:val="00E97F32"/>
    <w:rsid w:val="00E97FCD"/>
    <w:rsid w:val="00EA0168"/>
    <w:rsid w:val="00EA01CF"/>
    <w:rsid w:val="00EA025F"/>
    <w:rsid w:val="00EA048D"/>
    <w:rsid w:val="00EA05DF"/>
    <w:rsid w:val="00EA0715"/>
    <w:rsid w:val="00EA095D"/>
    <w:rsid w:val="00EA0A7F"/>
    <w:rsid w:val="00EA0E35"/>
    <w:rsid w:val="00EA0E74"/>
    <w:rsid w:val="00EA0FB8"/>
    <w:rsid w:val="00EA1252"/>
    <w:rsid w:val="00EA1281"/>
    <w:rsid w:val="00EA132B"/>
    <w:rsid w:val="00EA135A"/>
    <w:rsid w:val="00EA1402"/>
    <w:rsid w:val="00EA1460"/>
    <w:rsid w:val="00EA15D6"/>
    <w:rsid w:val="00EA16FE"/>
    <w:rsid w:val="00EA1827"/>
    <w:rsid w:val="00EA1B22"/>
    <w:rsid w:val="00EA1C38"/>
    <w:rsid w:val="00EA1CAB"/>
    <w:rsid w:val="00EA1EEC"/>
    <w:rsid w:val="00EA21E6"/>
    <w:rsid w:val="00EA2441"/>
    <w:rsid w:val="00EA26D3"/>
    <w:rsid w:val="00EA27F0"/>
    <w:rsid w:val="00EA289F"/>
    <w:rsid w:val="00EA2968"/>
    <w:rsid w:val="00EA2BF7"/>
    <w:rsid w:val="00EA2C2A"/>
    <w:rsid w:val="00EA2D17"/>
    <w:rsid w:val="00EA2E7A"/>
    <w:rsid w:val="00EA2F51"/>
    <w:rsid w:val="00EA30AB"/>
    <w:rsid w:val="00EA327D"/>
    <w:rsid w:val="00EA354E"/>
    <w:rsid w:val="00EA3764"/>
    <w:rsid w:val="00EA3801"/>
    <w:rsid w:val="00EA3816"/>
    <w:rsid w:val="00EA3830"/>
    <w:rsid w:val="00EA3875"/>
    <w:rsid w:val="00EA3B15"/>
    <w:rsid w:val="00EA3E31"/>
    <w:rsid w:val="00EA3E34"/>
    <w:rsid w:val="00EA3F4C"/>
    <w:rsid w:val="00EA426C"/>
    <w:rsid w:val="00EA443E"/>
    <w:rsid w:val="00EA46AC"/>
    <w:rsid w:val="00EA46F2"/>
    <w:rsid w:val="00EA4810"/>
    <w:rsid w:val="00EA48DB"/>
    <w:rsid w:val="00EA49D4"/>
    <w:rsid w:val="00EA4B0C"/>
    <w:rsid w:val="00EA4C57"/>
    <w:rsid w:val="00EA4D5A"/>
    <w:rsid w:val="00EA4D79"/>
    <w:rsid w:val="00EA5246"/>
    <w:rsid w:val="00EA54CC"/>
    <w:rsid w:val="00EA573E"/>
    <w:rsid w:val="00EA5903"/>
    <w:rsid w:val="00EA5B8A"/>
    <w:rsid w:val="00EA5D07"/>
    <w:rsid w:val="00EA5D64"/>
    <w:rsid w:val="00EA5ED7"/>
    <w:rsid w:val="00EA6190"/>
    <w:rsid w:val="00EA6196"/>
    <w:rsid w:val="00EA6255"/>
    <w:rsid w:val="00EA6719"/>
    <w:rsid w:val="00EA673B"/>
    <w:rsid w:val="00EA6749"/>
    <w:rsid w:val="00EA6847"/>
    <w:rsid w:val="00EA6A75"/>
    <w:rsid w:val="00EA6D46"/>
    <w:rsid w:val="00EA6DC9"/>
    <w:rsid w:val="00EA6E62"/>
    <w:rsid w:val="00EA6FFC"/>
    <w:rsid w:val="00EA7356"/>
    <w:rsid w:val="00EA7408"/>
    <w:rsid w:val="00EA76EC"/>
    <w:rsid w:val="00EA7AF6"/>
    <w:rsid w:val="00EA7BF5"/>
    <w:rsid w:val="00EA7C5D"/>
    <w:rsid w:val="00EA7EB5"/>
    <w:rsid w:val="00EA7ED7"/>
    <w:rsid w:val="00EA7FA5"/>
    <w:rsid w:val="00EB015C"/>
    <w:rsid w:val="00EB02E0"/>
    <w:rsid w:val="00EB0595"/>
    <w:rsid w:val="00EB0FD4"/>
    <w:rsid w:val="00EB11D3"/>
    <w:rsid w:val="00EB11DE"/>
    <w:rsid w:val="00EB13EC"/>
    <w:rsid w:val="00EB1428"/>
    <w:rsid w:val="00EB145A"/>
    <w:rsid w:val="00EB1491"/>
    <w:rsid w:val="00EB153E"/>
    <w:rsid w:val="00EB15A9"/>
    <w:rsid w:val="00EB1772"/>
    <w:rsid w:val="00EB17D4"/>
    <w:rsid w:val="00EB18A5"/>
    <w:rsid w:val="00EB18CD"/>
    <w:rsid w:val="00EB1AF5"/>
    <w:rsid w:val="00EB1B20"/>
    <w:rsid w:val="00EB1BC9"/>
    <w:rsid w:val="00EB1C53"/>
    <w:rsid w:val="00EB1C59"/>
    <w:rsid w:val="00EB1E74"/>
    <w:rsid w:val="00EB1E96"/>
    <w:rsid w:val="00EB248B"/>
    <w:rsid w:val="00EB25B8"/>
    <w:rsid w:val="00EB28DC"/>
    <w:rsid w:val="00EB2949"/>
    <w:rsid w:val="00EB2A08"/>
    <w:rsid w:val="00EB2A91"/>
    <w:rsid w:val="00EB2ADE"/>
    <w:rsid w:val="00EB2B0E"/>
    <w:rsid w:val="00EB2C25"/>
    <w:rsid w:val="00EB2D0C"/>
    <w:rsid w:val="00EB2F1D"/>
    <w:rsid w:val="00EB30AF"/>
    <w:rsid w:val="00EB34DA"/>
    <w:rsid w:val="00EB34F3"/>
    <w:rsid w:val="00EB3726"/>
    <w:rsid w:val="00EB39CF"/>
    <w:rsid w:val="00EB3A72"/>
    <w:rsid w:val="00EB3D1E"/>
    <w:rsid w:val="00EB404D"/>
    <w:rsid w:val="00EB4284"/>
    <w:rsid w:val="00EB4329"/>
    <w:rsid w:val="00EB44C5"/>
    <w:rsid w:val="00EB4518"/>
    <w:rsid w:val="00EB45B7"/>
    <w:rsid w:val="00EB471B"/>
    <w:rsid w:val="00EB4800"/>
    <w:rsid w:val="00EB4A37"/>
    <w:rsid w:val="00EB4B1D"/>
    <w:rsid w:val="00EB4C4F"/>
    <w:rsid w:val="00EB4EEA"/>
    <w:rsid w:val="00EB4EEB"/>
    <w:rsid w:val="00EB5267"/>
    <w:rsid w:val="00EB52D2"/>
    <w:rsid w:val="00EB5343"/>
    <w:rsid w:val="00EB5485"/>
    <w:rsid w:val="00EB5527"/>
    <w:rsid w:val="00EB56D0"/>
    <w:rsid w:val="00EB57CF"/>
    <w:rsid w:val="00EB57F8"/>
    <w:rsid w:val="00EB5967"/>
    <w:rsid w:val="00EB5AC6"/>
    <w:rsid w:val="00EB5E1F"/>
    <w:rsid w:val="00EB5E2C"/>
    <w:rsid w:val="00EB5E3D"/>
    <w:rsid w:val="00EB5E9C"/>
    <w:rsid w:val="00EB600D"/>
    <w:rsid w:val="00EB602B"/>
    <w:rsid w:val="00EB646A"/>
    <w:rsid w:val="00EB66FD"/>
    <w:rsid w:val="00EB6A55"/>
    <w:rsid w:val="00EB6ABA"/>
    <w:rsid w:val="00EB6ABB"/>
    <w:rsid w:val="00EB6E79"/>
    <w:rsid w:val="00EB6ED2"/>
    <w:rsid w:val="00EB6F33"/>
    <w:rsid w:val="00EB6F5C"/>
    <w:rsid w:val="00EB7212"/>
    <w:rsid w:val="00EB72CC"/>
    <w:rsid w:val="00EB74F2"/>
    <w:rsid w:val="00EB75A8"/>
    <w:rsid w:val="00EB781B"/>
    <w:rsid w:val="00EB7AD7"/>
    <w:rsid w:val="00EB7D93"/>
    <w:rsid w:val="00EB7E14"/>
    <w:rsid w:val="00EB7EF0"/>
    <w:rsid w:val="00EC02DE"/>
    <w:rsid w:val="00EC0659"/>
    <w:rsid w:val="00EC067A"/>
    <w:rsid w:val="00EC06AE"/>
    <w:rsid w:val="00EC0801"/>
    <w:rsid w:val="00EC0B79"/>
    <w:rsid w:val="00EC0FE0"/>
    <w:rsid w:val="00EC12FF"/>
    <w:rsid w:val="00EC13B9"/>
    <w:rsid w:val="00EC1413"/>
    <w:rsid w:val="00EC1435"/>
    <w:rsid w:val="00EC153F"/>
    <w:rsid w:val="00EC15CB"/>
    <w:rsid w:val="00EC160C"/>
    <w:rsid w:val="00EC1684"/>
    <w:rsid w:val="00EC1757"/>
    <w:rsid w:val="00EC1925"/>
    <w:rsid w:val="00EC19E2"/>
    <w:rsid w:val="00EC1AEB"/>
    <w:rsid w:val="00EC1B9F"/>
    <w:rsid w:val="00EC1CA2"/>
    <w:rsid w:val="00EC1E03"/>
    <w:rsid w:val="00EC1E0F"/>
    <w:rsid w:val="00EC1E71"/>
    <w:rsid w:val="00EC1EA1"/>
    <w:rsid w:val="00EC1F4D"/>
    <w:rsid w:val="00EC1FA6"/>
    <w:rsid w:val="00EC21B9"/>
    <w:rsid w:val="00EC21C4"/>
    <w:rsid w:val="00EC21D1"/>
    <w:rsid w:val="00EC2259"/>
    <w:rsid w:val="00EC2267"/>
    <w:rsid w:val="00EC29F3"/>
    <w:rsid w:val="00EC2E94"/>
    <w:rsid w:val="00EC2F63"/>
    <w:rsid w:val="00EC3295"/>
    <w:rsid w:val="00EC3436"/>
    <w:rsid w:val="00EC3516"/>
    <w:rsid w:val="00EC362A"/>
    <w:rsid w:val="00EC3697"/>
    <w:rsid w:val="00EC36F8"/>
    <w:rsid w:val="00EC3A30"/>
    <w:rsid w:val="00EC3AFA"/>
    <w:rsid w:val="00EC3B55"/>
    <w:rsid w:val="00EC3DEE"/>
    <w:rsid w:val="00EC3E1C"/>
    <w:rsid w:val="00EC4046"/>
    <w:rsid w:val="00EC4150"/>
    <w:rsid w:val="00EC420F"/>
    <w:rsid w:val="00EC4226"/>
    <w:rsid w:val="00EC447D"/>
    <w:rsid w:val="00EC454C"/>
    <w:rsid w:val="00EC455F"/>
    <w:rsid w:val="00EC4618"/>
    <w:rsid w:val="00EC469D"/>
    <w:rsid w:val="00EC4998"/>
    <w:rsid w:val="00EC4B87"/>
    <w:rsid w:val="00EC4C0E"/>
    <w:rsid w:val="00EC4D36"/>
    <w:rsid w:val="00EC4D7C"/>
    <w:rsid w:val="00EC4F8A"/>
    <w:rsid w:val="00EC505E"/>
    <w:rsid w:val="00EC50D3"/>
    <w:rsid w:val="00EC555F"/>
    <w:rsid w:val="00EC55F4"/>
    <w:rsid w:val="00EC56BE"/>
    <w:rsid w:val="00EC588A"/>
    <w:rsid w:val="00EC5898"/>
    <w:rsid w:val="00EC58CB"/>
    <w:rsid w:val="00EC5EF5"/>
    <w:rsid w:val="00EC5F2F"/>
    <w:rsid w:val="00EC6093"/>
    <w:rsid w:val="00EC61D8"/>
    <w:rsid w:val="00EC624E"/>
    <w:rsid w:val="00EC6378"/>
    <w:rsid w:val="00EC63FB"/>
    <w:rsid w:val="00EC64DE"/>
    <w:rsid w:val="00EC651C"/>
    <w:rsid w:val="00EC652B"/>
    <w:rsid w:val="00EC6832"/>
    <w:rsid w:val="00EC6B2C"/>
    <w:rsid w:val="00EC6C2A"/>
    <w:rsid w:val="00EC6FC7"/>
    <w:rsid w:val="00EC710A"/>
    <w:rsid w:val="00EC7350"/>
    <w:rsid w:val="00EC78B3"/>
    <w:rsid w:val="00EC790E"/>
    <w:rsid w:val="00EC7959"/>
    <w:rsid w:val="00EC796F"/>
    <w:rsid w:val="00EC7A00"/>
    <w:rsid w:val="00EC7BAF"/>
    <w:rsid w:val="00EC7C50"/>
    <w:rsid w:val="00EC7D28"/>
    <w:rsid w:val="00ED000A"/>
    <w:rsid w:val="00ED0190"/>
    <w:rsid w:val="00ED0317"/>
    <w:rsid w:val="00ED04D4"/>
    <w:rsid w:val="00ED0574"/>
    <w:rsid w:val="00ED066F"/>
    <w:rsid w:val="00ED0821"/>
    <w:rsid w:val="00ED09EF"/>
    <w:rsid w:val="00ED0A04"/>
    <w:rsid w:val="00ED0C77"/>
    <w:rsid w:val="00ED0D3A"/>
    <w:rsid w:val="00ED0EDF"/>
    <w:rsid w:val="00ED1044"/>
    <w:rsid w:val="00ED1121"/>
    <w:rsid w:val="00ED12C2"/>
    <w:rsid w:val="00ED12DA"/>
    <w:rsid w:val="00ED12E8"/>
    <w:rsid w:val="00ED15F5"/>
    <w:rsid w:val="00ED1B70"/>
    <w:rsid w:val="00ED1D57"/>
    <w:rsid w:val="00ED1DD6"/>
    <w:rsid w:val="00ED1E61"/>
    <w:rsid w:val="00ED1F68"/>
    <w:rsid w:val="00ED1FBD"/>
    <w:rsid w:val="00ED2692"/>
    <w:rsid w:val="00ED271C"/>
    <w:rsid w:val="00ED271F"/>
    <w:rsid w:val="00ED2751"/>
    <w:rsid w:val="00ED2A24"/>
    <w:rsid w:val="00ED2BB5"/>
    <w:rsid w:val="00ED2C3D"/>
    <w:rsid w:val="00ED31AE"/>
    <w:rsid w:val="00ED3247"/>
    <w:rsid w:val="00ED3290"/>
    <w:rsid w:val="00ED3307"/>
    <w:rsid w:val="00ED34BE"/>
    <w:rsid w:val="00ED3537"/>
    <w:rsid w:val="00ED3790"/>
    <w:rsid w:val="00ED3810"/>
    <w:rsid w:val="00ED383E"/>
    <w:rsid w:val="00ED384D"/>
    <w:rsid w:val="00ED39C1"/>
    <w:rsid w:val="00ED39FA"/>
    <w:rsid w:val="00ED3AA3"/>
    <w:rsid w:val="00ED3ABD"/>
    <w:rsid w:val="00ED3AED"/>
    <w:rsid w:val="00ED3C23"/>
    <w:rsid w:val="00ED3D98"/>
    <w:rsid w:val="00ED3EBD"/>
    <w:rsid w:val="00ED4096"/>
    <w:rsid w:val="00ED414E"/>
    <w:rsid w:val="00ED4550"/>
    <w:rsid w:val="00ED46B7"/>
    <w:rsid w:val="00ED4710"/>
    <w:rsid w:val="00ED4844"/>
    <w:rsid w:val="00ED486E"/>
    <w:rsid w:val="00ED4883"/>
    <w:rsid w:val="00ED4B83"/>
    <w:rsid w:val="00ED4FED"/>
    <w:rsid w:val="00ED5093"/>
    <w:rsid w:val="00ED52C6"/>
    <w:rsid w:val="00ED5709"/>
    <w:rsid w:val="00ED5BAA"/>
    <w:rsid w:val="00ED5C01"/>
    <w:rsid w:val="00ED5E21"/>
    <w:rsid w:val="00ED5E32"/>
    <w:rsid w:val="00ED5EBC"/>
    <w:rsid w:val="00ED5FDB"/>
    <w:rsid w:val="00ED6150"/>
    <w:rsid w:val="00ED62EE"/>
    <w:rsid w:val="00ED630E"/>
    <w:rsid w:val="00ED6403"/>
    <w:rsid w:val="00ED6496"/>
    <w:rsid w:val="00ED65E8"/>
    <w:rsid w:val="00ED666B"/>
    <w:rsid w:val="00ED67D7"/>
    <w:rsid w:val="00ED67F5"/>
    <w:rsid w:val="00ED6814"/>
    <w:rsid w:val="00ED68D4"/>
    <w:rsid w:val="00ED6B0D"/>
    <w:rsid w:val="00ED6CF5"/>
    <w:rsid w:val="00ED6D23"/>
    <w:rsid w:val="00ED6DB7"/>
    <w:rsid w:val="00ED6E67"/>
    <w:rsid w:val="00ED6EC1"/>
    <w:rsid w:val="00ED712A"/>
    <w:rsid w:val="00ED7406"/>
    <w:rsid w:val="00ED7498"/>
    <w:rsid w:val="00ED74A2"/>
    <w:rsid w:val="00ED75C9"/>
    <w:rsid w:val="00ED774E"/>
    <w:rsid w:val="00ED7750"/>
    <w:rsid w:val="00ED7836"/>
    <w:rsid w:val="00ED792E"/>
    <w:rsid w:val="00ED7A60"/>
    <w:rsid w:val="00ED7BB1"/>
    <w:rsid w:val="00ED7E25"/>
    <w:rsid w:val="00ED7E62"/>
    <w:rsid w:val="00EE0030"/>
    <w:rsid w:val="00EE015B"/>
    <w:rsid w:val="00EE0364"/>
    <w:rsid w:val="00EE047B"/>
    <w:rsid w:val="00EE0510"/>
    <w:rsid w:val="00EE053F"/>
    <w:rsid w:val="00EE0702"/>
    <w:rsid w:val="00EE070C"/>
    <w:rsid w:val="00EE0889"/>
    <w:rsid w:val="00EE09ED"/>
    <w:rsid w:val="00EE0C62"/>
    <w:rsid w:val="00EE0C85"/>
    <w:rsid w:val="00EE0EE3"/>
    <w:rsid w:val="00EE10F3"/>
    <w:rsid w:val="00EE12EB"/>
    <w:rsid w:val="00EE1481"/>
    <w:rsid w:val="00EE14B0"/>
    <w:rsid w:val="00EE1572"/>
    <w:rsid w:val="00EE158F"/>
    <w:rsid w:val="00EE164D"/>
    <w:rsid w:val="00EE1797"/>
    <w:rsid w:val="00EE1821"/>
    <w:rsid w:val="00EE1A86"/>
    <w:rsid w:val="00EE1A8E"/>
    <w:rsid w:val="00EE1ACE"/>
    <w:rsid w:val="00EE1BC1"/>
    <w:rsid w:val="00EE1E36"/>
    <w:rsid w:val="00EE1E83"/>
    <w:rsid w:val="00EE1EAA"/>
    <w:rsid w:val="00EE20E0"/>
    <w:rsid w:val="00EE214A"/>
    <w:rsid w:val="00EE2177"/>
    <w:rsid w:val="00EE21A5"/>
    <w:rsid w:val="00EE2273"/>
    <w:rsid w:val="00EE2533"/>
    <w:rsid w:val="00EE2A51"/>
    <w:rsid w:val="00EE2E1D"/>
    <w:rsid w:val="00EE3357"/>
    <w:rsid w:val="00EE3373"/>
    <w:rsid w:val="00EE35EC"/>
    <w:rsid w:val="00EE3628"/>
    <w:rsid w:val="00EE3984"/>
    <w:rsid w:val="00EE3A95"/>
    <w:rsid w:val="00EE3B17"/>
    <w:rsid w:val="00EE3C04"/>
    <w:rsid w:val="00EE3D0B"/>
    <w:rsid w:val="00EE3EB3"/>
    <w:rsid w:val="00EE405C"/>
    <w:rsid w:val="00EE40FC"/>
    <w:rsid w:val="00EE422C"/>
    <w:rsid w:val="00EE4363"/>
    <w:rsid w:val="00EE447D"/>
    <w:rsid w:val="00EE44CC"/>
    <w:rsid w:val="00EE44FA"/>
    <w:rsid w:val="00EE46F3"/>
    <w:rsid w:val="00EE4832"/>
    <w:rsid w:val="00EE4A45"/>
    <w:rsid w:val="00EE4A57"/>
    <w:rsid w:val="00EE4A93"/>
    <w:rsid w:val="00EE4DCA"/>
    <w:rsid w:val="00EE4EEF"/>
    <w:rsid w:val="00EE4F98"/>
    <w:rsid w:val="00EE50D8"/>
    <w:rsid w:val="00EE52F7"/>
    <w:rsid w:val="00EE5315"/>
    <w:rsid w:val="00EE53B8"/>
    <w:rsid w:val="00EE550B"/>
    <w:rsid w:val="00EE5517"/>
    <w:rsid w:val="00EE5529"/>
    <w:rsid w:val="00EE553E"/>
    <w:rsid w:val="00EE5685"/>
    <w:rsid w:val="00EE5835"/>
    <w:rsid w:val="00EE5954"/>
    <w:rsid w:val="00EE5BDC"/>
    <w:rsid w:val="00EE5C03"/>
    <w:rsid w:val="00EE5C0D"/>
    <w:rsid w:val="00EE5C2D"/>
    <w:rsid w:val="00EE5C7A"/>
    <w:rsid w:val="00EE5DC8"/>
    <w:rsid w:val="00EE603C"/>
    <w:rsid w:val="00EE6225"/>
    <w:rsid w:val="00EE622F"/>
    <w:rsid w:val="00EE635D"/>
    <w:rsid w:val="00EE6403"/>
    <w:rsid w:val="00EE65C9"/>
    <w:rsid w:val="00EE68F5"/>
    <w:rsid w:val="00EE6E51"/>
    <w:rsid w:val="00EE6EF3"/>
    <w:rsid w:val="00EE6F42"/>
    <w:rsid w:val="00EE70AF"/>
    <w:rsid w:val="00EE7138"/>
    <w:rsid w:val="00EE7156"/>
    <w:rsid w:val="00EE7310"/>
    <w:rsid w:val="00EE7366"/>
    <w:rsid w:val="00EE7401"/>
    <w:rsid w:val="00EE7435"/>
    <w:rsid w:val="00EE760E"/>
    <w:rsid w:val="00EE766F"/>
    <w:rsid w:val="00EE7744"/>
    <w:rsid w:val="00EE7C9A"/>
    <w:rsid w:val="00EF00B2"/>
    <w:rsid w:val="00EF018E"/>
    <w:rsid w:val="00EF03C5"/>
    <w:rsid w:val="00EF0420"/>
    <w:rsid w:val="00EF0452"/>
    <w:rsid w:val="00EF0536"/>
    <w:rsid w:val="00EF05EF"/>
    <w:rsid w:val="00EF0759"/>
    <w:rsid w:val="00EF0A0F"/>
    <w:rsid w:val="00EF0B84"/>
    <w:rsid w:val="00EF0C5C"/>
    <w:rsid w:val="00EF0C73"/>
    <w:rsid w:val="00EF0CB3"/>
    <w:rsid w:val="00EF0CEE"/>
    <w:rsid w:val="00EF0FA1"/>
    <w:rsid w:val="00EF10C4"/>
    <w:rsid w:val="00EF1153"/>
    <w:rsid w:val="00EF13CA"/>
    <w:rsid w:val="00EF13E9"/>
    <w:rsid w:val="00EF1590"/>
    <w:rsid w:val="00EF16D8"/>
    <w:rsid w:val="00EF1A04"/>
    <w:rsid w:val="00EF1A26"/>
    <w:rsid w:val="00EF220F"/>
    <w:rsid w:val="00EF2262"/>
    <w:rsid w:val="00EF227A"/>
    <w:rsid w:val="00EF2537"/>
    <w:rsid w:val="00EF2553"/>
    <w:rsid w:val="00EF2E19"/>
    <w:rsid w:val="00EF2E92"/>
    <w:rsid w:val="00EF2F0A"/>
    <w:rsid w:val="00EF2F7E"/>
    <w:rsid w:val="00EF31CD"/>
    <w:rsid w:val="00EF3214"/>
    <w:rsid w:val="00EF3299"/>
    <w:rsid w:val="00EF3511"/>
    <w:rsid w:val="00EF3713"/>
    <w:rsid w:val="00EF3B57"/>
    <w:rsid w:val="00EF3DA6"/>
    <w:rsid w:val="00EF3E6C"/>
    <w:rsid w:val="00EF3F6E"/>
    <w:rsid w:val="00EF3FAB"/>
    <w:rsid w:val="00EF4085"/>
    <w:rsid w:val="00EF426C"/>
    <w:rsid w:val="00EF4274"/>
    <w:rsid w:val="00EF446B"/>
    <w:rsid w:val="00EF4506"/>
    <w:rsid w:val="00EF4513"/>
    <w:rsid w:val="00EF4857"/>
    <w:rsid w:val="00EF4B12"/>
    <w:rsid w:val="00EF4B36"/>
    <w:rsid w:val="00EF4ECA"/>
    <w:rsid w:val="00EF520A"/>
    <w:rsid w:val="00EF52D8"/>
    <w:rsid w:val="00EF5489"/>
    <w:rsid w:val="00EF5596"/>
    <w:rsid w:val="00EF571D"/>
    <w:rsid w:val="00EF57F7"/>
    <w:rsid w:val="00EF58B5"/>
    <w:rsid w:val="00EF5AD8"/>
    <w:rsid w:val="00EF5AF6"/>
    <w:rsid w:val="00EF5DED"/>
    <w:rsid w:val="00EF5EF4"/>
    <w:rsid w:val="00EF60D0"/>
    <w:rsid w:val="00EF6202"/>
    <w:rsid w:val="00EF6426"/>
    <w:rsid w:val="00EF642B"/>
    <w:rsid w:val="00EF64C0"/>
    <w:rsid w:val="00EF650E"/>
    <w:rsid w:val="00EF6777"/>
    <w:rsid w:val="00EF68AD"/>
    <w:rsid w:val="00EF6978"/>
    <w:rsid w:val="00EF6A1A"/>
    <w:rsid w:val="00EF6B08"/>
    <w:rsid w:val="00EF6BC0"/>
    <w:rsid w:val="00EF6BF2"/>
    <w:rsid w:val="00EF6C48"/>
    <w:rsid w:val="00EF6D25"/>
    <w:rsid w:val="00EF6DF2"/>
    <w:rsid w:val="00EF6E38"/>
    <w:rsid w:val="00EF7076"/>
    <w:rsid w:val="00EF7098"/>
    <w:rsid w:val="00EF70B0"/>
    <w:rsid w:val="00EF7167"/>
    <w:rsid w:val="00EF72B2"/>
    <w:rsid w:val="00EF749A"/>
    <w:rsid w:val="00EF74FE"/>
    <w:rsid w:val="00EF788F"/>
    <w:rsid w:val="00EF7CE2"/>
    <w:rsid w:val="00EF7E07"/>
    <w:rsid w:val="00EF7EB1"/>
    <w:rsid w:val="00EF7F1E"/>
    <w:rsid w:val="00F00080"/>
    <w:rsid w:val="00F0018A"/>
    <w:rsid w:val="00F0037C"/>
    <w:rsid w:val="00F003B6"/>
    <w:rsid w:val="00F00448"/>
    <w:rsid w:val="00F005AA"/>
    <w:rsid w:val="00F00684"/>
    <w:rsid w:val="00F00732"/>
    <w:rsid w:val="00F00C2C"/>
    <w:rsid w:val="00F00D48"/>
    <w:rsid w:val="00F00D4A"/>
    <w:rsid w:val="00F010D8"/>
    <w:rsid w:val="00F0119D"/>
    <w:rsid w:val="00F016A6"/>
    <w:rsid w:val="00F01AFE"/>
    <w:rsid w:val="00F01B3E"/>
    <w:rsid w:val="00F01C01"/>
    <w:rsid w:val="00F01E18"/>
    <w:rsid w:val="00F02164"/>
    <w:rsid w:val="00F023B5"/>
    <w:rsid w:val="00F02456"/>
    <w:rsid w:val="00F024B8"/>
    <w:rsid w:val="00F024C8"/>
    <w:rsid w:val="00F0254D"/>
    <w:rsid w:val="00F026C8"/>
    <w:rsid w:val="00F02756"/>
    <w:rsid w:val="00F0280D"/>
    <w:rsid w:val="00F02872"/>
    <w:rsid w:val="00F02D0B"/>
    <w:rsid w:val="00F02DF8"/>
    <w:rsid w:val="00F02E21"/>
    <w:rsid w:val="00F02EE1"/>
    <w:rsid w:val="00F02FB7"/>
    <w:rsid w:val="00F0301E"/>
    <w:rsid w:val="00F03168"/>
    <w:rsid w:val="00F03432"/>
    <w:rsid w:val="00F03597"/>
    <w:rsid w:val="00F0368A"/>
    <w:rsid w:val="00F036E0"/>
    <w:rsid w:val="00F037A3"/>
    <w:rsid w:val="00F03B2A"/>
    <w:rsid w:val="00F03B88"/>
    <w:rsid w:val="00F03B94"/>
    <w:rsid w:val="00F03C03"/>
    <w:rsid w:val="00F03CE5"/>
    <w:rsid w:val="00F03EE1"/>
    <w:rsid w:val="00F041B4"/>
    <w:rsid w:val="00F046BD"/>
    <w:rsid w:val="00F04AEF"/>
    <w:rsid w:val="00F04B67"/>
    <w:rsid w:val="00F04E17"/>
    <w:rsid w:val="00F04F04"/>
    <w:rsid w:val="00F04F4F"/>
    <w:rsid w:val="00F05412"/>
    <w:rsid w:val="00F054A5"/>
    <w:rsid w:val="00F05543"/>
    <w:rsid w:val="00F055DC"/>
    <w:rsid w:val="00F055E8"/>
    <w:rsid w:val="00F0592A"/>
    <w:rsid w:val="00F05968"/>
    <w:rsid w:val="00F05999"/>
    <w:rsid w:val="00F05B44"/>
    <w:rsid w:val="00F05C33"/>
    <w:rsid w:val="00F05F53"/>
    <w:rsid w:val="00F0615B"/>
    <w:rsid w:val="00F0647F"/>
    <w:rsid w:val="00F06628"/>
    <w:rsid w:val="00F0694E"/>
    <w:rsid w:val="00F069A9"/>
    <w:rsid w:val="00F06BA6"/>
    <w:rsid w:val="00F06CD0"/>
    <w:rsid w:val="00F06DC3"/>
    <w:rsid w:val="00F06EDD"/>
    <w:rsid w:val="00F07174"/>
    <w:rsid w:val="00F07277"/>
    <w:rsid w:val="00F073F1"/>
    <w:rsid w:val="00F07501"/>
    <w:rsid w:val="00F0754F"/>
    <w:rsid w:val="00F07569"/>
    <w:rsid w:val="00F075D2"/>
    <w:rsid w:val="00F07744"/>
    <w:rsid w:val="00F077E7"/>
    <w:rsid w:val="00F07894"/>
    <w:rsid w:val="00F0798C"/>
    <w:rsid w:val="00F079BF"/>
    <w:rsid w:val="00F07A53"/>
    <w:rsid w:val="00F07F0F"/>
    <w:rsid w:val="00F10013"/>
    <w:rsid w:val="00F1006C"/>
    <w:rsid w:val="00F100F8"/>
    <w:rsid w:val="00F10123"/>
    <w:rsid w:val="00F10608"/>
    <w:rsid w:val="00F107E0"/>
    <w:rsid w:val="00F109D1"/>
    <w:rsid w:val="00F10CF4"/>
    <w:rsid w:val="00F10D52"/>
    <w:rsid w:val="00F10DFD"/>
    <w:rsid w:val="00F10F1B"/>
    <w:rsid w:val="00F110F8"/>
    <w:rsid w:val="00F112A9"/>
    <w:rsid w:val="00F1130B"/>
    <w:rsid w:val="00F11473"/>
    <w:rsid w:val="00F114B7"/>
    <w:rsid w:val="00F1153F"/>
    <w:rsid w:val="00F11547"/>
    <w:rsid w:val="00F11628"/>
    <w:rsid w:val="00F11871"/>
    <w:rsid w:val="00F11B1B"/>
    <w:rsid w:val="00F11C16"/>
    <w:rsid w:val="00F11C21"/>
    <w:rsid w:val="00F11C7B"/>
    <w:rsid w:val="00F11F82"/>
    <w:rsid w:val="00F1203D"/>
    <w:rsid w:val="00F12216"/>
    <w:rsid w:val="00F12531"/>
    <w:rsid w:val="00F127DC"/>
    <w:rsid w:val="00F1285B"/>
    <w:rsid w:val="00F128D3"/>
    <w:rsid w:val="00F1292A"/>
    <w:rsid w:val="00F129D3"/>
    <w:rsid w:val="00F12ADD"/>
    <w:rsid w:val="00F12B2C"/>
    <w:rsid w:val="00F12CFB"/>
    <w:rsid w:val="00F12E65"/>
    <w:rsid w:val="00F12F0F"/>
    <w:rsid w:val="00F1321E"/>
    <w:rsid w:val="00F13384"/>
    <w:rsid w:val="00F135A8"/>
    <w:rsid w:val="00F136F7"/>
    <w:rsid w:val="00F13967"/>
    <w:rsid w:val="00F13B37"/>
    <w:rsid w:val="00F13BDD"/>
    <w:rsid w:val="00F13D70"/>
    <w:rsid w:val="00F1412D"/>
    <w:rsid w:val="00F1429A"/>
    <w:rsid w:val="00F14538"/>
    <w:rsid w:val="00F14544"/>
    <w:rsid w:val="00F1479C"/>
    <w:rsid w:val="00F14A28"/>
    <w:rsid w:val="00F14B56"/>
    <w:rsid w:val="00F14C54"/>
    <w:rsid w:val="00F14D2E"/>
    <w:rsid w:val="00F14E2B"/>
    <w:rsid w:val="00F15024"/>
    <w:rsid w:val="00F151F0"/>
    <w:rsid w:val="00F15266"/>
    <w:rsid w:val="00F153C0"/>
    <w:rsid w:val="00F153F5"/>
    <w:rsid w:val="00F153F9"/>
    <w:rsid w:val="00F15443"/>
    <w:rsid w:val="00F15659"/>
    <w:rsid w:val="00F1589C"/>
    <w:rsid w:val="00F15A71"/>
    <w:rsid w:val="00F15ADB"/>
    <w:rsid w:val="00F15BFB"/>
    <w:rsid w:val="00F15C0A"/>
    <w:rsid w:val="00F15C28"/>
    <w:rsid w:val="00F15D7F"/>
    <w:rsid w:val="00F15E1F"/>
    <w:rsid w:val="00F15E45"/>
    <w:rsid w:val="00F1602A"/>
    <w:rsid w:val="00F160B6"/>
    <w:rsid w:val="00F1617A"/>
    <w:rsid w:val="00F161A9"/>
    <w:rsid w:val="00F1626C"/>
    <w:rsid w:val="00F16283"/>
    <w:rsid w:val="00F16468"/>
    <w:rsid w:val="00F16485"/>
    <w:rsid w:val="00F164A8"/>
    <w:rsid w:val="00F16657"/>
    <w:rsid w:val="00F1665A"/>
    <w:rsid w:val="00F16693"/>
    <w:rsid w:val="00F166B0"/>
    <w:rsid w:val="00F16784"/>
    <w:rsid w:val="00F167B7"/>
    <w:rsid w:val="00F16984"/>
    <w:rsid w:val="00F169A5"/>
    <w:rsid w:val="00F16B99"/>
    <w:rsid w:val="00F16DB6"/>
    <w:rsid w:val="00F16E80"/>
    <w:rsid w:val="00F17147"/>
    <w:rsid w:val="00F17164"/>
    <w:rsid w:val="00F17573"/>
    <w:rsid w:val="00F17689"/>
    <w:rsid w:val="00F17795"/>
    <w:rsid w:val="00F179EC"/>
    <w:rsid w:val="00F17A83"/>
    <w:rsid w:val="00F17AC7"/>
    <w:rsid w:val="00F17AE4"/>
    <w:rsid w:val="00F17D0B"/>
    <w:rsid w:val="00F17D56"/>
    <w:rsid w:val="00F17EB3"/>
    <w:rsid w:val="00F17EB8"/>
    <w:rsid w:val="00F17F7D"/>
    <w:rsid w:val="00F201CE"/>
    <w:rsid w:val="00F203F4"/>
    <w:rsid w:val="00F20542"/>
    <w:rsid w:val="00F2054A"/>
    <w:rsid w:val="00F209DC"/>
    <w:rsid w:val="00F20BFA"/>
    <w:rsid w:val="00F20BFF"/>
    <w:rsid w:val="00F20C86"/>
    <w:rsid w:val="00F20F60"/>
    <w:rsid w:val="00F21065"/>
    <w:rsid w:val="00F21082"/>
    <w:rsid w:val="00F210C4"/>
    <w:rsid w:val="00F2111F"/>
    <w:rsid w:val="00F21479"/>
    <w:rsid w:val="00F215AF"/>
    <w:rsid w:val="00F218EE"/>
    <w:rsid w:val="00F21975"/>
    <w:rsid w:val="00F21A7C"/>
    <w:rsid w:val="00F21B06"/>
    <w:rsid w:val="00F21E2C"/>
    <w:rsid w:val="00F21EC8"/>
    <w:rsid w:val="00F22004"/>
    <w:rsid w:val="00F2228D"/>
    <w:rsid w:val="00F22420"/>
    <w:rsid w:val="00F22A04"/>
    <w:rsid w:val="00F22F05"/>
    <w:rsid w:val="00F23198"/>
    <w:rsid w:val="00F231B3"/>
    <w:rsid w:val="00F23428"/>
    <w:rsid w:val="00F23438"/>
    <w:rsid w:val="00F23568"/>
    <w:rsid w:val="00F235C6"/>
    <w:rsid w:val="00F2362E"/>
    <w:rsid w:val="00F23661"/>
    <w:rsid w:val="00F23888"/>
    <w:rsid w:val="00F239AF"/>
    <w:rsid w:val="00F23A3C"/>
    <w:rsid w:val="00F23B93"/>
    <w:rsid w:val="00F23BBF"/>
    <w:rsid w:val="00F23C2F"/>
    <w:rsid w:val="00F23D00"/>
    <w:rsid w:val="00F23DBF"/>
    <w:rsid w:val="00F24108"/>
    <w:rsid w:val="00F244E0"/>
    <w:rsid w:val="00F245A1"/>
    <w:rsid w:val="00F2489C"/>
    <w:rsid w:val="00F24C15"/>
    <w:rsid w:val="00F24D89"/>
    <w:rsid w:val="00F24E84"/>
    <w:rsid w:val="00F252A9"/>
    <w:rsid w:val="00F252E4"/>
    <w:rsid w:val="00F25630"/>
    <w:rsid w:val="00F25684"/>
    <w:rsid w:val="00F256D4"/>
    <w:rsid w:val="00F25822"/>
    <w:rsid w:val="00F25975"/>
    <w:rsid w:val="00F25B29"/>
    <w:rsid w:val="00F25C17"/>
    <w:rsid w:val="00F25C83"/>
    <w:rsid w:val="00F25D97"/>
    <w:rsid w:val="00F25DCB"/>
    <w:rsid w:val="00F25E39"/>
    <w:rsid w:val="00F25ED2"/>
    <w:rsid w:val="00F26019"/>
    <w:rsid w:val="00F2605D"/>
    <w:rsid w:val="00F2635A"/>
    <w:rsid w:val="00F2636D"/>
    <w:rsid w:val="00F269D8"/>
    <w:rsid w:val="00F26C7F"/>
    <w:rsid w:val="00F26DC9"/>
    <w:rsid w:val="00F26E1F"/>
    <w:rsid w:val="00F26E20"/>
    <w:rsid w:val="00F26E91"/>
    <w:rsid w:val="00F26F87"/>
    <w:rsid w:val="00F27246"/>
    <w:rsid w:val="00F274B3"/>
    <w:rsid w:val="00F27517"/>
    <w:rsid w:val="00F27657"/>
    <w:rsid w:val="00F277C6"/>
    <w:rsid w:val="00F27B5F"/>
    <w:rsid w:val="00F27E1F"/>
    <w:rsid w:val="00F27E3D"/>
    <w:rsid w:val="00F27E91"/>
    <w:rsid w:val="00F27E92"/>
    <w:rsid w:val="00F27EA3"/>
    <w:rsid w:val="00F30009"/>
    <w:rsid w:val="00F300DC"/>
    <w:rsid w:val="00F30183"/>
    <w:rsid w:val="00F30579"/>
    <w:rsid w:val="00F3063F"/>
    <w:rsid w:val="00F306A8"/>
    <w:rsid w:val="00F307CB"/>
    <w:rsid w:val="00F30AFA"/>
    <w:rsid w:val="00F30B67"/>
    <w:rsid w:val="00F30B68"/>
    <w:rsid w:val="00F30D68"/>
    <w:rsid w:val="00F30EE7"/>
    <w:rsid w:val="00F31045"/>
    <w:rsid w:val="00F311A0"/>
    <w:rsid w:val="00F311AB"/>
    <w:rsid w:val="00F31258"/>
    <w:rsid w:val="00F313E7"/>
    <w:rsid w:val="00F316B9"/>
    <w:rsid w:val="00F318FC"/>
    <w:rsid w:val="00F31972"/>
    <w:rsid w:val="00F31AEB"/>
    <w:rsid w:val="00F31BC1"/>
    <w:rsid w:val="00F31CC2"/>
    <w:rsid w:val="00F31D65"/>
    <w:rsid w:val="00F31F2D"/>
    <w:rsid w:val="00F31F56"/>
    <w:rsid w:val="00F32159"/>
    <w:rsid w:val="00F32198"/>
    <w:rsid w:val="00F322CD"/>
    <w:rsid w:val="00F3234E"/>
    <w:rsid w:val="00F3241F"/>
    <w:rsid w:val="00F326A4"/>
    <w:rsid w:val="00F328F8"/>
    <w:rsid w:val="00F32974"/>
    <w:rsid w:val="00F329D8"/>
    <w:rsid w:val="00F32AC3"/>
    <w:rsid w:val="00F32ADB"/>
    <w:rsid w:val="00F32B97"/>
    <w:rsid w:val="00F32B9A"/>
    <w:rsid w:val="00F32E1C"/>
    <w:rsid w:val="00F32F1E"/>
    <w:rsid w:val="00F331DD"/>
    <w:rsid w:val="00F33345"/>
    <w:rsid w:val="00F33352"/>
    <w:rsid w:val="00F334D3"/>
    <w:rsid w:val="00F3371E"/>
    <w:rsid w:val="00F338E4"/>
    <w:rsid w:val="00F339E7"/>
    <w:rsid w:val="00F33AB0"/>
    <w:rsid w:val="00F33DA3"/>
    <w:rsid w:val="00F33DAF"/>
    <w:rsid w:val="00F33E4F"/>
    <w:rsid w:val="00F33E7E"/>
    <w:rsid w:val="00F34206"/>
    <w:rsid w:val="00F3427F"/>
    <w:rsid w:val="00F342F9"/>
    <w:rsid w:val="00F34455"/>
    <w:rsid w:val="00F3474E"/>
    <w:rsid w:val="00F348BE"/>
    <w:rsid w:val="00F34A18"/>
    <w:rsid w:val="00F34B36"/>
    <w:rsid w:val="00F34D17"/>
    <w:rsid w:val="00F34DAE"/>
    <w:rsid w:val="00F34FBB"/>
    <w:rsid w:val="00F35010"/>
    <w:rsid w:val="00F35252"/>
    <w:rsid w:val="00F35511"/>
    <w:rsid w:val="00F35572"/>
    <w:rsid w:val="00F35871"/>
    <w:rsid w:val="00F35A74"/>
    <w:rsid w:val="00F35AD3"/>
    <w:rsid w:val="00F35BD5"/>
    <w:rsid w:val="00F35CFF"/>
    <w:rsid w:val="00F35D80"/>
    <w:rsid w:val="00F35E68"/>
    <w:rsid w:val="00F3608F"/>
    <w:rsid w:val="00F36201"/>
    <w:rsid w:val="00F3650E"/>
    <w:rsid w:val="00F36560"/>
    <w:rsid w:val="00F366C2"/>
    <w:rsid w:val="00F3683A"/>
    <w:rsid w:val="00F3683D"/>
    <w:rsid w:val="00F3686C"/>
    <w:rsid w:val="00F368C2"/>
    <w:rsid w:val="00F368FF"/>
    <w:rsid w:val="00F36986"/>
    <w:rsid w:val="00F36AE0"/>
    <w:rsid w:val="00F36B07"/>
    <w:rsid w:val="00F36B5B"/>
    <w:rsid w:val="00F36B75"/>
    <w:rsid w:val="00F36C03"/>
    <w:rsid w:val="00F36FC5"/>
    <w:rsid w:val="00F371D7"/>
    <w:rsid w:val="00F37300"/>
    <w:rsid w:val="00F37348"/>
    <w:rsid w:val="00F37540"/>
    <w:rsid w:val="00F375DE"/>
    <w:rsid w:val="00F37650"/>
    <w:rsid w:val="00F376D4"/>
    <w:rsid w:val="00F379CC"/>
    <w:rsid w:val="00F37BE9"/>
    <w:rsid w:val="00F37C68"/>
    <w:rsid w:val="00F37C9E"/>
    <w:rsid w:val="00F37E41"/>
    <w:rsid w:val="00F37FF8"/>
    <w:rsid w:val="00F4001B"/>
    <w:rsid w:val="00F40137"/>
    <w:rsid w:val="00F40271"/>
    <w:rsid w:val="00F403FF"/>
    <w:rsid w:val="00F404B4"/>
    <w:rsid w:val="00F40563"/>
    <w:rsid w:val="00F4060E"/>
    <w:rsid w:val="00F40781"/>
    <w:rsid w:val="00F407F2"/>
    <w:rsid w:val="00F40BC8"/>
    <w:rsid w:val="00F40D21"/>
    <w:rsid w:val="00F40DBE"/>
    <w:rsid w:val="00F40DDF"/>
    <w:rsid w:val="00F40E27"/>
    <w:rsid w:val="00F40FFA"/>
    <w:rsid w:val="00F4107F"/>
    <w:rsid w:val="00F410DE"/>
    <w:rsid w:val="00F41154"/>
    <w:rsid w:val="00F41177"/>
    <w:rsid w:val="00F411C7"/>
    <w:rsid w:val="00F414C4"/>
    <w:rsid w:val="00F4152D"/>
    <w:rsid w:val="00F416A8"/>
    <w:rsid w:val="00F418BA"/>
    <w:rsid w:val="00F41C40"/>
    <w:rsid w:val="00F41CEC"/>
    <w:rsid w:val="00F41E95"/>
    <w:rsid w:val="00F41F2E"/>
    <w:rsid w:val="00F41FFD"/>
    <w:rsid w:val="00F4204B"/>
    <w:rsid w:val="00F4230D"/>
    <w:rsid w:val="00F42373"/>
    <w:rsid w:val="00F4258E"/>
    <w:rsid w:val="00F4283A"/>
    <w:rsid w:val="00F428E2"/>
    <w:rsid w:val="00F4297A"/>
    <w:rsid w:val="00F42B7A"/>
    <w:rsid w:val="00F42D1A"/>
    <w:rsid w:val="00F4314E"/>
    <w:rsid w:val="00F43353"/>
    <w:rsid w:val="00F43685"/>
    <w:rsid w:val="00F43743"/>
    <w:rsid w:val="00F43754"/>
    <w:rsid w:val="00F43975"/>
    <w:rsid w:val="00F43B61"/>
    <w:rsid w:val="00F43CA6"/>
    <w:rsid w:val="00F43D91"/>
    <w:rsid w:val="00F43E27"/>
    <w:rsid w:val="00F43E7F"/>
    <w:rsid w:val="00F43EF2"/>
    <w:rsid w:val="00F43FC3"/>
    <w:rsid w:val="00F4436D"/>
    <w:rsid w:val="00F4438F"/>
    <w:rsid w:val="00F44736"/>
    <w:rsid w:val="00F449CD"/>
    <w:rsid w:val="00F44A86"/>
    <w:rsid w:val="00F44DB8"/>
    <w:rsid w:val="00F44EC5"/>
    <w:rsid w:val="00F452B4"/>
    <w:rsid w:val="00F453D0"/>
    <w:rsid w:val="00F45666"/>
    <w:rsid w:val="00F457C4"/>
    <w:rsid w:val="00F4591E"/>
    <w:rsid w:val="00F45924"/>
    <w:rsid w:val="00F459AB"/>
    <w:rsid w:val="00F45A59"/>
    <w:rsid w:val="00F45AE7"/>
    <w:rsid w:val="00F45B05"/>
    <w:rsid w:val="00F45C67"/>
    <w:rsid w:val="00F45CC8"/>
    <w:rsid w:val="00F45F70"/>
    <w:rsid w:val="00F46059"/>
    <w:rsid w:val="00F4616D"/>
    <w:rsid w:val="00F4619A"/>
    <w:rsid w:val="00F46290"/>
    <w:rsid w:val="00F46450"/>
    <w:rsid w:val="00F464B0"/>
    <w:rsid w:val="00F465D0"/>
    <w:rsid w:val="00F46612"/>
    <w:rsid w:val="00F46681"/>
    <w:rsid w:val="00F4678A"/>
    <w:rsid w:val="00F46830"/>
    <w:rsid w:val="00F46AC1"/>
    <w:rsid w:val="00F46C77"/>
    <w:rsid w:val="00F47216"/>
    <w:rsid w:val="00F47530"/>
    <w:rsid w:val="00F47818"/>
    <w:rsid w:val="00F47A56"/>
    <w:rsid w:val="00F47A5D"/>
    <w:rsid w:val="00F5009F"/>
    <w:rsid w:val="00F50122"/>
    <w:rsid w:val="00F50157"/>
    <w:rsid w:val="00F5046F"/>
    <w:rsid w:val="00F504F2"/>
    <w:rsid w:val="00F5059B"/>
    <w:rsid w:val="00F50625"/>
    <w:rsid w:val="00F50906"/>
    <w:rsid w:val="00F5097C"/>
    <w:rsid w:val="00F50D24"/>
    <w:rsid w:val="00F50D53"/>
    <w:rsid w:val="00F51266"/>
    <w:rsid w:val="00F51280"/>
    <w:rsid w:val="00F5133F"/>
    <w:rsid w:val="00F513FA"/>
    <w:rsid w:val="00F514A0"/>
    <w:rsid w:val="00F514A1"/>
    <w:rsid w:val="00F514EF"/>
    <w:rsid w:val="00F5162E"/>
    <w:rsid w:val="00F51EC9"/>
    <w:rsid w:val="00F51FD9"/>
    <w:rsid w:val="00F5204E"/>
    <w:rsid w:val="00F52068"/>
    <w:rsid w:val="00F521D0"/>
    <w:rsid w:val="00F5241C"/>
    <w:rsid w:val="00F527BE"/>
    <w:rsid w:val="00F52816"/>
    <w:rsid w:val="00F528FA"/>
    <w:rsid w:val="00F52CAB"/>
    <w:rsid w:val="00F52D34"/>
    <w:rsid w:val="00F52E04"/>
    <w:rsid w:val="00F52FCD"/>
    <w:rsid w:val="00F536EA"/>
    <w:rsid w:val="00F5393A"/>
    <w:rsid w:val="00F53C5B"/>
    <w:rsid w:val="00F53DDB"/>
    <w:rsid w:val="00F540BE"/>
    <w:rsid w:val="00F54442"/>
    <w:rsid w:val="00F5446F"/>
    <w:rsid w:val="00F54547"/>
    <w:rsid w:val="00F54739"/>
    <w:rsid w:val="00F5474A"/>
    <w:rsid w:val="00F5482C"/>
    <w:rsid w:val="00F5494C"/>
    <w:rsid w:val="00F5497E"/>
    <w:rsid w:val="00F54A05"/>
    <w:rsid w:val="00F54CE1"/>
    <w:rsid w:val="00F54D02"/>
    <w:rsid w:val="00F54D8A"/>
    <w:rsid w:val="00F54E4E"/>
    <w:rsid w:val="00F5505A"/>
    <w:rsid w:val="00F5512E"/>
    <w:rsid w:val="00F552D2"/>
    <w:rsid w:val="00F55364"/>
    <w:rsid w:val="00F5579B"/>
    <w:rsid w:val="00F55854"/>
    <w:rsid w:val="00F55BA9"/>
    <w:rsid w:val="00F55C33"/>
    <w:rsid w:val="00F55E9E"/>
    <w:rsid w:val="00F560B5"/>
    <w:rsid w:val="00F56142"/>
    <w:rsid w:val="00F5652C"/>
    <w:rsid w:val="00F56672"/>
    <w:rsid w:val="00F569BE"/>
    <w:rsid w:val="00F56B5B"/>
    <w:rsid w:val="00F56BFF"/>
    <w:rsid w:val="00F56D47"/>
    <w:rsid w:val="00F5720A"/>
    <w:rsid w:val="00F573CC"/>
    <w:rsid w:val="00F57589"/>
    <w:rsid w:val="00F5769B"/>
    <w:rsid w:val="00F57792"/>
    <w:rsid w:val="00F578BC"/>
    <w:rsid w:val="00F57CA3"/>
    <w:rsid w:val="00F57ED6"/>
    <w:rsid w:val="00F6028A"/>
    <w:rsid w:val="00F603BF"/>
    <w:rsid w:val="00F604A6"/>
    <w:rsid w:val="00F60537"/>
    <w:rsid w:val="00F606E1"/>
    <w:rsid w:val="00F60750"/>
    <w:rsid w:val="00F60905"/>
    <w:rsid w:val="00F60A42"/>
    <w:rsid w:val="00F60ACA"/>
    <w:rsid w:val="00F60B22"/>
    <w:rsid w:val="00F60BFA"/>
    <w:rsid w:val="00F60D0B"/>
    <w:rsid w:val="00F60D17"/>
    <w:rsid w:val="00F60DBA"/>
    <w:rsid w:val="00F60F7A"/>
    <w:rsid w:val="00F6178E"/>
    <w:rsid w:val="00F61C90"/>
    <w:rsid w:val="00F61E00"/>
    <w:rsid w:val="00F61E8A"/>
    <w:rsid w:val="00F61EB3"/>
    <w:rsid w:val="00F6209C"/>
    <w:rsid w:val="00F620BB"/>
    <w:rsid w:val="00F6218D"/>
    <w:rsid w:val="00F624C2"/>
    <w:rsid w:val="00F625A1"/>
    <w:rsid w:val="00F6265C"/>
    <w:rsid w:val="00F62771"/>
    <w:rsid w:val="00F62789"/>
    <w:rsid w:val="00F62A7F"/>
    <w:rsid w:val="00F62D9F"/>
    <w:rsid w:val="00F62F55"/>
    <w:rsid w:val="00F6301E"/>
    <w:rsid w:val="00F6302C"/>
    <w:rsid w:val="00F630B6"/>
    <w:rsid w:val="00F63777"/>
    <w:rsid w:val="00F63898"/>
    <w:rsid w:val="00F6394F"/>
    <w:rsid w:val="00F63A6A"/>
    <w:rsid w:val="00F63ABD"/>
    <w:rsid w:val="00F63DC4"/>
    <w:rsid w:val="00F640AF"/>
    <w:rsid w:val="00F6418C"/>
    <w:rsid w:val="00F641CE"/>
    <w:rsid w:val="00F64221"/>
    <w:rsid w:val="00F64376"/>
    <w:rsid w:val="00F644B8"/>
    <w:rsid w:val="00F644CE"/>
    <w:rsid w:val="00F6463F"/>
    <w:rsid w:val="00F6495F"/>
    <w:rsid w:val="00F649A8"/>
    <w:rsid w:val="00F649FC"/>
    <w:rsid w:val="00F64C14"/>
    <w:rsid w:val="00F65116"/>
    <w:rsid w:val="00F652B9"/>
    <w:rsid w:val="00F65345"/>
    <w:rsid w:val="00F65393"/>
    <w:rsid w:val="00F65491"/>
    <w:rsid w:val="00F65779"/>
    <w:rsid w:val="00F658D5"/>
    <w:rsid w:val="00F658DB"/>
    <w:rsid w:val="00F65BD8"/>
    <w:rsid w:val="00F65DFB"/>
    <w:rsid w:val="00F65F39"/>
    <w:rsid w:val="00F65F48"/>
    <w:rsid w:val="00F66092"/>
    <w:rsid w:val="00F66188"/>
    <w:rsid w:val="00F661F0"/>
    <w:rsid w:val="00F66288"/>
    <w:rsid w:val="00F662B4"/>
    <w:rsid w:val="00F6648C"/>
    <w:rsid w:val="00F66661"/>
    <w:rsid w:val="00F667FD"/>
    <w:rsid w:val="00F668BC"/>
    <w:rsid w:val="00F66B4D"/>
    <w:rsid w:val="00F66DBC"/>
    <w:rsid w:val="00F66E35"/>
    <w:rsid w:val="00F66EA7"/>
    <w:rsid w:val="00F6734C"/>
    <w:rsid w:val="00F67371"/>
    <w:rsid w:val="00F67741"/>
    <w:rsid w:val="00F677F9"/>
    <w:rsid w:val="00F67819"/>
    <w:rsid w:val="00F67826"/>
    <w:rsid w:val="00F67900"/>
    <w:rsid w:val="00F67E12"/>
    <w:rsid w:val="00F67E87"/>
    <w:rsid w:val="00F67FDB"/>
    <w:rsid w:val="00F70185"/>
    <w:rsid w:val="00F7029C"/>
    <w:rsid w:val="00F702C7"/>
    <w:rsid w:val="00F702FE"/>
    <w:rsid w:val="00F704B9"/>
    <w:rsid w:val="00F707A0"/>
    <w:rsid w:val="00F70916"/>
    <w:rsid w:val="00F70AA8"/>
    <w:rsid w:val="00F70FB3"/>
    <w:rsid w:val="00F7118C"/>
    <w:rsid w:val="00F711AA"/>
    <w:rsid w:val="00F71402"/>
    <w:rsid w:val="00F71434"/>
    <w:rsid w:val="00F71541"/>
    <w:rsid w:val="00F71A65"/>
    <w:rsid w:val="00F71D91"/>
    <w:rsid w:val="00F720C0"/>
    <w:rsid w:val="00F7250E"/>
    <w:rsid w:val="00F726FB"/>
    <w:rsid w:val="00F7271C"/>
    <w:rsid w:val="00F72805"/>
    <w:rsid w:val="00F7297E"/>
    <w:rsid w:val="00F729B8"/>
    <w:rsid w:val="00F72A27"/>
    <w:rsid w:val="00F72FDB"/>
    <w:rsid w:val="00F73107"/>
    <w:rsid w:val="00F73175"/>
    <w:rsid w:val="00F732A4"/>
    <w:rsid w:val="00F734A5"/>
    <w:rsid w:val="00F736C8"/>
    <w:rsid w:val="00F73873"/>
    <w:rsid w:val="00F73A2D"/>
    <w:rsid w:val="00F73B1A"/>
    <w:rsid w:val="00F73CF3"/>
    <w:rsid w:val="00F73D0C"/>
    <w:rsid w:val="00F73EF2"/>
    <w:rsid w:val="00F73FB7"/>
    <w:rsid w:val="00F74112"/>
    <w:rsid w:val="00F741DB"/>
    <w:rsid w:val="00F744C4"/>
    <w:rsid w:val="00F746AC"/>
    <w:rsid w:val="00F74700"/>
    <w:rsid w:val="00F74830"/>
    <w:rsid w:val="00F74983"/>
    <w:rsid w:val="00F749DC"/>
    <w:rsid w:val="00F74B3B"/>
    <w:rsid w:val="00F74C48"/>
    <w:rsid w:val="00F74C62"/>
    <w:rsid w:val="00F750B0"/>
    <w:rsid w:val="00F75256"/>
    <w:rsid w:val="00F7541E"/>
    <w:rsid w:val="00F7550C"/>
    <w:rsid w:val="00F75899"/>
    <w:rsid w:val="00F7591C"/>
    <w:rsid w:val="00F75B44"/>
    <w:rsid w:val="00F75B4A"/>
    <w:rsid w:val="00F75B5F"/>
    <w:rsid w:val="00F75B62"/>
    <w:rsid w:val="00F75EAC"/>
    <w:rsid w:val="00F75EBA"/>
    <w:rsid w:val="00F76030"/>
    <w:rsid w:val="00F7619D"/>
    <w:rsid w:val="00F7629C"/>
    <w:rsid w:val="00F762A0"/>
    <w:rsid w:val="00F7632B"/>
    <w:rsid w:val="00F763E8"/>
    <w:rsid w:val="00F76413"/>
    <w:rsid w:val="00F76703"/>
    <w:rsid w:val="00F76960"/>
    <w:rsid w:val="00F769F2"/>
    <w:rsid w:val="00F76B8D"/>
    <w:rsid w:val="00F76F54"/>
    <w:rsid w:val="00F7710E"/>
    <w:rsid w:val="00F77176"/>
    <w:rsid w:val="00F7733F"/>
    <w:rsid w:val="00F775B1"/>
    <w:rsid w:val="00F7778B"/>
    <w:rsid w:val="00F7787A"/>
    <w:rsid w:val="00F7793C"/>
    <w:rsid w:val="00F7793D"/>
    <w:rsid w:val="00F7797D"/>
    <w:rsid w:val="00F779A8"/>
    <w:rsid w:val="00F77A42"/>
    <w:rsid w:val="00F77B59"/>
    <w:rsid w:val="00F77C04"/>
    <w:rsid w:val="00F77C07"/>
    <w:rsid w:val="00F77C0C"/>
    <w:rsid w:val="00F77E3C"/>
    <w:rsid w:val="00F80076"/>
    <w:rsid w:val="00F8022B"/>
    <w:rsid w:val="00F80255"/>
    <w:rsid w:val="00F8031F"/>
    <w:rsid w:val="00F806F7"/>
    <w:rsid w:val="00F8095E"/>
    <w:rsid w:val="00F80B67"/>
    <w:rsid w:val="00F80BEB"/>
    <w:rsid w:val="00F80E68"/>
    <w:rsid w:val="00F810F6"/>
    <w:rsid w:val="00F8112E"/>
    <w:rsid w:val="00F81260"/>
    <w:rsid w:val="00F81488"/>
    <w:rsid w:val="00F81748"/>
    <w:rsid w:val="00F81B31"/>
    <w:rsid w:val="00F81C35"/>
    <w:rsid w:val="00F81CA7"/>
    <w:rsid w:val="00F8244F"/>
    <w:rsid w:val="00F82527"/>
    <w:rsid w:val="00F82535"/>
    <w:rsid w:val="00F825C2"/>
    <w:rsid w:val="00F825F1"/>
    <w:rsid w:val="00F8277C"/>
    <w:rsid w:val="00F82BBB"/>
    <w:rsid w:val="00F82C11"/>
    <w:rsid w:val="00F82F1F"/>
    <w:rsid w:val="00F8311A"/>
    <w:rsid w:val="00F83226"/>
    <w:rsid w:val="00F83579"/>
    <w:rsid w:val="00F83666"/>
    <w:rsid w:val="00F83718"/>
    <w:rsid w:val="00F838CD"/>
    <w:rsid w:val="00F8392C"/>
    <w:rsid w:val="00F83BFB"/>
    <w:rsid w:val="00F83D15"/>
    <w:rsid w:val="00F83F3A"/>
    <w:rsid w:val="00F842A6"/>
    <w:rsid w:val="00F842D7"/>
    <w:rsid w:val="00F842F7"/>
    <w:rsid w:val="00F843C5"/>
    <w:rsid w:val="00F845AB"/>
    <w:rsid w:val="00F84A8E"/>
    <w:rsid w:val="00F84A90"/>
    <w:rsid w:val="00F84AD8"/>
    <w:rsid w:val="00F84B14"/>
    <w:rsid w:val="00F84B9B"/>
    <w:rsid w:val="00F84BBE"/>
    <w:rsid w:val="00F84BC9"/>
    <w:rsid w:val="00F84C2C"/>
    <w:rsid w:val="00F84C5A"/>
    <w:rsid w:val="00F84CA2"/>
    <w:rsid w:val="00F84E6C"/>
    <w:rsid w:val="00F84EF1"/>
    <w:rsid w:val="00F84FD4"/>
    <w:rsid w:val="00F850E6"/>
    <w:rsid w:val="00F852C4"/>
    <w:rsid w:val="00F855A1"/>
    <w:rsid w:val="00F85607"/>
    <w:rsid w:val="00F8564C"/>
    <w:rsid w:val="00F856D0"/>
    <w:rsid w:val="00F85801"/>
    <w:rsid w:val="00F85843"/>
    <w:rsid w:val="00F858A3"/>
    <w:rsid w:val="00F858FD"/>
    <w:rsid w:val="00F85A59"/>
    <w:rsid w:val="00F85B03"/>
    <w:rsid w:val="00F85D1D"/>
    <w:rsid w:val="00F85FF1"/>
    <w:rsid w:val="00F860BF"/>
    <w:rsid w:val="00F8616B"/>
    <w:rsid w:val="00F86179"/>
    <w:rsid w:val="00F861AB"/>
    <w:rsid w:val="00F862CB"/>
    <w:rsid w:val="00F8647A"/>
    <w:rsid w:val="00F86687"/>
    <w:rsid w:val="00F868C0"/>
    <w:rsid w:val="00F869B1"/>
    <w:rsid w:val="00F869DF"/>
    <w:rsid w:val="00F86ADE"/>
    <w:rsid w:val="00F86B25"/>
    <w:rsid w:val="00F86E05"/>
    <w:rsid w:val="00F86E99"/>
    <w:rsid w:val="00F86EE0"/>
    <w:rsid w:val="00F86F49"/>
    <w:rsid w:val="00F87229"/>
    <w:rsid w:val="00F877FA"/>
    <w:rsid w:val="00F8781D"/>
    <w:rsid w:val="00F878F7"/>
    <w:rsid w:val="00F8794D"/>
    <w:rsid w:val="00F87A67"/>
    <w:rsid w:val="00F87AFF"/>
    <w:rsid w:val="00F87BFA"/>
    <w:rsid w:val="00F87C77"/>
    <w:rsid w:val="00F87CDB"/>
    <w:rsid w:val="00F87CFF"/>
    <w:rsid w:val="00F902A8"/>
    <w:rsid w:val="00F903B1"/>
    <w:rsid w:val="00F904D0"/>
    <w:rsid w:val="00F9054B"/>
    <w:rsid w:val="00F9059F"/>
    <w:rsid w:val="00F90769"/>
    <w:rsid w:val="00F908AA"/>
    <w:rsid w:val="00F90A0A"/>
    <w:rsid w:val="00F90AC4"/>
    <w:rsid w:val="00F90F41"/>
    <w:rsid w:val="00F90FC4"/>
    <w:rsid w:val="00F91379"/>
    <w:rsid w:val="00F9140C"/>
    <w:rsid w:val="00F917E9"/>
    <w:rsid w:val="00F91AF8"/>
    <w:rsid w:val="00F91BC1"/>
    <w:rsid w:val="00F91BE7"/>
    <w:rsid w:val="00F91C39"/>
    <w:rsid w:val="00F91C43"/>
    <w:rsid w:val="00F91E86"/>
    <w:rsid w:val="00F92045"/>
    <w:rsid w:val="00F921C3"/>
    <w:rsid w:val="00F9249C"/>
    <w:rsid w:val="00F9255A"/>
    <w:rsid w:val="00F925AA"/>
    <w:rsid w:val="00F92701"/>
    <w:rsid w:val="00F92753"/>
    <w:rsid w:val="00F92828"/>
    <w:rsid w:val="00F92AD8"/>
    <w:rsid w:val="00F92D18"/>
    <w:rsid w:val="00F92F73"/>
    <w:rsid w:val="00F93130"/>
    <w:rsid w:val="00F93286"/>
    <w:rsid w:val="00F935E2"/>
    <w:rsid w:val="00F936EE"/>
    <w:rsid w:val="00F937B6"/>
    <w:rsid w:val="00F93A7F"/>
    <w:rsid w:val="00F93B75"/>
    <w:rsid w:val="00F93C65"/>
    <w:rsid w:val="00F93D2F"/>
    <w:rsid w:val="00F93D86"/>
    <w:rsid w:val="00F93F41"/>
    <w:rsid w:val="00F940A7"/>
    <w:rsid w:val="00F940AA"/>
    <w:rsid w:val="00F944F6"/>
    <w:rsid w:val="00F9462F"/>
    <w:rsid w:val="00F946DB"/>
    <w:rsid w:val="00F94713"/>
    <w:rsid w:val="00F94799"/>
    <w:rsid w:val="00F947AA"/>
    <w:rsid w:val="00F947C5"/>
    <w:rsid w:val="00F94AF4"/>
    <w:rsid w:val="00F94B6F"/>
    <w:rsid w:val="00F94CBF"/>
    <w:rsid w:val="00F94D14"/>
    <w:rsid w:val="00F94E2D"/>
    <w:rsid w:val="00F94FA4"/>
    <w:rsid w:val="00F94FFC"/>
    <w:rsid w:val="00F95178"/>
    <w:rsid w:val="00F9524D"/>
    <w:rsid w:val="00F95452"/>
    <w:rsid w:val="00F9568C"/>
    <w:rsid w:val="00F95948"/>
    <w:rsid w:val="00F95AA9"/>
    <w:rsid w:val="00F95BF1"/>
    <w:rsid w:val="00F95C8F"/>
    <w:rsid w:val="00F95CB3"/>
    <w:rsid w:val="00F95CC2"/>
    <w:rsid w:val="00F95D44"/>
    <w:rsid w:val="00F95DC4"/>
    <w:rsid w:val="00F95DDC"/>
    <w:rsid w:val="00F95E3B"/>
    <w:rsid w:val="00F95F9D"/>
    <w:rsid w:val="00F9601E"/>
    <w:rsid w:val="00F9633B"/>
    <w:rsid w:val="00F9656F"/>
    <w:rsid w:val="00F966A2"/>
    <w:rsid w:val="00F966B1"/>
    <w:rsid w:val="00F969AE"/>
    <w:rsid w:val="00F96A50"/>
    <w:rsid w:val="00F96A7A"/>
    <w:rsid w:val="00F96ACA"/>
    <w:rsid w:val="00F96BAD"/>
    <w:rsid w:val="00F970B7"/>
    <w:rsid w:val="00F971E0"/>
    <w:rsid w:val="00F973B0"/>
    <w:rsid w:val="00F97484"/>
    <w:rsid w:val="00F9757D"/>
    <w:rsid w:val="00F9758C"/>
    <w:rsid w:val="00F975C8"/>
    <w:rsid w:val="00F975FC"/>
    <w:rsid w:val="00F97640"/>
    <w:rsid w:val="00F97801"/>
    <w:rsid w:val="00F97891"/>
    <w:rsid w:val="00F9794D"/>
    <w:rsid w:val="00F979A1"/>
    <w:rsid w:val="00F97B20"/>
    <w:rsid w:val="00F97B26"/>
    <w:rsid w:val="00F97D09"/>
    <w:rsid w:val="00F97DB8"/>
    <w:rsid w:val="00F97E03"/>
    <w:rsid w:val="00F97E4F"/>
    <w:rsid w:val="00F97E84"/>
    <w:rsid w:val="00FA0118"/>
    <w:rsid w:val="00FA0248"/>
    <w:rsid w:val="00FA0365"/>
    <w:rsid w:val="00FA0451"/>
    <w:rsid w:val="00FA0692"/>
    <w:rsid w:val="00FA0867"/>
    <w:rsid w:val="00FA0A20"/>
    <w:rsid w:val="00FA0A27"/>
    <w:rsid w:val="00FA0AA3"/>
    <w:rsid w:val="00FA0AED"/>
    <w:rsid w:val="00FA0AF3"/>
    <w:rsid w:val="00FA0D3C"/>
    <w:rsid w:val="00FA0E4F"/>
    <w:rsid w:val="00FA0F15"/>
    <w:rsid w:val="00FA13E4"/>
    <w:rsid w:val="00FA1A13"/>
    <w:rsid w:val="00FA1A86"/>
    <w:rsid w:val="00FA1AAC"/>
    <w:rsid w:val="00FA1D18"/>
    <w:rsid w:val="00FA1FD6"/>
    <w:rsid w:val="00FA2077"/>
    <w:rsid w:val="00FA207D"/>
    <w:rsid w:val="00FA214B"/>
    <w:rsid w:val="00FA2385"/>
    <w:rsid w:val="00FA280D"/>
    <w:rsid w:val="00FA2890"/>
    <w:rsid w:val="00FA2AA9"/>
    <w:rsid w:val="00FA2BA0"/>
    <w:rsid w:val="00FA2F9A"/>
    <w:rsid w:val="00FA31D9"/>
    <w:rsid w:val="00FA33A2"/>
    <w:rsid w:val="00FA3693"/>
    <w:rsid w:val="00FA3890"/>
    <w:rsid w:val="00FA39F2"/>
    <w:rsid w:val="00FA3DB8"/>
    <w:rsid w:val="00FA41C1"/>
    <w:rsid w:val="00FA42EE"/>
    <w:rsid w:val="00FA443B"/>
    <w:rsid w:val="00FA4557"/>
    <w:rsid w:val="00FA499B"/>
    <w:rsid w:val="00FA49AC"/>
    <w:rsid w:val="00FA4B6F"/>
    <w:rsid w:val="00FA4B7B"/>
    <w:rsid w:val="00FA4C10"/>
    <w:rsid w:val="00FA4D1B"/>
    <w:rsid w:val="00FA4F65"/>
    <w:rsid w:val="00FA516A"/>
    <w:rsid w:val="00FA5225"/>
    <w:rsid w:val="00FA56DE"/>
    <w:rsid w:val="00FA5787"/>
    <w:rsid w:val="00FA57A3"/>
    <w:rsid w:val="00FA5877"/>
    <w:rsid w:val="00FA5BE0"/>
    <w:rsid w:val="00FA5D93"/>
    <w:rsid w:val="00FA5EE1"/>
    <w:rsid w:val="00FA5F3F"/>
    <w:rsid w:val="00FA5FD8"/>
    <w:rsid w:val="00FA6363"/>
    <w:rsid w:val="00FA652D"/>
    <w:rsid w:val="00FA671F"/>
    <w:rsid w:val="00FA6755"/>
    <w:rsid w:val="00FA6C81"/>
    <w:rsid w:val="00FA6CC8"/>
    <w:rsid w:val="00FA6F36"/>
    <w:rsid w:val="00FA6FA9"/>
    <w:rsid w:val="00FA7012"/>
    <w:rsid w:val="00FA7020"/>
    <w:rsid w:val="00FA707B"/>
    <w:rsid w:val="00FA71A7"/>
    <w:rsid w:val="00FA7367"/>
    <w:rsid w:val="00FA745D"/>
    <w:rsid w:val="00FA7694"/>
    <w:rsid w:val="00FA79F9"/>
    <w:rsid w:val="00FA7ABC"/>
    <w:rsid w:val="00FA7AEF"/>
    <w:rsid w:val="00FA7E64"/>
    <w:rsid w:val="00FA7EB2"/>
    <w:rsid w:val="00FB0034"/>
    <w:rsid w:val="00FB00A6"/>
    <w:rsid w:val="00FB00B8"/>
    <w:rsid w:val="00FB017E"/>
    <w:rsid w:val="00FB022F"/>
    <w:rsid w:val="00FB030D"/>
    <w:rsid w:val="00FB03B8"/>
    <w:rsid w:val="00FB0477"/>
    <w:rsid w:val="00FB04E1"/>
    <w:rsid w:val="00FB07F0"/>
    <w:rsid w:val="00FB09CB"/>
    <w:rsid w:val="00FB0A56"/>
    <w:rsid w:val="00FB0AA4"/>
    <w:rsid w:val="00FB0C42"/>
    <w:rsid w:val="00FB0E56"/>
    <w:rsid w:val="00FB108F"/>
    <w:rsid w:val="00FB146C"/>
    <w:rsid w:val="00FB1579"/>
    <w:rsid w:val="00FB160A"/>
    <w:rsid w:val="00FB17B6"/>
    <w:rsid w:val="00FB17D7"/>
    <w:rsid w:val="00FB1B27"/>
    <w:rsid w:val="00FB1BCE"/>
    <w:rsid w:val="00FB1DF7"/>
    <w:rsid w:val="00FB1EBE"/>
    <w:rsid w:val="00FB1EEE"/>
    <w:rsid w:val="00FB2119"/>
    <w:rsid w:val="00FB2272"/>
    <w:rsid w:val="00FB245F"/>
    <w:rsid w:val="00FB27E6"/>
    <w:rsid w:val="00FB2DCA"/>
    <w:rsid w:val="00FB2EA9"/>
    <w:rsid w:val="00FB31A9"/>
    <w:rsid w:val="00FB31AF"/>
    <w:rsid w:val="00FB3214"/>
    <w:rsid w:val="00FB32F1"/>
    <w:rsid w:val="00FB347D"/>
    <w:rsid w:val="00FB3660"/>
    <w:rsid w:val="00FB3679"/>
    <w:rsid w:val="00FB36CC"/>
    <w:rsid w:val="00FB3A70"/>
    <w:rsid w:val="00FB3B6E"/>
    <w:rsid w:val="00FB3BC6"/>
    <w:rsid w:val="00FB3DAB"/>
    <w:rsid w:val="00FB3DB5"/>
    <w:rsid w:val="00FB3E30"/>
    <w:rsid w:val="00FB3F1E"/>
    <w:rsid w:val="00FB4027"/>
    <w:rsid w:val="00FB40E1"/>
    <w:rsid w:val="00FB4355"/>
    <w:rsid w:val="00FB4939"/>
    <w:rsid w:val="00FB4A3F"/>
    <w:rsid w:val="00FB4A48"/>
    <w:rsid w:val="00FB4ABB"/>
    <w:rsid w:val="00FB4AF7"/>
    <w:rsid w:val="00FB4D80"/>
    <w:rsid w:val="00FB4DB1"/>
    <w:rsid w:val="00FB4DE7"/>
    <w:rsid w:val="00FB4E3F"/>
    <w:rsid w:val="00FB502E"/>
    <w:rsid w:val="00FB53B2"/>
    <w:rsid w:val="00FB5494"/>
    <w:rsid w:val="00FB55BF"/>
    <w:rsid w:val="00FB5949"/>
    <w:rsid w:val="00FB595E"/>
    <w:rsid w:val="00FB597D"/>
    <w:rsid w:val="00FB5C67"/>
    <w:rsid w:val="00FB5CA4"/>
    <w:rsid w:val="00FB5F48"/>
    <w:rsid w:val="00FB60C1"/>
    <w:rsid w:val="00FB60CD"/>
    <w:rsid w:val="00FB62D1"/>
    <w:rsid w:val="00FB630D"/>
    <w:rsid w:val="00FB632F"/>
    <w:rsid w:val="00FB6650"/>
    <w:rsid w:val="00FB6CEC"/>
    <w:rsid w:val="00FB6FED"/>
    <w:rsid w:val="00FB6FFE"/>
    <w:rsid w:val="00FB7185"/>
    <w:rsid w:val="00FB7367"/>
    <w:rsid w:val="00FB75C4"/>
    <w:rsid w:val="00FB794C"/>
    <w:rsid w:val="00FB7984"/>
    <w:rsid w:val="00FB7A1E"/>
    <w:rsid w:val="00FB7A91"/>
    <w:rsid w:val="00FB7B96"/>
    <w:rsid w:val="00FB7F36"/>
    <w:rsid w:val="00FB7F97"/>
    <w:rsid w:val="00FB7FC8"/>
    <w:rsid w:val="00FC012F"/>
    <w:rsid w:val="00FC01A1"/>
    <w:rsid w:val="00FC01AD"/>
    <w:rsid w:val="00FC06D6"/>
    <w:rsid w:val="00FC09D4"/>
    <w:rsid w:val="00FC0B06"/>
    <w:rsid w:val="00FC0BB0"/>
    <w:rsid w:val="00FC0BC6"/>
    <w:rsid w:val="00FC11AB"/>
    <w:rsid w:val="00FC11C9"/>
    <w:rsid w:val="00FC1317"/>
    <w:rsid w:val="00FC14DA"/>
    <w:rsid w:val="00FC1693"/>
    <w:rsid w:val="00FC188E"/>
    <w:rsid w:val="00FC192C"/>
    <w:rsid w:val="00FC1A84"/>
    <w:rsid w:val="00FC1F81"/>
    <w:rsid w:val="00FC2348"/>
    <w:rsid w:val="00FC25F6"/>
    <w:rsid w:val="00FC26E5"/>
    <w:rsid w:val="00FC2729"/>
    <w:rsid w:val="00FC29E8"/>
    <w:rsid w:val="00FC2FA2"/>
    <w:rsid w:val="00FC2FB5"/>
    <w:rsid w:val="00FC385A"/>
    <w:rsid w:val="00FC398A"/>
    <w:rsid w:val="00FC3AC4"/>
    <w:rsid w:val="00FC3BF4"/>
    <w:rsid w:val="00FC3C3D"/>
    <w:rsid w:val="00FC3D64"/>
    <w:rsid w:val="00FC3F16"/>
    <w:rsid w:val="00FC3F44"/>
    <w:rsid w:val="00FC3FB0"/>
    <w:rsid w:val="00FC4034"/>
    <w:rsid w:val="00FC4044"/>
    <w:rsid w:val="00FC444A"/>
    <w:rsid w:val="00FC4511"/>
    <w:rsid w:val="00FC4A06"/>
    <w:rsid w:val="00FC4A3E"/>
    <w:rsid w:val="00FC4BC6"/>
    <w:rsid w:val="00FC4BE5"/>
    <w:rsid w:val="00FC5406"/>
    <w:rsid w:val="00FC5409"/>
    <w:rsid w:val="00FC5426"/>
    <w:rsid w:val="00FC5473"/>
    <w:rsid w:val="00FC5565"/>
    <w:rsid w:val="00FC556D"/>
    <w:rsid w:val="00FC5586"/>
    <w:rsid w:val="00FC569C"/>
    <w:rsid w:val="00FC56B3"/>
    <w:rsid w:val="00FC586A"/>
    <w:rsid w:val="00FC58B7"/>
    <w:rsid w:val="00FC5A7E"/>
    <w:rsid w:val="00FC5C82"/>
    <w:rsid w:val="00FC5EAC"/>
    <w:rsid w:val="00FC610C"/>
    <w:rsid w:val="00FC611F"/>
    <w:rsid w:val="00FC613B"/>
    <w:rsid w:val="00FC61B6"/>
    <w:rsid w:val="00FC6A73"/>
    <w:rsid w:val="00FC6CB5"/>
    <w:rsid w:val="00FC6CEE"/>
    <w:rsid w:val="00FC6E5B"/>
    <w:rsid w:val="00FC7105"/>
    <w:rsid w:val="00FC713F"/>
    <w:rsid w:val="00FC71C5"/>
    <w:rsid w:val="00FC7328"/>
    <w:rsid w:val="00FC7577"/>
    <w:rsid w:val="00FC763C"/>
    <w:rsid w:val="00FC76E7"/>
    <w:rsid w:val="00FC7708"/>
    <w:rsid w:val="00FC7761"/>
    <w:rsid w:val="00FC7769"/>
    <w:rsid w:val="00FC787E"/>
    <w:rsid w:val="00FC7A89"/>
    <w:rsid w:val="00FC7B64"/>
    <w:rsid w:val="00FC7BCD"/>
    <w:rsid w:val="00FC7BF7"/>
    <w:rsid w:val="00FC7C7B"/>
    <w:rsid w:val="00FC7CBE"/>
    <w:rsid w:val="00FC7DDC"/>
    <w:rsid w:val="00FC7E67"/>
    <w:rsid w:val="00FD0130"/>
    <w:rsid w:val="00FD0154"/>
    <w:rsid w:val="00FD018E"/>
    <w:rsid w:val="00FD0559"/>
    <w:rsid w:val="00FD05A2"/>
    <w:rsid w:val="00FD0679"/>
    <w:rsid w:val="00FD074C"/>
    <w:rsid w:val="00FD083A"/>
    <w:rsid w:val="00FD0B31"/>
    <w:rsid w:val="00FD0B3D"/>
    <w:rsid w:val="00FD0D4E"/>
    <w:rsid w:val="00FD0D5D"/>
    <w:rsid w:val="00FD0E3B"/>
    <w:rsid w:val="00FD0ECD"/>
    <w:rsid w:val="00FD0F2D"/>
    <w:rsid w:val="00FD0F55"/>
    <w:rsid w:val="00FD0F85"/>
    <w:rsid w:val="00FD1076"/>
    <w:rsid w:val="00FD1248"/>
    <w:rsid w:val="00FD129E"/>
    <w:rsid w:val="00FD131B"/>
    <w:rsid w:val="00FD1484"/>
    <w:rsid w:val="00FD1565"/>
    <w:rsid w:val="00FD16B7"/>
    <w:rsid w:val="00FD181D"/>
    <w:rsid w:val="00FD18DB"/>
    <w:rsid w:val="00FD19A1"/>
    <w:rsid w:val="00FD1DE8"/>
    <w:rsid w:val="00FD1E39"/>
    <w:rsid w:val="00FD1E69"/>
    <w:rsid w:val="00FD1E7E"/>
    <w:rsid w:val="00FD2164"/>
    <w:rsid w:val="00FD21DF"/>
    <w:rsid w:val="00FD2392"/>
    <w:rsid w:val="00FD24A9"/>
    <w:rsid w:val="00FD24D6"/>
    <w:rsid w:val="00FD24E6"/>
    <w:rsid w:val="00FD27E2"/>
    <w:rsid w:val="00FD2AF7"/>
    <w:rsid w:val="00FD2B4C"/>
    <w:rsid w:val="00FD2BC6"/>
    <w:rsid w:val="00FD2C79"/>
    <w:rsid w:val="00FD2CC0"/>
    <w:rsid w:val="00FD2D18"/>
    <w:rsid w:val="00FD2ED3"/>
    <w:rsid w:val="00FD3404"/>
    <w:rsid w:val="00FD3487"/>
    <w:rsid w:val="00FD348E"/>
    <w:rsid w:val="00FD3637"/>
    <w:rsid w:val="00FD3709"/>
    <w:rsid w:val="00FD378D"/>
    <w:rsid w:val="00FD39E7"/>
    <w:rsid w:val="00FD3C72"/>
    <w:rsid w:val="00FD3CED"/>
    <w:rsid w:val="00FD3D61"/>
    <w:rsid w:val="00FD3DDF"/>
    <w:rsid w:val="00FD3DF6"/>
    <w:rsid w:val="00FD402B"/>
    <w:rsid w:val="00FD4159"/>
    <w:rsid w:val="00FD4179"/>
    <w:rsid w:val="00FD4311"/>
    <w:rsid w:val="00FD4380"/>
    <w:rsid w:val="00FD4578"/>
    <w:rsid w:val="00FD4D14"/>
    <w:rsid w:val="00FD4D4B"/>
    <w:rsid w:val="00FD4FC4"/>
    <w:rsid w:val="00FD51D0"/>
    <w:rsid w:val="00FD53AB"/>
    <w:rsid w:val="00FD5458"/>
    <w:rsid w:val="00FD5460"/>
    <w:rsid w:val="00FD56DC"/>
    <w:rsid w:val="00FD58F2"/>
    <w:rsid w:val="00FD5990"/>
    <w:rsid w:val="00FD5A7D"/>
    <w:rsid w:val="00FD5C22"/>
    <w:rsid w:val="00FD5D89"/>
    <w:rsid w:val="00FD5E07"/>
    <w:rsid w:val="00FD61CD"/>
    <w:rsid w:val="00FD625A"/>
    <w:rsid w:val="00FD64F8"/>
    <w:rsid w:val="00FD682F"/>
    <w:rsid w:val="00FD6A64"/>
    <w:rsid w:val="00FD6A76"/>
    <w:rsid w:val="00FD6BB8"/>
    <w:rsid w:val="00FD6EAC"/>
    <w:rsid w:val="00FD7009"/>
    <w:rsid w:val="00FD7213"/>
    <w:rsid w:val="00FD73CD"/>
    <w:rsid w:val="00FD747A"/>
    <w:rsid w:val="00FD76FF"/>
    <w:rsid w:val="00FD7A6C"/>
    <w:rsid w:val="00FD7BA5"/>
    <w:rsid w:val="00FD7CBF"/>
    <w:rsid w:val="00FD7DAE"/>
    <w:rsid w:val="00FD7E18"/>
    <w:rsid w:val="00FD7F74"/>
    <w:rsid w:val="00FE022C"/>
    <w:rsid w:val="00FE0280"/>
    <w:rsid w:val="00FE028D"/>
    <w:rsid w:val="00FE0456"/>
    <w:rsid w:val="00FE0700"/>
    <w:rsid w:val="00FE07D3"/>
    <w:rsid w:val="00FE07FC"/>
    <w:rsid w:val="00FE090B"/>
    <w:rsid w:val="00FE09B5"/>
    <w:rsid w:val="00FE0A51"/>
    <w:rsid w:val="00FE0D7C"/>
    <w:rsid w:val="00FE0ED2"/>
    <w:rsid w:val="00FE0F16"/>
    <w:rsid w:val="00FE10CD"/>
    <w:rsid w:val="00FE1372"/>
    <w:rsid w:val="00FE1382"/>
    <w:rsid w:val="00FE13CF"/>
    <w:rsid w:val="00FE15A6"/>
    <w:rsid w:val="00FE1605"/>
    <w:rsid w:val="00FE177B"/>
    <w:rsid w:val="00FE17E6"/>
    <w:rsid w:val="00FE1868"/>
    <w:rsid w:val="00FE194D"/>
    <w:rsid w:val="00FE19C7"/>
    <w:rsid w:val="00FE1AB8"/>
    <w:rsid w:val="00FE1AE1"/>
    <w:rsid w:val="00FE1B81"/>
    <w:rsid w:val="00FE1DC9"/>
    <w:rsid w:val="00FE1E5C"/>
    <w:rsid w:val="00FE212B"/>
    <w:rsid w:val="00FE235F"/>
    <w:rsid w:val="00FE23CF"/>
    <w:rsid w:val="00FE242A"/>
    <w:rsid w:val="00FE29C6"/>
    <w:rsid w:val="00FE329F"/>
    <w:rsid w:val="00FE367E"/>
    <w:rsid w:val="00FE3719"/>
    <w:rsid w:val="00FE39FF"/>
    <w:rsid w:val="00FE3AEE"/>
    <w:rsid w:val="00FE3B91"/>
    <w:rsid w:val="00FE3C54"/>
    <w:rsid w:val="00FE3FDA"/>
    <w:rsid w:val="00FE4217"/>
    <w:rsid w:val="00FE4394"/>
    <w:rsid w:val="00FE463C"/>
    <w:rsid w:val="00FE4679"/>
    <w:rsid w:val="00FE4741"/>
    <w:rsid w:val="00FE499D"/>
    <w:rsid w:val="00FE4A22"/>
    <w:rsid w:val="00FE4B79"/>
    <w:rsid w:val="00FE4C9F"/>
    <w:rsid w:val="00FE4E73"/>
    <w:rsid w:val="00FE4ECC"/>
    <w:rsid w:val="00FE501E"/>
    <w:rsid w:val="00FE522D"/>
    <w:rsid w:val="00FE539B"/>
    <w:rsid w:val="00FE55CD"/>
    <w:rsid w:val="00FE55FC"/>
    <w:rsid w:val="00FE57BA"/>
    <w:rsid w:val="00FE593C"/>
    <w:rsid w:val="00FE5B51"/>
    <w:rsid w:val="00FE5C93"/>
    <w:rsid w:val="00FE5CA4"/>
    <w:rsid w:val="00FE5DCF"/>
    <w:rsid w:val="00FE5E2E"/>
    <w:rsid w:val="00FE5ECB"/>
    <w:rsid w:val="00FE615E"/>
    <w:rsid w:val="00FE61A1"/>
    <w:rsid w:val="00FE6384"/>
    <w:rsid w:val="00FE6419"/>
    <w:rsid w:val="00FE64ED"/>
    <w:rsid w:val="00FE6699"/>
    <w:rsid w:val="00FE66A4"/>
    <w:rsid w:val="00FE6929"/>
    <w:rsid w:val="00FE6B28"/>
    <w:rsid w:val="00FE6C73"/>
    <w:rsid w:val="00FE70C2"/>
    <w:rsid w:val="00FE723C"/>
    <w:rsid w:val="00FE73D3"/>
    <w:rsid w:val="00FE757B"/>
    <w:rsid w:val="00FE75D6"/>
    <w:rsid w:val="00FE7A9F"/>
    <w:rsid w:val="00FE7BFB"/>
    <w:rsid w:val="00FE7CB8"/>
    <w:rsid w:val="00FE7DEF"/>
    <w:rsid w:val="00FE7EBE"/>
    <w:rsid w:val="00FE7F0A"/>
    <w:rsid w:val="00FF0298"/>
    <w:rsid w:val="00FF058D"/>
    <w:rsid w:val="00FF05A9"/>
    <w:rsid w:val="00FF05B5"/>
    <w:rsid w:val="00FF08FF"/>
    <w:rsid w:val="00FF0DC1"/>
    <w:rsid w:val="00FF0DE5"/>
    <w:rsid w:val="00FF0F08"/>
    <w:rsid w:val="00FF0F71"/>
    <w:rsid w:val="00FF1295"/>
    <w:rsid w:val="00FF129E"/>
    <w:rsid w:val="00FF13DA"/>
    <w:rsid w:val="00FF1420"/>
    <w:rsid w:val="00FF1AEA"/>
    <w:rsid w:val="00FF1AF9"/>
    <w:rsid w:val="00FF1EC0"/>
    <w:rsid w:val="00FF1FF1"/>
    <w:rsid w:val="00FF22F0"/>
    <w:rsid w:val="00FF2474"/>
    <w:rsid w:val="00FF2508"/>
    <w:rsid w:val="00FF2536"/>
    <w:rsid w:val="00FF25C3"/>
    <w:rsid w:val="00FF267C"/>
    <w:rsid w:val="00FF26AF"/>
    <w:rsid w:val="00FF2929"/>
    <w:rsid w:val="00FF2A1B"/>
    <w:rsid w:val="00FF2BD4"/>
    <w:rsid w:val="00FF2D9F"/>
    <w:rsid w:val="00FF2E6C"/>
    <w:rsid w:val="00FF3242"/>
    <w:rsid w:val="00FF339C"/>
    <w:rsid w:val="00FF33DB"/>
    <w:rsid w:val="00FF358A"/>
    <w:rsid w:val="00FF3A0E"/>
    <w:rsid w:val="00FF41E2"/>
    <w:rsid w:val="00FF423E"/>
    <w:rsid w:val="00FF4437"/>
    <w:rsid w:val="00FF44A6"/>
    <w:rsid w:val="00FF4588"/>
    <w:rsid w:val="00FF4696"/>
    <w:rsid w:val="00FF4A6F"/>
    <w:rsid w:val="00FF4ABD"/>
    <w:rsid w:val="00FF4BFB"/>
    <w:rsid w:val="00FF4CA5"/>
    <w:rsid w:val="00FF4DCA"/>
    <w:rsid w:val="00FF4F17"/>
    <w:rsid w:val="00FF5045"/>
    <w:rsid w:val="00FF518F"/>
    <w:rsid w:val="00FF537C"/>
    <w:rsid w:val="00FF5639"/>
    <w:rsid w:val="00FF5726"/>
    <w:rsid w:val="00FF58BC"/>
    <w:rsid w:val="00FF5928"/>
    <w:rsid w:val="00FF5B58"/>
    <w:rsid w:val="00FF5B97"/>
    <w:rsid w:val="00FF5E33"/>
    <w:rsid w:val="00FF5E68"/>
    <w:rsid w:val="00FF5FC2"/>
    <w:rsid w:val="00FF6159"/>
    <w:rsid w:val="00FF62B2"/>
    <w:rsid w:val="00FF62CE"/>
    <w:rsid w:val="00FF6308"/>
    <w:rsid w:val="00FF662B"/>
    <w:rsid w:val="00FF6679"/>
    <w:rsid w:val="00FF68F7"/>
    <w:rsid w:val="00FF6A17"/>
    <w:rsid w:val="00FF6AC3"/>
    <w:rsid w:val="00FF6B67"/>
    <w:rsid w:val="00FF6CAE"/>
    <w:rsid w:val="00FF6D0F"/>
    <w:rsid w:val="00FF6D16"/>
    <w:rsid w:val="00FF6D83"/>
    <w:rsid w:val="00FF6E7C"/>
    <w:rsid w:val="00FF700B"/>
    <w:rsid w:val="00FF70CF"/>
    <w:rsid w:val="00FF7217"/>
    <w:rsid w:val="00FF735D"/>
    <w:rsid w:val="00FF73E6"/>
    <w:rsid w:val="00FF786F"/>
    <w:rsid w:val="00FF7BAE"/>
    <w:rsid w:val="00FF7E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E0EE"/>
  <w15:chartTrackingRefBased/>
  <w15:docId w15:val="{2DBF3156-146D-4EA5-B7C5-5C2DDD9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3A"/>
    <w:pPr>
      <w:spacing w:after="160" w:line="259" w:lineRule="auto"/>
    </w:pPr>
    <w:rPr>
      <w:rFonts w:eastAsia="Times New Roman"/>
      <w:sz w:val="22"/>
      <w:szCs w:val="22"/>
      <w:lang w:eastAsia="ja-JP"/>
    </w:rPr>
  </w:style>
  <w:style w:type="paragraph" w:styleId="Heading1">
    <w:name w:val="heading 1"/>
    <w:next w:val="BodyText"/>
    <w:link w:val="Heading1Char"/>
    <w:uiPriority w:val="9"/>
    <w:qFormat/>
    <w:rsid w:val="000D46E7"/>
    <w:pPr>
      <w:pageBreakBefore/>
      <w:numPr>
        <w:numId w:val="32"/>
      </w:numPr>
      <w:pBdr>
        <w:bottom w:val="single" w:sz="4" w:space="1" w:color="auto"/>
      </w:pBdr>
      <w:tabs>
        <w:tab w:val="left" w:pos="851"/>
      </w:tabs>
      <w:spacing w:before="360" w:after="360" w:line="259" w:lineRule="auto"/>
      <w:outlineLvl w:val="0"/>
    </w:pPr>
    <w:rPr>
      <w:rFonts w:ascii="Calibri Light" w:eastAsia="Times New Roman" w:hAnsi="Calibri Light"/>
      <w:b/>
      <w:bCs/>
      <w:sz w:val="44"/>
      <w:szCs w:val="36"/>
      <w:lang w:eastAsia="ja-JP"/>
    </w:rPr>
  </w:style>
  <w:style w:type="paragraph" w:styleId="Heading2">
    <w:name w:val="heading 2"/>
    <w:next w:val="BodyText"/>
    <w:link w:val="Heading2Char"/>
    <w:uiPriority w:val="9"/>
    <w:unhideWhenUsed/>
    <w:qFormat/>
    <w:rsid w:val="000D46E7"/>
    <w:pPr>
      <w:keepNext/>
      <w:keepLines/>
      <w:numPr>
        <w:ilvl w:val="1"/>
        <w:numId w:val="32"/>
      </w:numPr>
      <w:tabs>
        <w:tab w:val="left" w:pos="851"/>
      </w:tabs>
      <w:spacing w:before="360" w:after="120" w:line="216" w:lineRule="auto"/>
      <w:outlineLvl w:val="1"/>
    </w:pPr>
    <w:rPr>
      <w:rFonts w:ascii="Calibri Light" w:eastAsia="Times New Roman" w:hAnsi="Calibri Light"/>
      <w:b/>
      <w:bCs/>
      <w:sz w:val="36"/>
      <w:szCs w:val="28"/>
      <w:lang w:eastAsia="ja-JP"/>
    </w:rPr>
  </w:style>
  <w:style w:type="paragraph" w:styleId="Heading3">
    <w:name w:val="heading 3"/>
    <w:next w:val="BodyText"/>
    <w:link w:val="Heading3Char"/>
    <w:uiPriority w:val="9"/>
    <w:unhideWhenUsed/>
    <w:qFormat/>
    <w:rsid w:val="000D46E7"/>
    <w:pPr>
      <w:keepNext/>
      <w:keepLines/>
      <w:numPr>
        <w:ilvl w:val="2"/>
        <w:numId w:val="32"/>
      </w:numPr>
      <w:tabs>
        <w:tab w:val="left" w:pos="851"/>
      </w:tabs>
      <w:spacing w:before="240" w:after="120"/>
      <w:outlineLvl w:val="2"/>
    </w:pPr>
    <w:rPr>
      <w:rFonts w:ascii="Calibri Light" w:eastAsia="Times New Roman" w:hAnsi="Calibri Light"/>
      <w:b/>
      <w:bCs/>
      <w:sz w:val="32"/>
      <w:szCs w:val="22"/>
      <w:lang w:eastAsia="ja-JP"/>
    </w:rPr>
  </w:style>
  <w:style w:type="paragraph" w:styleId="Heading4">
    <w:name w:val="heading 4"/>
    <w:next w:val="BodyText"/>
    <w:link w:val="Heading4Char"/>
    <w:autoRedefine/>
    <w:uiPriority w:val="9"/>
    <w:unhideWhenUsed/>
    <w:qFormat/>
    <w:rsid w:val="00D26049"/>
    <w:pPr>
      <w:keepNext/>
      <w:keepLines/>
      <w:spacing w:before="240" w:after="120" w:line="216" w:lineRule="auto"/>
      <w:outlineLvl w:val="3"/>
    </w:pPr>
    <w:rPr>
      <w:rFonts w:ascii="Calibri Light" w:eastAsia="Times New Roman" w:hAnsi="Calibri Light"/>
      <w:b/>
      <w:bCs/>
      <w:iCs/>
      <w:sz w:val="28"/>
      <w:szCs w:val="22"/>
      <w:lang w:eastAsia="ja-JP"/>
    </w:rPr>
  </w:style>
  <w:style w:type="paragraph" w:styleId="Heading5">
    <w:name w:val="heading 5"/>
    <w:next w:val="BodyText"/>
    <w:link w:val="Heading5Char"/>
    <w:uiPriority w:val="9"/>
    <w:unhideWhenUsed/>
    <w:qFormat/>
    <w:rsid w:val="000D46E7"/>
    <w:pPr>
      <w:keepNext/>
      <w:keepLines/>
      <w:numPr>
        <w:ilvl w:val="4"/>
        <w:numId w:val="32"/>
      </w:numPr>
      <w:spacing w:before="240" w:line="259" w:lineRule="auto"/>
      <w:outlineLvl w:val="4"/>
    </w:pPr>
    <w:rPr>
      <w:rFonts w:ascii="Calibri Light" w:eastAsia="Times New Roman" w:hAnsi="Calibri Light"/>
      <w:b/>
      <w:sz w:val="22"/>
      <w:szCs w:val="22"/>
      <w:lang w:eastAsia="ja-JP"/>
    </w:rPr>
  </w:style>
  <w:style w:type="paragraph" w:styleId="Heading6">
    <w:name w:val="heading 6"/>
    <w:next w:val="BodyText"/>
    <w:link w:val="Heading6Char"/>
    <w:uiPriority w:val="9"/>
    <w:unhideWhenUsed/>
    <w:qFormat/>
    <w:rsid w:val="000D46E7"/>
    <w:pPr>
      <w:keepNext/>
      <w:keepLines/>
      <w:numPr>
        <w:ilvl w:val="5"/>
        <w:numId w:val="32"/>
      </w:numPr>
      <w:spacing w:before="200" w:line="259" w:lineRule="auto"/>
      <w:outlineLvl w:val="5"/>
    </w:pPr>
    <w:rPr>
      <w:rFonts w:ascii="Calibri Light" w:eastAsia="Times New Roman" w:hAnsi="Calibri Light"/>
      <w:i/>
      <w:iCs/>
      <w:color w:val="252525"/>
      <w:sz w:val="22"/>
      <w:szCs w:val="22"/>
      <w:u w:val="single"/>
      <w:lang w:eastAsia="ja-JP"/>
    </w:rPr>
  </w:style>
  <w:style w:type="paragraph" w:styleId="Heading7">
    <w:name w:val="heading 7"/>
    <w:aliases w:val="App Lvl 1"/>
    <w:next w:val="BodyText"/>
    <w:link w:val="Heading7Char"/>
    <w:uiPriority w:val="9"/>
    <w:unhideWhenUsed/>
    <w:qFormat/>
    <w:rsid w:val="000D46E7"/>
    <w:pPr>
      <w:keepNext/>
      <w:pageBreakBefore/>
      <w:numPr>
        <w:ilvl w:val="6"/>
        <w:numId w:val="32"/>
      </w:numPr>
      <w:pBdr>
        <w:bottom w:val="single" w:sz="4" w:space="1" w:color="auto"/>
      </w:pBdr>
      <w:spacing w:after="360" w:line="216" w:lineRule="auto"/>
      <w:outlineLvl w:val="6"/>
    </w:pPr>
    <w:rPr>
      <w:rFonts w:ascii="Calibri Light" w:eastAsia="Times New Roman" w:hAnsi="Calibri Light"/>
      <w:b/>
      <w:iCs/>
      <w:sz w:val="36"/>
      <w:szCs w:val="22"/>
      <w:lang w:eastAsia="ja-JP"/>
    </w:rPr>
  </w:style>
  <w:style w:type="paragraph" w:styleId="Heading8">
    <w:name w:val="heading 8"/>
    <w:aliases w:val="App Lvl 2"/>
    <w:next w:val="BodyText"/>
    <w:link w:val="Heading8Char"/>
    <w:uiPriority w:val="9"/>
    <w:unhideWhenUsed/>
    <w:qFormat/>
    <w:rsid w:val="000D46E7"/>
    <w:pPr>
      <w:numPr>
        <w:ilvl w:val="7"/>
        <w:numId w:val="32"/>
      </w:numPr>
      <w:spacing w:before="240" w:after="60" w:line="216" w:lineRule="auto"/>
      <w:outlineLvl w:val="7"/>
    </w:pPr>
    <w:rPr>
      <w:rFonts w:ascii="Calibri Light" w:eastAsia="Times New Roman" w:hAnsi="Calibri Light"/>
      <w:b/>
      <w:sz w:val="32"/>
      <w:lang w:eastAsia="ja-JP"/>
    </w:rPr>
  </w:style>
  <w:style w:type="paragraph" w:styleId="Heading9">
    <w:name w:val="heading 9"/>
    <w:aliases w:val="App Lvl 3"/>
    <w:next w:val="BodyText"/>
    <w:link w:val="Heading9Char"/>
    <w:uiPriority w:val="9"/>
    <w:unhideWhenUsed/>
    <w:qFormat/>
    <w:rsid w:val="000D46E7"/>
    <w:pPr>
      <w:keepNext/>
      <w:keepLines/>
      <w:numPr>
        <w:ilvl w:val="8"/>
        <w:numId w:val="32"/>
      </w:numPr>
      <w:tabs>
        <w:tab w:val="left" w:pos="1021"/>
      </w:tabs>
      <w:spacing w:before="240" w:after="60" w:line="259" w:lineRule="auto"/>
      <w:outlineLvl w:val="8"/>
    </w:pPr>
    <w:rPr>
      <w:rFonts w:ascii="Calibri Light" w:eastAsia="Times New Roman" w:hAnsi="Calibri Light"/>
      <w:b/>
      <w:iC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3176"/>
    <w:rPr>
      <w:color w:val="00B0F0"/>
      <w:u w:val="single"/>
      <w:lang w:val="en-AU"/>
    </w:rPr>
  </w:style>
  <w:style w:type="paragraph" w:styleId="BalloonText">
    <w:name w:val="Balloon Text"/>
    <w:basedOn w:val="Normal"/>
    <w:link w:val="BalloonTextChar"/>
    <w:uiPriority w:val="99"/>
    <w:semiHidden/>
    <w:unhideWhenUsed/>
    <w:rsid w:val="007310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10E5"/>
    <w:rPr>
      <w:rFonts w:ascii="Segoe UI" w:eastAsia="Times New Roman" w:hAnsi="Segoe UI" w:cs="Segoe UI"/>
      <w:sz w:val="18"/>
      <w:szCs w:val="18"/>
      <w:lang w:eastAsia="ja-JP"/>
    </w:rPr>
  </w:style>
  <w:style w:type="character" w:customStyle="1" w:styleId="Heading1Char">
    <w:name w:val="Heading 1 Char"/>
    <w:link w:val="Heading1"/>
    <w:uiPriority w:val="9"/>
    <w:rsid w:val="007361DC"/>
    <w:rPr>
      <w:rFonts w:ascii="Calibri Light" w:eastAsia="Times New Roman" w:hAnsi="Calibri Light"/>
      <w:b/>
      <w:bCs/>
      <w:sz w:val="44"/>
      <w:szCs w:val="36"/>
      <w:lang w:eastAsia="ja-JP"/>
    </w:rPr>
  </w:style>
  <w:style w:type="character" w:customStyle="1" w:styleId="Heading2Char">
    <w:name w:val="Heading 2 Char"/>
    <w:link w:val="Heading2"/>
    <w:uiPriority w:val="9"/>
    <w:rsid w:val="007361DC"/>
    <w:rPr>
      <w:rFonts w:ascii="Calibri Light" w:eastAsia="Times New Roman" w:hAnsi="Calibri Light"/>
      <w:b/>
      <w:bCs/>
      <w:sz w:val="36"/>
      <w:szCs w:val="28"/>
      <w:lang w:eastAsia="ja-JP"/>
    </w:rPr>
  </w:style>
  <w:style w:type="character" w:customStyle="1" w:styleId="Heading3Char">
    <w:name w:val="Heading 3 Char"/>
    <w:link w:val="Heading3"/>
    <w:uiPriority w:val="9"/>
    <w:rsid w:val="006B4A14"/>
    <w:rPr>
      <w:rFonts w:ascii="Calibri Light" w:eastAsia="Times New Roman" w:hAnsi="Calibri Light"/>
      <w:b/>
      <w:bCs/>
      <w:sz w:val="32"/>
      <w:szCs w:val="22"/>
      <w:lang w:eastAsia="ja-JP"/>
    </w:rPr>
  </w:style>
  <w:style w:type="table" w:styleId="TableGrid">
    <w:name w:val="Table Grid"/>
    <w:aliases w:val="Table Grid2"/>
    <w:basedOn w:val="TableNormal"/>
    <w:uiPriority w:val="39"/>
    <w:rsid w:val="00CA3D3A"/>
    <w:rPr>
      <w:rFonts w:eastAsia="Times New Roman"/>
      <w:lang w:eastAsia="ja-JP"/>
    </w:rPr>
    <w:tblPr>
      <w:tblBorders>
        <w:top w:val="single" w:sz="4" w:space="0" w:color="auto"/>
        <w:bottom w:val="single" w:sz="4" w:space="0" w:color="auto"/>
        <w:insideH w:val="single" w:sz="4" w:space="0" w:color="auto"/>
      </w:tblBorders>
    </w:tblPr>
    <w:trPr>
      <w:cantSplit/>
    </w:trPr>
    <w:tblStylePr w:type="firstRow">
      <w:tblPr/>
      <w:trPr>
        <w:tblHeader/>
      </w:trPr>
      <w:tcPr>
        <w:shd w:val="clear" w:color="auto" w:fill="BFBFBF"/>
      </w:tcPr>
    </w:tblStylePr>
  </w:style>
  <w:style w:type="paragraph" w:styleId="Header">
    <w:name w:val="header"/>
    <w:link w:val="HeaderChar"/>
    <w:uiPriority w:val="99"/>
    <w:unhideWhenUsed/>
    <w:rsid w:val="002B679B"/>
    <w:pPr>
      <w:tabs>
        <w:tab w:val="right" w:pos="14572"/>
      </w:tabs>
      <w:spacing w:after="240"/>
    </w:pPr>
    <w:rPr>
      <w:rFonts w:eastAsia="Times New Roman"/>
      <w:b/>
      <w:sz w:val="18"/>
      <w:szCs w:val="22"/>
      <w:lang w:eastAsia="ja-JP"/>
    </w:rPr>
  </w:style>
  <w:style w:type="character" w:customStyle="1" w:styleId="HeaderChar">
    <w:name w:val="Header Char"/>
    <w:link w:val="Header"/>
    <w:uiPriority w:val="99"/>
    <w:rsid w:val="002B679B"/>
    <w:rPr>
      <w:rFonts w:eastAsia="Times New Roman"/>
      <w:b/>
      <w:sz w:val="18"/>
      <w:szCs w:val="22"/>
      <w:lang w:eastAsia="ja-JP"/>
    </w:rPr>
  </w:style>
  <w:style w:type="paragraph" w:styleId="Footer">
    <w:name w:val="footer"/>
    <w:basedOn w:val="Normal"/>
    <w:link w:val="FooterChar"/>
    <w:uiPriority w:val="99"/>
    <w:unhideWhenUsed/>
    <w:rsid w:val="00F66661"/>
    <w:pPr>
      <w:tabs>
        <w:tab w:val="right" w:pos="14572"/>
      </w:tabs>
      <w:spacing w:after="0" w:line="240" w:lineRule="auto"/>
    </w:pPr>
    <w:rPr>
      <w:b/>
      <w:sz w:val="18"/>
    </w:rPr>
  </w:style>
  <w:style w:type="character" w:customStyle="1" w:styleId="FooterChar">
    <w:name w:val="Footer Char"/>
    <w:link w:val="Footer"/>
    <w:uiPriority w:val="99"/>
    <w:rsid w:val="00F66661"/>
    <w:rPr>
      <w:rFonts w:eastAsia="Times New Roman"/>
      <w:b/>
      <w:sz w:val="18"/>
      <w:szCs w:val="22"/>
      <w:lang w:eastAsia="ja-JP"/>
    </w:rPr>
  </w:style>
  <w:style w:type="paragraph" w:styleId="BodyText">
    <w:name w:val="Body Text"/>
    <w:basedOn w:val="Normal"/>
    <w:link w:val="BodyTextChar"/>
    <w:uiPriority w:val="99"/>
    <w:unhideWhenUsed/>
    <w:rsid w:val="00A42D3F"/>
    <w:pPr>
      <w:spacing w:after="120"/>
    </w:pPr>
  </w:style>
  <w:style w:type="character" w:customStyle="1" w:styleId="BodyTextChar">
    <w:name w:val="Body Text Char"/>
    <w:link w:val="BodyText"/>
    <w:uiPriority w:val="99"/>
    <w:rsid w:val="00A42D3F"/>
    <w:rPr>
      <w:rFonts w:eastAsia="Times New Roman"/>
      <w:lang w:val="en-AU" w:eastAsia="ja-JP"/>
    </w:rPr>
  </w:style>
  <w:style w:type="paragraph" w:customStyle="1" w:styleId="Titlesmall">
    <w:name w:val="Title small"/>
    <w:qFormat/>
    <w:rsid w:val="004D5E17"/>
    <w:pPr>
      <w:spacing w:before="600" w:after="160"/>
    </w:pPr>
    <w:rPr>
      <w:rFonts w:eastAsia="Times New Roman"/>
      <w:color w:val="000000"/>
      <w:sz w:val="28"/>
      <w:szCs w:val="56"/>
      <w:lang w:eastAsia="ja-JP"/>
    </w:rPr>
  </w:style>
  <w:style w:type="paragraph" w:customStyle="1" w:styleId="Bulletpoint">
    <w:name w:val="Bullet point"/>
    <w:qFormat/>
    <w:rsid w:val="00452C6F"/>
    <w:pPr>
      <w:numPr>
        <w:numId w:val="1"/>
      </w:numPr>
      <w:spacing w:after="120" w:line="259" w:lineRule="auto"/>
    </w:pPr>
    <w:rPr>
      <w:rFonts w:eastAsia="Times New Roman"/>
      <w:sz w:val="22"/>
      <w:szCs w:val="22"/>
      <w:lang w:eastAsia="ja-JP"/>
    </w:rPr>
  </w:style>
  <w:style w:type="paragraph" w:customStyle="1" w:styleId="Bulletpoint2ndlevel">
    <w:name w:val="Bullet point 2nd level"/>
    <w:basedOn w:val="Bulletpoint"/>
    <w:qFormat/>
    <w:rsid w:val="004357F8"/>
    <w:pPr>
      <w:numPr>
        <w:ilvl w:val="1"/>
      </w:numPr>
    </w:pPr>
  </w:style>
  <w:style w:type="paragraph" w:styleId="Caption">
    <w:name w:val="caption"/>
    <w:next w:val="Normal"/>
    <w:uiPriority w:val="35"/>
    <w:unhideWhenUsed/>
    <w:qFormat/>
    <w:rsid w:val="004357F8"/>
    <w:pPr>
      <w:keepNext/>
      <w:spacing w:before="240"/>
      <w:ind w:left="1418" w:hanging="1418"/>
    </w:pPr>
    <w:rPr>
      <w:rFonts w:eastAsia="Times New Roman"/>
      <w:b/>
      <w:iCs/>
      <w:szCs w:val="18"/>
      <w:lang w:eastAsia="ja-JP"/>
    </w:rPr>
  </w:style>
  <w:style w:type="character" w:styleId="CommentReference">
    <w:name w:val="annotation reference"/>
    <w:uiPriority w:val="99"/>
    <w:semiHidden/>
    <w:unhideWhenUsed/>
    <w:rsid w:val="007310E5"/>
    <w:rPr>
      <w:sz w:val="16"/>
      <w:szCs w:val="16"/>
    </w:rPr>
  </w:style>
  <w:style w:type="paragraph" w:styleId="NormalWeb">
    <w:name w:val="Normal (Web)"/>
    <w:basedOn w:val="Normal"/>
    <w:uiPriority w:val="99"/>
    <w:semiHidden/>
    <w:unhideWhenUsed/>
    <w:rsid w:val="0063032A"/>
    <w:pPr>
      <w:spacing w:before="100" w:beforeAutospacing="1" w:after="100" w:afterAutospacing="1" w:line="240" w:lineRule="auto"/>
    </w:pPr>
    <w:rPr>
      <w:rFonts w:ascii="Times New Roman" w:hAnsi="Times New Roman"/>
      <w:sz w:val="24"/>
      <w:szCs w:val="24"/>
      <w:lang w:eastAsia="en-AU"/>
    </w:rPr>
  </w:style>
  <w:style w:type="paragraph" w:styleId="TOC7">
    <w:name w:val="toc 7"/>
    <w:next w:val="BodyText"/>
    <w:autoRedefine/>
    <w:uiPriority w:val="39"/>
    <w:unhideWhenUsed/>
    <w:rsid w:val="00C2542C"/>
    <w:pPr>
      <w:tabs>
        <w:tab w:val="right" w:leader="dot" w:pos="9628"/>
      </w:tabs>
      <w:spacing w:before="240"/>
      <w:ind w:left="1418" w:right="567" w:hanging="1418"/>
      <w:contextualSpacing/>
    </w:pPr>
    <w:rPr>
      <w:rFonts w:eastAsia="Times New Roman"/>
      <w:b/>
      <w:sz w:val="22"/>
      <w:szCs w:val="22"/>
      <w:lang w:eastAsia="ja-JP"/>
    </w:rPr>
  </w:style>
  <w:style w:type="paragraph" w:styleId="CommentSubject">
    <w:name w:val="annotation subject"/>
    <w:basedOn w:val="Normal"/>
    <w:next w:val="Normal"/>
    <w:link w:val="CommentSubjectChar"/>
    <w:uiPriority w:val="99"/>
    <w:semiHidden/>
    <w:unhideWhenUsed/>
    <w:rsid w:val="000077F2"/>
    <w:pPr>
      <w:spacing w:line="240" w:lineRule="auto"/>
    </w:pPr>
    <w:rPr>
      <w:b/>
      <w:bCs/>
      <w:sz w:val="20"/>
      <w:szCs w:val="20"/>
    </w:rPr>
  </w:style>
  <w:style w:type="character" w:customStyle="1" w:styleId="CommentSubjectChar">
    <w:name w:val="Comment Subject Char"/>
    <w:link w:val="CommentSubject"/>
    <w:uiPriority w:val="99"/>
    <w:semiHidden/>
    <w:rsid w:val="000077F2"/>
    <w:rPr>
      <w:rFonts w:eastAsia="Times New Roman"/>
      <w:b/>
      <w:bCs/>
      <w:sz w:val="20"/>
      <w:szCs w:val="20"/>
      <w:lang w:eastAsia="ja-JP"/>
    </w:rPr>
  </w:style>
  <w:style w:type="character" w:styleId="EndnoteReference">
    <w:name w:val="endnote reference"/>
    <w:uiPriority w:val="99"/>
    <w:semiHidden/>
    <w:unhideWhenUsed/>
    <w:rsid w:val="007310E5"/>
    <w:rPr>
      <w:vertAlign w:val="superscript"/>
    </w:rPr>
  </w:style>
  <w:style w:type="paragraph" w:styleId="EndnoteText">
    <w:name w:val="endnote text"/>
    <w:basedOn w:val="Normal"/>
    <w:link w:val="EndnoteTextChar"/>
    <w:uiPriority w:val="99"/>
    <w:semiHidden/>
    <w:unhideWhenUsed/>
    <w:rsid w:val="007310E5"/>
    <w:pPr>
      <w:spacing w:after="0" w:line="240" w:lineRule="auto"/>
    </w:pPr>
    <w:rPr>
      <w:sz w:val="20"/>
      <w:szCs w:val="20"/>
    </w:rPr>
  </w:style>
  <w:style w:type="character" w:customStyle="1" w:styleId="EndnoteTextChar">
    <w:name w:val="Endnote Text Char"/>
    <w:link w:val="EndnoteText"/>
    <w:uiPriority w:val="99"/>
    <w:semiHidden/>
    <w:rsid w:val="007310E5"/>
    <w:rPr>
      <w:rFonts w:eastAsia="Times New Roman"/>
      <w:sz w:val="20"/>
      <w:szCs w:val="20"/>
      <w:lang w:eastAsia="ja-JP"/>
    </w:rPr>
  </w:style>
  <w:style w:type="character" w:styleId="FollowedHyperlink">
    <w:name w:val="FollowedHyperlink"/>
    <w:uiPriority w:val="99"/>
    <w:semiHidden/>
    <w:unhideWhenUsed/>
    <w:rsid w:val="007310E5"/>
    <w:rPr>
      <w:color w:val="B26B02"/>
      <w:u w:val="single"/>
    </w:rPr>
  </w:style>
  <w:style w:type="character" w:styleId="FootnoteReference">
    <w:name w:val="footnote reference"/>
    <w:uiPriority w:val="99"/>
    <w:semiHidden/>
    <w:unhideWhenUsed/>
    <w:rsid w:val="007310E5"/>
    <w:rPr>
      <w:vertAlign w:val="superscript"/>
    </w:rPr>
  </w:style>
  <w:style w:type="paragraph" w:styleId="FootnoteText">
    <w:name w:val="footnote text"/>
    <w:basedOn w:val="Normal"/>
    <w:next w:val="BodyText"/>
    <w:link w:val="FootnoteTextChar"/>
    <w:uiPriority w:val="99"/>
    <w:unhideWhenUsed/>
    <w:rsid w:val="00E57E65"/>
    <w:pPr>
      <w:spacing w:after="0" w:line="240" w:lineRule="auto"/>
      <w:ind w:left="113" w:hanging="113"/>
    </w:pPr>
    <w:rPr>
      <w:sz w:val="16"/>
      <w:szCs w:val="20"/>
    </w:rPr>
  </w:style>
  <w:style w:type="character" w:customStyle="1" w:styleId="FootnoteTextChar">
    <w:name w:val="Footnote Text Char"/>
    <w:link w:val="FootnoteText"/>
    <w:uiPriority w:val="99"/>
    <w:rsid w:val="00E57E65"/>
    <w:rPr>
      <w:rFonts w:eastAsia="Times New Roman"/>
      <w:sz w:val="16"/>
      <w:lang w:eastAsia="ja-JP"/>
    </w:rPr>
  </w:style>
  <w:style w:type="character" w:customStyle="1" w:styleId="Heading4Char">
    <w:name w:val="Heading 4 Char"/>
    <w:link w:val="Heading4"/>
    <w:uiPriority w:val="9"/>
    <w:rsid w:val="00D26049"/>
    <w:rPr>
      <w:rFonts w:ascii="Calibri Light" w:eastAsia="Times New Roman" w:hAnsi="Calibri Light"/>
      <w:b/>
      <w:bCs/>
      <w:iCs/>
      <w:sz w:val="28"/>
      <w:szCs w:val="22"/>
      <w:lang w:eastAsia="ja-JP"/>
    </w:rPr>
  </w:style>
  <w:style w:type="character" w:customStyle="1" w:styleId="Heading5Char">
    <w:name w:val="Heading 5 Char"/>
    <w:link w:val="Heading5"/>
    <w:uiPriority w:val="9"/>
    <w:rsid w:val="00714548"/>
    <w:rPr>
      <w:rFonts w:ascii="Calibri Light" w:eastAsia="Times New Roman" w:hAnsi="Calibri Light"/>
      <w:b/>
      <w:sz w:val="22"/>
      <w:szCs w:val="22"/>
      <w:lang w:eastAsia="ja-JP"/>
    </w:rPr>
  </w:style>
  <w:style w:type="character" w:customStyle="1" w:styleId="Heading6Char">
    <w:name w:val="Heading 6 Char"/>
    <w:link w:val="Heading6"/>
    <w:uiPriority w:val="9"/>
    <w:rsid w:val="0063032A"/>
    <w:rPr>
      <w:rFonts w:ascii="Calibri Light" w:eastAsia="Times New Roman" w:hAnsi="Calibri Light"/>
      <w:i/>
      <w:iCs/>
      <w:color w:val="252525"/>
      <w:sz w:val="22"/>
      <w:szCs w:val="22"/>
      <w:u w:val="single"/>
      <w:lang w:eastAsia="ja-JP"/>
    </w:rPr>
  </w:style>
  <w:style w:type="character" w:customStyle="1" w:styleId="Heading7Char">
    <w:name w:val="Heading 7 Char"/>
    <w:aliases w:val="App Lvl 1 Char"/>
    <w:link w:val="Heading7"/>
    <w:uiPriority w:val="9"/>
    <w:rsid w:val="00955387"/>
    <w:rPr>
      <w:rFonts w:ascii="Calibri Light" w:eastAsia="Times New Roman" w:hAnsi="Calibri Light"/>
      <w:b/>
      <w:iCs/>
      <w:sz w:val="36"/>
      <w:szCs w:val="22"/>
      <w:lang w:eastAsia="ja-JP"/>
    </w:rPr>
  </w:style>
  <w:style w:type="character" w:customStyle="1" w:styleId="Heading8Char">
    <w:name w:val="Heading 8 Char"/>
    <w:aliases w:val="App Lvl 2 Char"/>
    <w:link w:val="Heading8"/>
    <w:uiPriority w:val="9"/>
    <w:rsid w:val="004E2B13"/>
    <w:rPr>
      <w:rFonts w:ascii="Calibri Light" w:eastAsia="Times New Roman" w:hAnsi="Calibri Light"/>
      <w:b/>
      <w:sz w:val="32"/>
      <w:lang w:eastAsia="ja-JP"/>
    </w:rPr>
  </w:style>
  <w:style w:type="character" w:customStyle="1" w:styleId="Heading9Char">
    <w:name w:val="Heading 9 Char"/>
    <w:aliases w:val="App Lvl 3 Char"/>
    <w:link w:val="Heading9"/>
    <w:uiPriority w:val="9"/>
    <w:rsid w:val="004E2B13"/>
    <w:rPr>
      <w:rFonts w:ascii="Calibri Light" w:eastAsia="Times New Roman" w:hAnsi="Calibri Light"/>
      <w:b/>
      <w:iCs/>
      <w:sz w:val="24"/>
      <w:lang w:eastAsia="ja-JP"/>
    </w:rPr>
  </w:style>
  <w:style w:type="numbering" w:customStyle="1" w:styleId="Headings">
    <w:name w:val="Headings"/>
    <w:uiPriority w:val="99"/>
    <w:rsid w:val="004E2B13"/>
    <w:pPr>
      <w:numPr>
        <w:numId w:val="2"/>
      </w:numPr>
    </w:pPr>
  </w:style>
  <w:style w:type="paragraph" w:styleId="TOC8">
    <w:name w:val="toc 8"/>
    <w:next w:val="BodyText"/>
    <w:autoRedefine/>
    <w:uiPriority w:val="39"/>
    <w:unhideWhenUsed/>
    <w:rsid w:val="00C2542C"/>
    <w:pPr>
      <w:tabs>
        <w:tab w:val="right" w:leader="dot" w:pos="9628"/>
      </w:tabs>
      <w:ind w:left="1985" w:right="567" w:hanging="567"/>
    </w:pPr>
    <w:rPr>
      <w:rFonts w:eastAsia="Times New Roman"/>
      <w:sz w:val="22"/>
      <w:szCs w:val="22"/>
      <w:lang w:eastAsia="ja-JP"/>
    </w:rPr>
  </w:style>
  <w:style w:type="paragraph" w:customStyle="1" w:styleId="ExecSumHeading1">
    <w:name w:val="Exec Sum Heading 1"/>
    <w:next w:val="BodyText"/>
    <w:qFormat/>
    <w:rsid w:val="008C3478"/>
    <w:pPr>
      <w:pageBreakBefore/>
      <w:pBdr>
        <w:bottom w:val="single" w:sz="4" w:space="1" w:color="auto"/>
      </w:pBdr>
      <w:spacing w:before="360" w:after="360" w:line="216" w:lineRule="auto"/>
      <w:outlineLvl w:val="0"/>
    </w:pPr>
    <w:rPr>
      <w:rFonts w:asciiTheme="majorHAnsi" w:eastAsia="Times New Roman" w:hAnsiTheme="majorHAnsi" w:cstheme="majorHAnsi"/>
      <w:b/>
      <w:sz w:val="44"/>
      <w:szCs w:val="44"/>
      <w:lang w:eastAsia="ja-JP"/>
    </w:rPr>
  </w:style>
  <w:style w:type="character" w:customStyle="1" w:styleId="Mention1">
    <w:name w:val="Mention1"/>
    <w:uiPriority w:val="99"/>
    <w:semiHidden/>
    <w:unhideWhenUsed/>
    <w:rsid w:val="007310E5"/>
    <w:rPr>
      <w:color w:val="2B579A"/>
      <w:shd w:val="clear" w:color="auto" w:fill="E6E6E6"/>
    </w:rPr>
  </w:style>
  <w:style w:type="paragraph" w:customStyle="1" w:styleId="FigureorPicture">
    <w:name w:val="Figure or Picture"/>
    <w:next w:val="111Tablefootnoteslast-nostick8pt"/>
    <w:qFormat/>
    <w:rsid w:val="00453176"/>
    <w:pPr>
      <w:keepNext/>
      <w:pBdr>
        <w:top w:val="single" w:sz="4" w:space="1" w:color="auto"/>
        <w:bottom w:val="single" w:sz="4" w:space="1" w:color="auto"/>
      </w:pBdr>
      <w:spacing w:line="259" w:lineRule="auto"/>
      <w:jc w:val="center"/>
    </w:pPr>
    <w:rPr>
      <w:rFonts w:eastAsia="Times New Roman"/>
      <w:sz w:val="22"/>
      <w:szCs w:val="22"/>
      <w:lang w:eastAsia="ja-JP"/>
    </w:rPr>
  </w:style>
  <w:style w:type="paragraph" w:customStyle="1" w:styleId="011TableHeading8pt">
    <w:name w:val="01.1 Table Heading [8pt]"/>
    <w:qFormat/>
    <w:rsid w:val="004357F8"/>
    <w:pPr>
      <w:spacing w:before="80" w:after="40" w:line="259" w:lineRule="auto"/>
    </w:pPr>
    <w:rPr>
      <w:rFonts w:eastAsia="Times New Roman"/>
      <w:b/>
      <w:sz w:val="16"/>
      <w:szCs w:val="22"/>
      <w:lang w:eastAsia="ja-JP"/>
    </w:rPr>
  </w:style>
  <w:style w:type="paragraph" w:customStyle="1" w:styleId="021TableHeadingRightAligned8pt">
    <w:name w:val="02.1 Table Heading Right Aligned [8pt]"/>
    <w:qFormat/>
    <w:rsid w:val="004357F8"/>
    <w:pPr>
      <w:spacing w:before="80" w:after="40"/>
      <w:ind w:right="113"/>
      <w:jc w:val="right"/>
    </w:pPr>
    <w:rPr>
      <w:rFonts w:eastAsia="Times New Roman"/>
      <w:b/>
      <w:sz w:val="16"/>
      <w:szCs w:val="22"/>
      <w:lang w:eastAsia="ja-JP"/>
    </w:rPr>
  </w:style>
  <w:style w:type="paragraph" w:customStyle="1" w:styleId="081TableRightAligned228pt">
    <w:name w:val="08.1 Table Right Aligned 2:2 [8pt]"/>
    <w:qFormat/>
    <w:rsid w:val="004357F8"/>
    <w:pPr>
      <w:spacing w:before="40" w:after="40" w:line="259" w:lineRule="auto"/>
      <w:ind w:right="113"/>
      <w:jc w:val="right"/>
    </w:pPr>
    <w:rPr>
      <w:rFonts w:eastAsia="Times New Roman"/>
      <w:sz w:val="16"/>
      <w:szCs w:val="22"/>
      <w:lang w:eastAsia="ja-JP"/>
    </w:rPr>
  </w:style>
  <w:style w:type="paragraph" w:styleId="Quote">
    <w:name w:val="Quote"/>
    <w:next w:val="BodyText"/>
    <w:link w:val="QuoteChar"/>
    <w:uiPriority w:val="29"/>
    <w:qFormat/>
    <w:rsid w:val="008109F1"/>
    <w:pPr>
      <w:spacing w:before="160" w:after="160" w:line="259" w:lineRule="auto"/>
      <w:ind w:left="720" w:right="720"/>
    </w:pPr>
    <w:rPr>
      <w:rFonts w:eastAsia="Times New Roman"/>
      <w:i/>
      <w:iCs/>
      <w:color w:val="000000"/>
      <w:sz w:val="22"/>
      <w:szCs w:val="22"/>
      <w:lang w:eastAsia="ja-JP"/>
    </w:rPr>
  </w:style>
  <w:style w:type="character" w:customStyle="1" w:styleId="QuoteChar">
    <w:name w:val="Quote Char"/>
    <w:link w:val="Quote"/>
    <w:uiPriority w:val="29"/>
    <w:rsid w:val="008109F1"/>
    <w:rPr>
      <w:rFonts w:eastAsia="Times New Roman"/>
      <w:i/>
      <w:iCs/>
      <w:color w:val="000000"/>
      <w:lang w:val="en-AU" w:eastAsia="ja-JP"/>
    </w:rPr>
  </w:style>
  <w:style w:type="paragraph" w:customStyle="1" w:styleId="051Tabletext228pt">
    <w:name w:val="05.1 Table text 2:2 [8pt]"/>
    <w:link w:val="051Tabletext228ptChar"/>
    <w:qFormat/>
    <w:rsid w:val="00FE4A22"/>
    <w:pPr>
      <w:spacing w:before="40" w:after="40"/>
    </w:pPr>
    <w:rPr>
      <w:rFonts w:eastAsia="Times New Roman"/>
      <w:sz w:val="16"/>
      <w:szCs w:val="22"/>
      <w:lang w:eastAsia="ja-JP"/>
    </w:rPr>
  </w:style>
  <w:style w:type="character" w:customStyle="1" w:styleId="051Tabletext228ptChar">
    <w:name w:val="05.1 Table text 2:2 [8pt] Char"/>
    <w:link w:val="051Tabletext228pt"/>
    <w:rsid w:val="00FE4A22"/>
    <w:rPr>
      <w:rFonts w:eastAsia="Times New Roman"/>
      <w:sz w:val="16"/>
      <w:szCs w:val="22"/>
      <w:lang w:eastAsia="ja-JP"/>
    </w:rPr>
  </w:style>
  <w:style w:type="paragraph" w:customStyle="1" w:styleId="071Tablebullet8pt">
    <w:name w:val="07.1 Table bullet [8pt]"/>
    <w:qFormat/>
    <w:rsid w:val="00FE4A22"/>
    <w:pPr>
      <w:numPr>
        <w:numId w:val="3"/>
      </w:numPr>
      <w:spacing w:before="40" w:after="40" w:line="259" w:lineRule="auto"/>
    </w:pPr>
    <w:rPr>
      <w:rFonts w:eastAsia="Times New Roman"/>
      <w:sz w:val="16"/>
      <w:szCs w:val="22"/>
      <w:lang w:eastAsia="ja-JP"/>
    </w:rPr>
  </w:style>
  <w:style w:type="paragraph" w:customStyle="1" w:styleId="101Tablefootnotes8pt">
    <w:name w:val="10.1 Table footnotes [8pt]"/>
    <w:link w:val="101Tablefootnotes8ptChar"/>
    <w:qFormat/>
    <w:rsid w:val="004357F8"/>
    <w:pPr>
      <w:keepNext/>
      <w:spacing w:line="259" w:lineRule="auto"/>
    </w:pPr>
    <w:rPr>
      <w:rFonts w:eastAsia="Times New Roman"/>
      <w:sz w:val="16"/>
      <w:szCs w:val="22"/>
      <w:lang w:eastAsia="ja-JP"/>
    </w:rPr>
  </w:style>
  <w:style w:type="character" w:customStyle="1" w:styleId="101Tablefootnotes8ptChar">
    <w:name w:val="10.1 Table footnotes [8pt] Char"/>
    <w:link w:val="101Tablefootnotes8pt"/>
    <w:rsid w:val="004357F8"/>
    <w:rPr>
      <w:rFonts w:eastAsia="Times New Roman"/>
      <w:sz w:val="16"/>
      <w:szCs w:val="22"/>
      <w:lang w:eastAsia="ja-JP"/>
    </w:rPr>
  </w:style>
  <w:style w:type="paragraph" w:customStyle="1" w:styleId="111Tablefootnoteslast-nostick8pt">
    <w:name w:val="11.1 Table footnotes last - no stick [8pt]"/>
    <w:next w:val="BodyText"/>
    <w:qFormat/>
    <w:rsid w:val="007310E5"/>
    <w:pPr>
      <w:spacing w:after="360" w:line="259" w:lineRule="auto"/>
    </w:pPr>
    <w:rPr>
      <w:rFonts w:eastAsia="Times New Roman"/>
      <w:sz w:val="16"/>
      <w:szCs w:val="22"/>
      <w:lang w:val="en-US" w:eastAsia="ja-JP"/>
    </w:rPr>
  </w:style>
  <w:style w:type="paragraph" w:styleId="TableofFigures">
    <w:name w:val="table of figures"/>
    <w:uiPriority w:val="99"/>
    <w:unhideWhenUsed/>
    <w:rsid w:val="00453176"/>
    <w:pPr>
      <w:spacing w:before="40" w:line="259" w:lineRule="auto"/>
      <w:ind w:left="1134" w:right="567" w:hanging="1134"/>
    </w:pPr>
    <w:rPr>
      <w:rFonts w:ascii="Calibri Light" w:eastAsia="Times New Roman" w:hAnsi="Calibri Light"/>
      <w:szCs w:val="22"/>
      <w:lang w:eastAsia="ja-JP"/>
    </w:rPr>
  </w:style>
  <w:style w:type="paragraph" w:customStyle="1" w:styleId="031Tablesubheading8pt">
    <w:name w:val="03.1 Table subheading [8pt]"/>
    <w:qFormat/>
    <w:rsid w:val="004357F8"/>
    <w:pPr>
      <w:keepNext/>
      <w:spacing w:before="40" w:after="40" w:line="259" w:lineRule="auto"/>
    </w:pPr>
    <w:rPr>
      <w:rFonts w:eastAsia="Times New Roman"/>
      <w:b/>
      <w:sz w:val="16"/>
      <w:szCs w:val="22"/>
      <w:lang w:eastAsia="ja-JP"/>
    </w:rPr>
  </w:style>
  <w:style w:type="paragraph" w:styleId="Title">
    <w:name w:val="Title"/>
    <w:next w:val="Titlelarge"/>
    <w:link w:val="TitleChar"/>
    <w:uiPriority w:val="10"/>
    <w:qFormat/>
    <w:rsid w:val="004D5E17"/>
    <w:pPr>
      <w:spacing w:before="5520" w:after="160"/>
    </w:pPr>
    <w:rPr>
      <w:rFonts w:eastAsia="Times New Roman"/>
      <w:b/>
      <w:sz w:val="40"/>
      <w:szCs w:val="56"/>
      <w:lang w:eastAsia="ja-JP"/>
    </w:rPr>
  </w:style>
  <w:style w:type="character" w:customStyle="1" w:styleId="TitleChar">
    <w:name w:val="Title Char"/>
    <w:link w:val="Title"/>
    <w:uiPriority w:val="10"/>
    <w:rsid w:val="004D5E17"/>
    <w:rPr>
      <w:rFonts w:eastAsia="Times New Roman"/>
      <w:b/>
      <w:sz w:val="40"/>
      <w:szCs w:val="56"/>
      <w:lang w:eastAsia="ja-JP"/>
    </w:rPr>
  </w:style>
  <w:style w:type="paragraph" w:customStyle="1" w:styleId="Titlelarge">
    <w:name w:val="Title large"/>
    <w:qFormat/>
    <w:rsid w:val="004D5E17"/>
    <w:pPr>
      <w:spacing w:before="600" w:after="160"/>
    </w:pPr>
    <w:rPr>
      <w:rFonts w:eastAsia="Times New Roman" w:cs="Calibri Light"/>
      <w:b/>
      <w:sz w:val="56"/>
      <w:szCs w:val="96"/>
      <w:lang w:eastAsia="ja-JP"/>
    </w:rPr>
  </w:style>
  <w:style w:type="paragraph" w:styleId="TOC1">
    <w:name w:val="toc 1"/>
    <w:next w:val="TOC2"/>
    <w:autoRedefine/>
    <w:uiPriority w:val="39"/>
    <w:unhideWhenUsed/>
    <w:rsid w:val="00B615AC"/>
    <w:pPr>
      <w:tabs>
        <w:tab w:val="right" w:leader="dot" w:pos="9628"/>
      </w:tabs>
      <w:spacing w:before="240" w:after="60" w:line="259" w:lineRule="auto"/>
      <w:ind w:left="680" w:hanging="680"/>
    </w:pPr>
    <w:rPr>
      <w:rFonts w:eastAsia="Times New Roman"/>
      <w:b/>
      <w:sz w:val="22"/>
      <w:szCs w:val="22"/>
      <w:lang w:eastAsia="ja-JP"/>
    </w:rPr>
  </w:style>
  <w:style w:type="paragraph" w:styleId="TOC2">
    <w:name w:val="toc 2"/>
    <w:next w:val="TOC3"/>
    <w:autoRedefine/>
    <w:uiPriority w:val="39"/>
    <w:unhideWhenUsed/>
    <w:rsid w:val="009B5DB0"/>
    <w:pPr>
      <w:tabs>
        <w:tab w:val="right" w:leader="dot" w:pos="9628"/>
      </w:tabs>
      <w:spacing w:line="259" w:lineRule="auto"/>
      <w:ind w:left="680" w:right="567" w:hanging="680"/>
    </w:pPr>
    <w:rPr>
      <w:rFonts w:eastAsia="Times New Roman"/>
      <w:noProof/>
      <w:sz w:val="22"/>
      <w:szCs w:val="22"/>
      <w:lang w:eastAsia="ja-JP"/>
    </w:rPr>
  </w:style>
  <w:style w:type="paragraph" w:styleId="TOC3">
    <w:name w:val="toc 3"/>
    <w:basedOn w:val="Normal"/>
    <w:next w:val="Normal"/>
    <w:autoRedefine/>
    <w:uiPriority w:val="39"/>
    <w:unhideWhenUsed/>
    <w:rsid w:val="00045B5B"/>
    <w:pPr>
      <w:tabs>
        <w:tab w:val="left" w:pos="851"/>
        <w:tab w:val="right" w:leader="dot" w:pos="9628"/>
      </w:tabs>
      <w:spacing w:after="0"/>
      <w:ind w:left="1360" w:hanging="680"/>
    </w:pPr>
  </w:style>
  <w:style w:type="paragraph" w:styleId="TOC4">
    <w:name w:val="toc 4"/>
    <w:basedOn w:val="Normal"/>
    <w:next w:val="Normal"/>
    <w:autoRedefine/>
    <w:uiPriority w:val="39"/>
    <w:unhideWhenUsed/>
    <w:rsid w:val="007310E5"/>
    <w:pPr>
      <w:spacing w:after="100"/>
      <w:ind w:left="660"/>
    </w:pPr>
  </w:style>
  <w:style w:type="paragraph" w:styleId="TOCHeading">
    <w:name w:val="TOC Heading"/>
    <w:uiPriority w:val="39"/>
    <w:unhideWhenUsed/>
    <w:qFormat/>
    <w:rsid w:val="007310E5"/>
    <w:pPr>
      <w:spacing w:after="160" w:line="259" w:lineRule="auto"/>
    </w:pPr>
    <w:rPr>
      <w:rFonts w:ascii="Calibri Light" w:eastAsia="Times New Roman" w:hAnsi="Calibri Light"/>
      <w:b/>
      <w:bCs/>
      <w:smallCaps/>
      <w:sz w:val="36"/>
      <w:szCs w:val="36"/>
      <w:lang w:val="en-US" w:eastAsia="ja-JP"/>
    </w:rPr>
  </w:style>
  <w:style w:type="table" w:customStyle="1" w:styleId="TableGrid1">
    <w:name w:val="Table Grid1"/>
    <w:basedOn w:val="TableNormal"/>
    <w:next w:val="TableGrid"/>
    <w:uiPriority w:val="39"/>
    <w:rsid w:val="00822A78"/>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blStylePr>
  </w:style>
  <w:style w:type="paragraph" w:customStyle="1" w:styleId="Boxeditalictext">
    <w:name w:val="Boxed italic text"/>
    <w:qFormat/>
    <w:rsid w:val="00453176"/>
    <w:pPr>
      <w:pBdr>
        <w:top w:val="single" w:sz="4" w:space="6" w:color="auto"/>
        <w:left w:val="single" w:sz="4" w:space="10" w:color="auto"/>
        <w:bottom w:val="single" w:sz="4" w:space="6" w:color="auto"/>
        <w:right w:val="single" w:sz="4" w:space="10" w:color="auto"/>
      </w:pBdr>
      <w:spacing w:before="240" w:after="160" w:line="259" w:lineRule="auto"/>
      <w:ind w:left="227" w:right="227"/>
    </w:pPr>
    <w:rPr>
      <w:rFonts w:eastAsia="Times New Roman"/>
      <w:i/>
      <w:sz w:val="22"/>
      <w:szCs w:val="22"/>
      <w:lang w:eastAsia="ja-JP"/>
    </w:rPr>
  </w:style>
  <w:style w:type="paragraph" w:customStyle="1" w:styleId="041Tabletext008pt">
    <w:name w:val="04.1 Table text 0:0 [8pt]"/>
    <w:qFormat/>
    <w:rsid w:val="005D71A4"/>
    <w:pPr>
      <w:spacing w:line="259" w:lineRule="auto"/>
    </w:pPr>
    <w:rPr>
      <w:rFonts w:eastAsia="Times New Roman"/>
      <w:sz w:val="18"/>
      <w:szCs w:val="22"/>
      <w:lang w:eastAsia="ja-JP"/>
    </w:rPr>
  </w:style>
  <w:style w:type="paragraph" w:customStyle="1" w:styleId="091TableRightAligned008pt">
    <w:name w:val="09.1 Table Right Aligned 0:0 [8pt]"/>
    <w:basedOn w:val="081TableRightAligned228pt"/>
    <w:qFormat/>
    <w:rsid w:val="004357F8"/>
    <w:pPr>
      <w:spacing w:before="0" w:after="0" w:line="240" w:lineRule="auto"/>
    </w:pPr>
  </w:style>
  <w:style w:type="paragraph" w:customStyle="1" w:styleId="061Tabletext628pt">
    <w:name w:val="06.1 Table text 6:2 [8pt]"/>
    <w:qFormat/>
    <w:rsid w:val="004357F8"/>
    <w:pPr>
      <w:spacing w:before="120" w:after="40"/>
    </w:pPr>
    <w:rPr>
      <w:rFonts w:eastAsia="Times New Roman"/>
      <w:sz w:val="16"/>
      <w:szCs w:val="22"/>
      <w:lang w:eastAsia="ja-JP"/>
    </w:rPr>
  </w:style>
  <w:style w:type="table" w:customStyle="1" w:styleId="TableGrid3">
    <w:name w:val="Table Grid3"/>
    <w:basedOn w:val="TableNormal"/>
    <w:uiPriority w:val="39"/>
    <w:rsid w:val="00D56861"/>
    <w:rPr>
      <w:rFonts w:eastAsia="Times New Roman"/>
      <w:lang w:eastAsia="ja-JP"/>
    </w:rPr>
    <w:tblPr>
      <w:tblBorders>
        <w:top w:val="single" w:sz="4" w:space="0" w:color="auto"/>
        <w:bottom w:val="single" w:sz="4" w:space="0" w:color="auto"/>
        <w:insideH w:val="single" w:sz="4" w:space="0" w:color="auto"/>
      </w:tblBorders>
    </w:tblPr>
    <w:trPr>
      <w:cantSplit/>
    </w:trPr>
    <w:tblStylePr w:type="firstRow">
      <w:tblPr/>
      <w:tcPr>
        <w:shd w:val="clear" w:color="auto" w:fill="BFBFBF"/>
      </w:tcPr>
    </w:tblStylePr>
  </w:style>
  <w:style w:type="paragraph" w:customStyle="1" w:styleId="ExecSumHeading2">
    <w:name w:val="Exec Sum Heading 2"/>
    <w:next w:val="BodyText"/>
    <w:qFormat/>
    <w:rsid w:val="008C3478"/>
    <w:pPr>
      <w:keepNext/>
      <w:spacing w:before="360" w:after="120" w:line="216" w:lineRule="auto"/>
      <w:outlineLvl w:val="1"/>
    </w:pPr>
    <w:rPr>
      <w:rFonts w:asciiTheme="majorHAnsi" w:eastAsia="Times New Roman" w:hAnsiTheme="majorHAnsi" w:cstheme="majorHAnsi"/>
      <w:b/>
      <w:sz w:val="32"/>
      <w:szCs w:val="44"/>
      <w:lang w:eastAsia="ja-JP"/>
    </w:rPr>
  </w:style>
  <w:style w:type="paragraph" w:customStyle="1" w:styleId="ExecSumHeading3">
    <w:name w:val="Exec Sum Heading 3"/>
    <w:next w:val="BodyText"/>
    <w:qFormat/>
    <w:rsid w:val="008C3478"/>
    <w:pPr>
      <w:keepNext/>
      <w:spacing w:before="240" w:line="216" w:lineRule="auto"/>
    </w:pPr>
    <w:rPr>
      <w:rFonts w:asciiTheme="majorHAnsi" w:eastAsia="Times New Roman" w:hAnsiTheme="majorHAnsi" w:cstheme="majorHAnsi"/>
      <w:b/>
      <w:sz w:val="24"/>
      <w:szCs w:val="44"/>
      <w:lang w:eastAsia="ja-JP"/>
    </w:rPr>
  </w:style>
  <w:style w:type="character" w:customStyle="1" w:styleId="UnresolvedMention1">
    <w:name w:val="Unresolved Mention1"/>
    <w:uiPriority w:val="99"/>
    <w:semiHidden/>
    <w:unhideWhenUsed/>
    <w:rsid w:val="00D75B80"/>
    <w:rPr>
      <w:color w:val="808080"/>
      <w:shd w:val="clear" w:color="auto" w:fill="E6E6E6"/>
    </w:rPr>
  </w:style>
  <w:style w:type="paragraph" w:customStyle="1" w:styleId="References">
    <w:name w:val="References"/>
    <w:qFormat/>
    <w:rsid w:val="00A53428"/>
    <w:pPr>
      <w:autoSpaceDE w:val="0"/>
      <w:autoSpaceDN w:val="0"/>
      <w:adjustRightInd w:val="0"/>
      <w:spacing w:before="40"/>
      <w:ind w:left="454" w:hanging="454"/>
    </w:pPr>
    <w:rPr>
      <w:rFonts w:cs="Calibri"/>
      <w:sz w:val="18"/>
      <w:szCs w:val="18"/>
      <w:lang w:eastAsia="en-US"/>
    </w:rPr>
  </w:style>
  <w:style w:type="paragraph" w:styleId="Revision">
    <w:name w:val="Revision"/>
    <w:hidden/>
    <w:uiPriority w:val="99"/>
    <w:semiHidden/>
    <w:rsid w:val="00FA7ABC"/>
    <w:rPr>
      <w:rFonts w:eastAsia="Times New Roman"/>
      <w:sz w:val="22"/>
      <w:szCs w:val="22"/>
      <w:lang w:eastAsia="ja-JP"/>
    </w:rPr>
  </w:style>
  <w:style w:type="character" w:styleId="UnresolvedMention">
    <w:name w:val="Unresolved Mention"/>
    <w:uiPriority w:val="99"/>
    <w:semiHidden/>
    <w:unhideWhenUsed/>
    <w:rsid w:val="000878C3"/>
    <w:rPr>
      <w:color w:val="808080"/>
      <w:shd w:val="clear" w:color="auto" w:fill="E6E6E6"/>
    </w:rPr>
  </w:style>
  <w:style w:type="table" w:styleId="TableGridLight">
    <w:name w:val="Grid Table Light"/>
    <w:basedOn w:val="TableNormal"/>
    <w:uiPriority w:val="40"/>
    <w:rsid w:val="00D04DD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5">
    <w:name w:val="toc 5"/>
    <w:basedOn w:val="Normal"/>
    <w:next w:val="Normal"/>
    <w:autoRedefine/>
    <w:uiPriority w:val="39"/>
    <w:unhideWhenUsed/>
    <w:rsid w:val="00D04DDB"/>
    <w:pPr>
      <w:tabs>
        <w:tab w:val="left" w:pos="1540"/>
        <w:tab w:val="left" w:pos="2041"/>
        <w:tab w:val="right" w:leader="dot" w:pos="9628"/>
      </w:tabs>
      <w:spacing w:after="0"/>
      <w:ind w:left="1815" w:hanging="454"/>
    </w:pPr>
  </w:style>
  <w:style w:type="paragraph" w:customStyle="1" w:styleId="011TableHeading10pt">
    <w:name w:val="01.1 Table Heading [10pt]"/>
    <w:qFormat/>
    <w:rsid w:val="00876762"/>
    <w:pPr>
      <w:spacing w:before="120" w:after="120" w:line="259" w:lineRule="auto"/>
    </w:pPr>
    <w:rPr>
      <w:rFonts w:eastAsia="Times New Roman"/>
      <w:b/>
      <w:szCs w:val="22"/>
      <w:lang w:eastAsia="ja-JP"/>
    </w:rPr>
  </w:style>
  <w:style w:type="paragraph" w:customStyle="1" w:styleId="051Tabletext2210pt">
    <w:name w:val="05.1 Table text 2:2 [10pt]"/>
    <w:link w:val="051Tabletext2210ptChar"/>
    <w:qFormat/>
    <w:rsid w:val="00876762"/>
    <w:pPr>
      <w:spacing w:before="40" w:after="40"/>
    </w:pPr>
    <w:rPr>
      <w:rFonts w:eastAsia="Times New Roman"/>
      <w:szCs w:val="22"/>
      <w:lang w:eastAsia="ja-JP"/>
    </w:rPr>
  </w:style>
  <w:style w:type="character" w:customStyle="1" w:styleId="051Tabletext2210ptChar">
    <w:name w:val="05.1 Table text 2:2 [10pt] Char"/>
    <w:link w:val="051Tabletext2210pt"/>
    <w:rsid w:val="00876762"/>
    <w:rPr>
      <w:rFonts w:eastAsia="Times New Roman"/>
      <w:szCs w:val="22"/>
      <w:lang w:eastAsia="ja-JP"/>
    </w:rPr>
  </w:style>
  <w:style w:type="paragraph" w:styleId="CommentText">
    <w:name w:val="annotation text"/>
    <w:basedOn w:val="Normal"/>
    <w:link w:val="CommentTextChar"/>
    <w:uiPriority w:val="99"/>
    <w:unhideWhenUsed/>
    <w:rsid w:val="000E4849"/>
    <w:pPr>
      <w:spacing w:line="240" w:lineRule="auto"/>
    </w:pPr>
    <w:rPr>
      <w:sz w:val="20"/>
      <w:szCs w:val="20"/>
    </w:rPr>
  </w:style>
  <w:style w:type="character" w:customStyle="1" w:styleId="CommentTextChar">
    <w:name w:val="Comment Text Char"/>
    <w:basedOn w:val="DefaultParagraphFont"/>
    <w:link w:val="CommentText"/>
    <w:uiPriority w:val="99"/>
    <w:rsid w:val="000E4849"/>
    <w:rPr>
      <w:rFonts w:eastAsia="Times New Roman"/>
      <w:lang w:eastAsia="ja-JP"/>
    </w:rPr>
  </w:style>
  <w:style w:type="paragraph" w:styleId="ListParagraph">
    <w:name w:val="List Paragraph"/>
    <w:basedOn w:val="Normal"/>
    <w:uiPriority w:val="34"/>
    <w:rsid w:val="00C7241A"/>
    <w:pPr>
      <w:spacing w:after="0" w:line="240" w:lineRule="auto"/>
      <w:ind w:left="720"/>
      <w:contextualSpacing/>
    </w:pPr>
    <w:rPr>
      <w:rFonts w:ascii="Arial" w:hAnsi="Arial"/>
      <w:sz w:val="21"/>
      <w:szCs w:val="24"/>
      <w:lang w:eastAsia="en-US"/>
    </w:rPr>
  </w:style>
  <w:style w:type="paragraph" w:customStyle="1" w:styleId="Heading2Orange">
    <w:name w:val="Heading 2 Orange"/>
    <w:basedOn w:val="Heading2"/>
    <w:rsid w:val="00C7241A"/>
    <w:pPr>
      <w:keepLines w:val="0"/>
      <w:tabs>
        <w:tab w:val="clear" w:pos="851"/>
      </w:tabs>
      <w:spacing w:before="240" w:after="60" w:line="240" w:lineRule="auto"/>
    </w:pPr>
    <w:rPr>
      <w:rFonts w:ascii="Arial" w:hAnsi="Arial" w:cs="Arial"/>
      <w:b w:val="0"/>
      <w:iCs/>
      <w:color w:val="D72F0D"/>
      <w:sz w:val="32"/>
      <w:lang w:eastAsia="en-US"/>
    </w:rPr>
  </w:style>
  <w:style w:type="paragraph" w:customStyle="1" w:styleId="071Tablebullet10pt">
    <w:name w:val="07.1 Table bullet [10pt]"/>
    <w:qFormat/>
    <w:rsid w:val="0071182D"/>
    <w:pPr>
      <w:spacing w:before="40" w:after="40" w:line="259" w:lineRule="auto"/>
      <w:ind w:left="360" w:hanging="360"/>
    </w:pPr>
    <w:rPr>
      <w:rFonts w:eastAsia="Times New Roman"/>
      <w:szCs w:val="22"/>
      <w:lang w:eastAsia="ja-JP"/>
    </w:rPr>
  </w:style>
  <w:style w:type="paragraph" w:customStyle="1" w:styleId="111Tablefootnoteslast-nostick10pt">
    <w:name w:val="11.1 Table footnotes last - no stick [10pt]"/>
    <w:next w:val="BodyText"/>
    <w:qFormat/>
    <w:rsid w:val="0071182D"/>
    <w:pPr>
      <w:spacing w:after="360" w:line="259" w:lineRule="auto"/>
    </w:pPr>
    <w:rPr>
      <w:rFonts w:eastAsia="Times New Roman"/>
      <w:szCs w:val="22"/>
      <w:lang w:val="en-US" w:eastAsia="ja-JP"/>
    </w:rPr>
  </w:style>
  <w:style w:type="paragraph" w:customStyle="1" w:styleId="01TableHeading">
    <w:name w:val="01. Table Heading"/>
    <w:qFormat/>
    <w:rsid w:val="0071182D"/>
    <w:pPr>
      <w:spacing w:before="80" w:after="40" w:line="259" w:lineRule="auto"/>
    </w:pPr>
    <w:rPr>
      <w:rFonts w:eastAsia="Times New Roman"/>
      <w:b/>
      <w:sz w:val="16"/>
      <w:szCs w:val="22"/>
      <w:lang w:val="en-US" w:eastAsia="ja-JP"/>
    </w:rPr>
  </w:style>
  <w:style w:type="paragraph" w:customStyle="1" w:styleId="05Tabletext22">
    <w:name w:val="05. Table text 2:2"/>
    <w:link w:val="05Tabletext22Char"/>
    <w:qFormat/>
    <w:rsid w:val="0071182D"/>
    <w:pPr>
      <w:spacing w:before="40" w:after="40"/>
    </w:pPr>
    <w:rPr>
      <w:rFonts w:eastAsia="Times New Roman"/>
      <w:sz w:val="16"/>
      <w:szCs w:val="22"/>
      <w:lang w:val="en-US" w:eastAsia="ja-JP"/>
    </w:rPr>
  </w:style>
  <w:style w:type="character" w:customStyle="1" w:styleId="05Tabletext22Char">
    <w:name w:val="05. Table text 2:2 Char"/>
    <w:link w:val="05Tabletext22"/>
    <w:rsid w:val="0071182D"/>
    <w:rPr>
      <w:rFonts w:eastAsia="Times New Roman"/>
      <w:sz w:val="16"/>
      <w:szCs w:val="22"/>
      <w:lang w:val="en-US" w:eastAsia="ja-JP"/>
    </w:rPr>
  </w:style>
  <w:style w:type="paragraph" w:customStyle="1" w:styleId="07Tablebullet">
    <w:name w:val="07. Table bullet"/>
    <w:qFormat/>
    <w:rsid w:val="0071182D"/>
    <w:pPr>
      <w:spacing w:before="40" w:after="40" w:line="259" w:lineRule="auto"/>
      <w:ind w:left="360" w:hanging="360"/>
    </w:pPr>
    <w:rPr>
      <w:rFonts w:eastAsia="Times New Roman"/>
      <w:sz w:val="16"/>
      <w:szCs w:val="22"/>
      <w:lang w:val="en-US" w:eastAsia="ja-JP"/>
    </w:rPr>
  </w:style>
  <w:style w:type="paragraph" w:customStyle="1" w:styleId="031Tablesubheading10pt">
    <w:name w:val="03.1 Table subheading [10pt]"/>
    <w:qFormat/>
    <w:rsid w:val="00B93BE2"/>
    <w:pPr>
      <w:keepNext/>
      <w:spacing w:before="40" w:after="40" w:line="259" w:lineRule="auto"/>
    </w:pPr>
    <w:rPr>
      <w:rFonts w:eastAsia="Times New Roman"/>
      <w:b/>
      <w:szCs w:val="22"/>
      <w:lang w:eastAsia="ja-JP"/>
    </w:rPr>
  </w:style>
  <w:style w:type="paragraph" w:customStyle="1" w:styleId="EndNoteBibliographyTitle">
    <w:name w:val="EndNote Bibliography Title"/>
    <w:basedOn w:val="Normal"/>
    <w:link w:val="EndNoteBibliographyTitleChar"/>
    <w:rsid w:val="006B669B"/>
    <w:pPr>
      <w:spacing w:after="0"/>
      <w:jc w:val="center"/>
    </w:pPr>
    <w:rPr>
      <w:rFonts w:cs="Calibri"/>
      <w:noProof/>
      <w:sz w:val="16"/>
    </w:rPr>
  </w:style>
  <w:style w:type="character" w:customStyle="1" w:styleId="EndNoteBibliographyTitleChar">
    <w:name w:val="EndNote Bibliography Title Char"/>
    <w:basedOn w:val="BodyTextChar"/>
    <w:link w:val="EndNoteBibliographyTitle"/>
    <w:rsid w:val="006B669B"/>
    <w:rPr>
      <w:rFonts w:eastAsia="Times New Roman" w:cs="Calibri"/>
      <w:noProof/>
      <w:sz w:val="16"/>
      <w:szCs w:val="22"/>
      <w:lang w:val="en-AU" w:eastAsia="ja-JP"/>
    </w:rPr>
  </w:style>
  <w:style w:type="paragraph" w:customStyle="1" w:styleId="EndNoteBibliography">
    <w:name w:val="EndNote Bibliography"/>
    <w:basedOn w:val="Normal"/>
    <w:link w:val="EndNoteBibliographyChar"/>
    <w:rsid w:val="006B669B"/>
    <w:pPr>
      <w:spacing w:line="240" w:lineRule="auto"/>
    </w:pPr>
    <w:rPr>
      <w:rFonts w:cs="Calibri"/>
      <w:noProof/>
      <w:sz w:val="16"/>
    </w:rPr>
  </w:style>
  <w:style w:type="character" w:customStyle="1" w:styleId="EndNoteBibliographyChar">
    <w:name w:val="EndNote Bibliography Char"/>
    <w:basedOn w:val="BodyTextChar"/>
    <w:link w:val="EndNoteBibliography"/>
    <w:rsid w:val="006B669B"/>
    <w:rPr>
      <w:rFonts w:eastAsia="Times New Roman" w:cs="Calibri"/>
      <w:noProof/>
      <w:sz w:val="16"/>
      <w:szCs w:val="22"/>
      <w:lang w:val="en-AU" w:eastAsia="ja-JP"/>
    </w:rPr>
  </w:style>
  <w:style w:type="character" w:styleId="Mention">
    <w:name w:val="Mention"/>
    <w:basedOn w:val="DefaultParagraphFont"/>
    <w:uiPriority w:val="99"/>
    <w:unhideWhenUsed/>
    <w:rsid w:val="005C64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633">
      <w:bodyDiv w:val="1"/>
      <w:marLeft w:val="0"/>
      <w:marRight w:val="0"/>
      <w:marTop w:val="0"/>
      <w:marBottom w:val="0"/>
      <w:divBdr>
        <w:top w:val="none" w:sz="0" w:space="0" w:color="auto"/>
        <w:left w:val="none" w:sz="0" w:space="0" w:color="auto"/>
        <w:bottom w:val="none" w:sz="0" w:space="0" w:color="auto"/>
        <w:right w:val="none" w:sz="0" w:space="0" w:color="auto"/>
      </w:divBdr>
    </w:div>
    <w:div w:id="153301142">
      <w:bodyDiv w:val="1"/>
      <w:marLeft w:val="0"/>
      <w:marRight w:val="0"/>
      <w:marTop w:val="0"/>
      <w:marBottom w:val="0"/>
      <w:divBdr>
        <w:top w:val="none" w:sz="0" w:space="0" w:color="auto"/>
        <w:left w:val="none" w:sz="0" w:space="0" w:color="auto"/>
        <w:bottom w:val="none" w:sz="0" w:space="0" w:color="auto"/>
        <w:right w:val="none" w:sz="0" w:space="0" w:color="auto"/>
      </w:divBdr>
    </w:div>
    <w:div w:id="209390264">
      <w:bodyDiv w:val="1"/>
      <w:marLeft w:val="0"/>
      <w:marRight w:val="0"/>
      <w:marTop w:val="0"/>
      <w:marBottom w:val="0"/>
      <w:divBdr>
        <w:top w:val="none" w:sz="0" w:space="0" w:color="auto"/>
        <w:left w:val="none" w:sz="0" w:space="0" w:color="auto"/>
        <w:bottom w:val="none" w:sz="0" w:space="0" w:color="auto"/>
        <w:right w:val="none" w:sz="0" w:space="0" w:color="auto"/>
      </w:divBdr>
    </w:div>
    <w:div w:id="226914601">
      <w:bodyDiv w:val="1"/>
      <w:marLeft w:val="0"/>
      <w:marRight w:val="0"/>
      <w:marTop w:val="0"/>
      <w:marBottom w:val="0"/>
      <w:divBdr>
        <w:top w:val="none" w:sz="0" w:space="0" w:color="auto"/>
        <w:left w:val="none" w:sz="0" w:space="0" w:color="auto"/>
        <w:bottom w:val="none" w:sz="0" w:space="0" w:color="auto"/>
        <w:right w:val="none" w:sz="0" w:space="0" w:color="auto"/>
      </w:divBdr>
    </w:div>
    <w:div w:id="258099542">
      <w:bodyDiv w:val="1"/>
      <w:marLeft w:val="0"/>
      <w:marRight w:val="0"/>
      <w:marTop w:val="0"/>
      <w:marBottom w:val="0"/>
      <w:divBdr>
        <w:top w:val="none" w:sz="0" w:space="0" w:color="auto"/>
        <w:left w:val="none" w:sz="0" w:space="0" w:color="auto"/>
        <w:bottom w:val="none" w:sz="0" w:space="0" w:color="auto"/>
        <w:right w:val="none" w:sz="0" w:space="0" w:color="auto"/>
      </w:divBdr>
    </w:div>
    <w:div w:id="264699908">
      <w:bodyDiv w:val="1"/>
      <w:marLeft w:val="0"/>
      <w:marRight w:val="0"/>
      <w:marTop w:val="0"/>
      <w:marBottom w:val="0"/>
      <w:divBdr>
        <w:top w:val="none" w:sz="0" w:space="0" w:color="auto"/>
        <w:left w:val="none" w:sz="0" w:space="0" w:color="auto"/>
        <w:bottom w:val="none" w:sz="0" w:space="0" w:color="auto"/>
        <w:right w:val="none" w:sz="0" w:space="0" w:color="auto"/>
      </w:divBdr>
    </w:div>
    <w:div w:id="320738849">
      <w:bodyDiv w:val="1"/>
      <w:marLeft w:val="0"/>
      <w:marRight w:val="0"/>
      <w:marTop w:val="0"/>
      <w:marBottom w:val="0"/>
      <w:divBdr>
        <w:top w:val="none" w:sz="0" w:space="0" w:color="auto"/>
        <w:left w:val="none" w:sz="0" w:space="0" w:color="auto"/>
        <w:bottom w:val="none" w:sz="0" w:space="0" w:color="auto"/>
        <w:right w:val="none" w:sz="0" w:space="0" w:color="auto"/>
      </w:divBdr>
    </w:div>
    <w:div w:id="416100392">
      <w:bodyDiv w:val="1"/>
      <w:marLeft w:val="0"/>
      <w:marRight w:val="0"/>
      <w:marTop w:val="0"/>
      <w:marBottom w:val="0"/>
      <w:divBdr>
        <w:top w:val="none" w:sz="0" w:space="0" w:color="auto"/>
        <w:left w:val="none" w:sz="0" w:space="0" w:color="auto"/>
        <w:bottom w:val="none" w:sz="0" w:space="0" w:color="auto"/>
        <w:right w:val="none" w:sz="0" w:space="0" w:color="auto"/>
      </w:divBdr>
    </w:div>
    <w:div w:id="551772739">
      <w:bodyDiv w:val="1"/>
      <w:marLeft w:val="0"/>
      <w:marRight w:val="0"/>
      <w:marTop w:val="0"/>
      <w:marBottom w:val="0"/>
      <w:divBdr>
        <w:top w:val="none" w:sz="0" w:space="0" w:color="auto"/>
        <w:left w:val="none" w:sz="0" w:space="0" w:color="auto"/>
        <w:bottom w:val="none" w:sz="0" w:space="0" w:color="auto"/>
        <w:right w:val="none" w:sz="0" w:space="0" w:color="auto"/>
      </w:divBdr>
    </w:div>
    <w:div w:id="599021335">
      <w:bodyDiv w:val="1"/>
      <w:marLeft w:val="0"/>
      <w:marRight w:val="0"/>
      <w:marTop w:val="0"/>
      <w:marBottom w:val="0"/>
      <w:divBdr>
        <w:top w:val="none" w:sz="0" w:space="0" w:color="auto"/>
        <w:left w:val="none" w:sz="0" w:space="0" w:color="auto"/>
        <w:bottom w:val="none" w:sz="0" w:space="0" w:color="auto"/>
        <w:right w:val="none" w:sz="0" w:space="0" w:color="auto"/>
      </w:divBdr>
    </w:div>
    <w:div w:id="665594959">
      <w:bodyDiv w:val="1"/>
      <w:marLeft w:val="0"/>
      <w:marRight w:val="0"/>
      <w:marTop w:val="0"/>
      <w:marBottom w:val="0"/>
      <w:divBdr>
        <w:top w:val="none" w:sz="0" w:space="0" w:color="auto"/>
        <w:left w:val="none" w:sz="0" w:space="0" w:color="auto"/>
        <w:bottom w:val="none" w:sz="0" w:space="0" w:color="auto"/>
        <w:right w:val="none" w:sz="0" w:space="0" w:color="auto"/>
      </w:divBdr>
    </w:div>
    <w:div w:id="794910894">
      <w:bodyDiv w:val="1"/>
      <w:marLeft w:val="0"/>
      <w:marRight w:val="0"/>
      <w:marTop w:val="0"/>
      <w:marBottom w:val="0"/>
      <w:divBdr>
        <w:top w:val="none" w:sz="0" w:space="0" w:color="auto"/>
        <w:left w:val="none" w:sz="0" w:space="0" w:color="auto"/>
        <w:bottom w:val="none" w:sz="0" w:space="0" w:color="auto"/>
        <w:right w:val="none" w:sz="0" w:space="0" w:color="auto"/>
      </w:divBdr>
    </w:div>
    <w:div w:id="802193033">
      <w:bodyDiv w:val="1"/>
      <w:marLeft w:val="0"/>
      <w:marRight w:val="0"/>
      <w:marTop w:val="0"/>
      <w:marBottom w:val="0"/>
      <w:divBdr>
        <w:top w:val="none" w:sz="0" w:space="0" w:color="auto"/>
        <w:left w:val="none" w:sz="0" w:space="0" w:color="auto"/>
        <w:bottom w:val="none" w:sz="0" w:space="0" w:color="auto"/>
        <w:right w:val="none" w:sz="0" w:space="0" w:color="auto"/>
      </w:divBdr>
    </w:div>
    <w:div w:id="851068980">
      <w:bodyDiv w:val="1"/>
      <w:marLeft w:val="0"/>
      <w:marRight w:val="0"/>
      <w:marTop w:val="0"/>
      <w:marBottom w:val="0"/>
      <w:divBdr>
        <w:top w:val="none" w:sz="0" w:space="0" w:color="auto"/>
        <w:left w:val="none" w:sz="0" w:space="0" w:color="auto"/>
        <w:bottom w:val="none" w:sz="0" w:space="0" w:color="auto"/>
        <w:right w:val="none" w:sz="0" w:space="0" w:color="auto"/>
      </w:divBdr>
    </w:div>
    <w:div w:id="858668060">
      <w:bodyDiv w:val="1"/>
      <w:marLeft w:val="0"/>
      <w:marRight w:val="0"/>
      <w:marTop w:val="0"/>
      <w:marBottom w:val="0"/>
      <w:divBdr>
        <w:top w:val="none" w:sz="0" w:space="0" w:color="auto"/>
        <w:left w:val="none" w:sz="0" w:space="0" w:color="auto"/>
        <w:bottom w:val="none" w:sz="0" w:space="0" w:color="auto"/>
        <w:right w:val="none" w:sz="0" w:space="0" w:color="auto"/>
      </w:divBdr>
    </w:div>
    <w:div w:id="875506452">
      <w:bodyDiv w:val="1"/>
      <w:marLeft w:val="0"/>
      <w:marRight w:val="0"/>
      <w:marTop w:val="0"/>
      <w:marBottom w:val="0"/>
      <w:divBdr>
        <w:top w:val="none" w:sz="0" w:space="0" w:color="auto"/>
        <w:left w:val="none" w:sz="0" w:space="0" w:color="auto"/>
        <w:bottom w:val="none" w:sz="0" w:space="0" w:color="auto"/>
        <w:right w:val="none" w:sz="0" w:space="0" w:color="auto"/>
      </w:divBdr>
    </w:div>
    <w:div w:id="904339343">
      <w:bodyDiv w:val="1"/>
      <w:marLeft w:val="0"/>
      <w:marRight w:val="0"/>
      <w:marTop w:val="0"/>
      <w:marBottom w:val="0"/>
      <w:divBdr>
        <w:top w:val="none" w:sz="0" w:space="0" w:color="auto"/>
        <w:left w:val="none" w:sz="0" w:space="0" w:color="auto"/>
        <w:bottom w:val="none" w:sz="0" w:space="0" w:color="auto"/>
        <w:right w:val="none" w:sz="0" w:space="0" w:color="auto"/>
      </w:divBdr>
    </w:div>
    <w:div w:id="934288735">
      <w:bodyDiv w:val="1"/>
      <w:marLeft w:val="0"/>
      <w:marRight w:val="0"/>
      <w:marTop w:val="0"/>
      <w:marBottom w:val="0"/>
      <w:divBdr>
        <w:top w:val="none" w:sz="0" w:space="0" w:color="auto"/>
        <w:left w:val="none" w:sz="0" w:space="0" w:color="auto"/>
        <w:bottom w:val="none" w:sz="0" w:space="0" w:color="auto"/>
        <w:right w:val="none" w:sz="0" w:space="0" w:color="auto"/>
      </w:divBdr>
    </w:div>
    <w:div w:id="945579347">
      <w:bodyDiv w:val="1"/>
      <w:marLeft w:val="0"/>
      <w:marRight w:val="0"/>
      <w:marTop w:val="0"/>
      <w:marBottom w:val="0"/>
      <w:divBdr>
        <w:top w:val="none" w:sz="0" w:space="0" w:color="auto"/>
        <w:left w:val="none" w:sz="0" w:space="0" w:color="auto"/>
        <w:bottom w:val="none" w:sz="0" w:space="0" w:color="auto"/>
        <w:right w:val="none" w:sz="0" w:space="0" w:color="auto"/>
      </w:divBdr>
    </w:div>
    <w:div w:id="961377694">
      <w:bodyDiv w:val="1"/>
      <w:marLeft w:val="0"/>
      <w:marRight w:val="0"/>
      <w:marTop w:val="0"/>
      <w:marBottom w:val="0"/>
      <w:divBdr>
        <w:top w:val="none" w:sz="0" w:space="0" w:color="auto"/>
        <w:left w:val="none" w:sz="0" w:space="0" w:color="auto"/>
        <w:bottom w:val="none" w:sz="0" w:space="0" w:color="auto"/>
        <w:right w:val="none" w:sz="0" w:space="0" w:color="auto"/>
      </w:divBdr>
    </w:div>
    <w:div w:id="977683506">
      <w:bodyDiv w:val="1"/>
      <w:marLeft w:val="0"/>
      <w:marRight w:val="0"/>
      <w:marTop w:val="0"/>
      <w:marBottom w:val="0"/>
      <w:divBdr>
        <w:top w:val="none" w:sz="0" w:space="0" w:color="auto"/>
        <w:left w:val="none" w:sz="0" w:space="0" w:color="auto"/>
        <w:bottom w:val="none" w:sz="0" w:space="0" w:color="auto"/>
        <w:right w:val="none" w:sz="0" w:space="0" w:color="auto"/>
      </w:divBdr>
    </w:div>
    <w:div w:id="1018432138">
      <w:bodyDiv w:val="1"/>
      <w:marLeft w:val="0"/>
      <w:marRight w:val="0"/>
      <w:marTop w:val="0"/>
      <w:marBottom w:val="0"/>
      <w:divBdr>
        <w:top w:val="none" w:sz="0" w:space="0" w:color="auto"/>
        <w:left w:val="none" w:sz="0" w:space="0" w:color="auto"/>
        <w:bottom w:val="none" w:sz="0" w:space="0" w:color="auto"/>
        <w:right w:val="none" w:sz="0" w:space="0" w:color="auto"/>
      </w:divBdr>
    </w:div>
    <w:div w:id="1105732000">
      <w:bodyDiv w:val="1"/>
      <w:marLeft w:val="0"/>
      <w:marRight w:val="0"/>
      <w:marTop w:val="0"/>
      <w:marBottom w:val="0"/>
      <w:divBdr>
        <w:top w:val="none" w:sz="0" w:space="0" w:color="auto"/>
        <w:left w:val="none" w:sz="0" w:space="0" w:color="auto"/>
        <w:bottom w:val="none" w:sz="0" w:space="0" w:color="auto"/>
        <w:right w:val="none" w:sz="0" w:space="0" w:color="auto"/>
      </w:divBdr>
    </w:div>
    <w:div w:id="1176455829">
      <w:bodyDiv w:val="1"/>
      <w:marLeft w:val="0"/>
      <w:marRight w:val="0"/>
      <w:marTop w:val="0"/>
      <w:marBottom w:val="0"/>
      <w:divBdr>
        <w:top w:val="none" w:sz="0" w:space="0" w:color="auto"/>
        <w:left w:val="none" w:sz="0" w:space="0" w:color="auto"/>
        <w:bottom w:val="none" w:sz="0" w:space="0" w:color="auto"/>
        <w:right w:val="none" w:sz="0" w:space="0" w:color="auto"/>
      </w:divBdr>
    </w:div>
    <w:div w:id="1265459825">
      <w:bodyDiv w:val="1"/>
      <w:marLeft w:val="0"/>
      <w:marRight w:val="0"/>
      <w:marTop w:val="0"/>
      <w:marBottom w:val="0"/>
      <w:divBdr>
        <w:top w:val="none" w:sz="0" w:space="0" w:color="auto"/>
        <w:left w:val="none" w:sz="0" w:space="0" w:color="auto"/>
        <w:bottom w:val="none" w:sz="0" w:space="0" w:color="auto"/>
        <w:right w:val="none" w:sz="0" w:space="0" w:color="auto"/>
      </w:divBdr>
    </w:div>
    <w:div w:id="1466506273">
      <w:bodyDiv w:val="1"/>
      <w:marLeft w:val="0"/>
      <w:marRight w:val="0"/>
      <w:marTop w:val="0"/>
      <w:marBottom w:val="0"/>
      <w:divBdr>
        <w:top w:val="none" w:sz="0" w:space="0" w:color="auto"/>
        <w:left w:val="none" w:sz="0" w:space="0" w:color="auto"/>
        <w:bottom w:val="none" w:sz="0" w:space="0" w:color="auto"/>
        <w:right w:val="none" w:sz="0" w:space="0" w:color="auto"/>
      </w:divBdr>
    </w:div>
    <w:div w:id="1552688336">
      <w:bodyDiv w:val="1"/>
      <w:marLeft w:val="0"/>
      <w:marRight w:val="0"/>
      <w:marTop w:val="0"/>
      <w:marBottom w:val="0"/>
      <w:divBdr>
        <w:top w:val="none" w:sz="0" w:space="0" w:color="auto"/>
        <w:left w:val="none" w:sz="0" w:space="0" w:color="auto"/>
        <w:bottom w:val="none" w:sz="0" w:space="0" w:color="auto"/>
        <w:right w:val="none" w:sz="0" w:space="0" w:color="auto"/>
      </w:divBdr>
    </w:div>
    <w:div w:id="1610161558">
      <w:bodyDiv w:val="1"/>
      <w:marLeft w:val="0"/>
      <w:marRight w:val="0"/>
      <w:marTop w:val="0"/>
      <w:marBottom w:val="0"/>
      <w:divBdr>
        <w:top w:val="none" w:sz="0" w:space="0" w:color="auto"/>
        <w:left w:val="none" w:sz="0" w:space="0" w:color="auto"/>
        <w:bottom w:val="none" w:sz="0" w:space="0" w:color="auto"/>
        <w:right w:val="none" w:sz="0" w:space="0" w:color="auto"/>
      </w:divBdr>
      <w:divsChild>
        <w:div w:id="270209781">
          <w:marLeft w:val="0"/>
          <w:marRight w:val="0"/>
          <w:marTop w:val="0"/>
          <w:marBottom w:val="0"/>
          <w:divBdr>
            <w:top w:val="none" w:sz="0" w:space="0" w:color="auto"/>
            <w:left w:val="none" w:sz="0" w:space="0" w:color="auto"/>
            <w:bottom w:val="none" w:sz="0" w:space="0" w:color="auto"/>
            <w:right w:val="none" w:sz="0" w:space="0" w:color="auto"/>
          </w:divBdr>
        </w:div>
      </w:divsChild>
    </w:div>
    <w:div w:id="1633562249">
      <w:bodyDiv w:val="1"/>
      <w:marLeft w:val="0"/>
      <w:marRight w:val="0"/>
      <w:marTop w:val="0"/>
      <w:marBottom w:val="0"/>
      <w:divBdr>
        <w:top w:val="none" w:sz="0" w:space="0" w:color="auto"/>
        <w:left w:val="none" w:sz="0" w:space="0" w:color="auto"/>
        <w:bottom w:val="none" w:sz="0" w:space="0" w:color="auto"/>
        <w:right w:val="none" w:sz="0" w:space="0" w:color="auto"/>
      </w:divBdr>
    </w:div>
    <w:div w:id="1787775717">
      <w:bodyDiv w:val="1"/>
      <w:marLeft w:val="0"/>
      <w:marRight w:val="0"/>
      <w:marTop w:val="0"/>
      <w:marBottom w:val="0"/>
      <w:divBdr>
        <w:top w:val="none" w:sz="0" w:space="0" w:color="auto"/>
        <w:left w:val="none" w:sz="0" w:space="0" w:color="auto"/>
        <w:bottom w:val="none" w:sz="0" w:space="0" w:color="auto"/>
        <w:right w:val="none" w:sz="0" w:space="0" w:color="auto"/>
      </w:divBdr>
    </w:div>
    <w:div w:id="1791392017">
      <w:bodyDiv w:val="1"/>
      <w:marLeft w:val="0"/>
      <w:marRight w:val="0"/>
      <w:marTop w:val="0"/>
      <w:marBottom w:val="0"/>
      <w:divBdr>
        <w:top w:val="none" w:sz="0" w:space="0" w:color="auto"/>
        <w:left w:val="none" w:sz="0" w:space="0" w:color="auto"/>
        <w:bottom w:val="none" w:sz="0" w:space="0" w:color="auto"/>
        <w:right w:val="none" w:sz="0" w:space="0" w:color="auto"/>
      </w:divBdr>
    </w:div>
    <w:div w:id="1900478489">
      <w:bodyDiv w:val="1"/>
      <w:marLeft w:val="0"/>
      <w:marRight w:val="0"/>
      <w:marTop w:val="0"/>
      <w:marBottom w:val="0"/>
      <w:divBdr>
        <w:top w:val="none" w:sz="0" w:space="0" w:color="auto"/>
        <w:left w:val="none" w:sz="0" w:space="0" w:color="auto"/>
        <w:bottom w:val="none" w:sz="0" w:space="0" w:color="auto"/>
        <w:right w:val="none" w:sz="0" w:space="0" w:color="auto"/>
      </w:divBdr>
    </w:div>
    <w:div w:id="1909069095">
      <w:bodyDiv w:val="1"/>
      <w:marLeft w:val="0"/>
      <w:marRight w:val="0"/>
      <w:marTop w:val="0"/>
      <w:marBottom w:val="0"/>
      <w:divBdr>
        <w:top w:val="none" w:sz="0" w:space="0" w:color="auto"/>
        <w:left w:val="none" w:sz="0" w:space="0" w:color="auto"/>
        <w:bottom w:val="none" w:sz="0" w:space="0" w:color="auto"/>
        <w:right w:val="none" w:sz="0" w:space="0" w:color="auto"/>
      </w:divBdr>
    </w:div>
    <w:div w:id="1921330497">
      <w:bodyDiv w:val="1"/>
      <w:marLeft w:val="0"/>
      <w:marRight w:val="0"/>
      <w:marTop w:val="0"/>
      <w:marBottom w:val="0"/>
      <w:divBdr>
        <w:top w:val="none" w:sz="0" w:space="0" w:color="auto"/>
        <w:left w:val="none" w:sz="0" w:space="0" w:color="auto"/>
        <w:bottom w:val="none" w:sz="0" w:space="0" w:color="auto"/>
        <w:right w:val="none" w:sz="0" w:space="0" w:color="auto"/>
      </w:divBdr>
    </w:div>
    <w:div w:id="20705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ga.gov.au/products/medical-devices/urogynaecological-transvaginal-surgical-mesh-hub" TargetMode="External"/><Relationship Id="rId26" Type="http://schemas.openxmlformats.org/officeDocument/2006/relationships/hyperlink" Target="https://www.safetyandquality.gov.au/publications-and-resources/resource-library/treatment-options-stress-urinary-incontinence-sui" TargetMode="External"/><Relationship Id="rId39" Type="http://schemas.openxmlformats.org/officeDocument/2006/relationships/hyperlink" Target="https://ranzcog.edu.au/wp-content/uploads/2022/05/Position-statement-on-midurethral-slings.pdf" TargetMode="External"/><Relationship Id="rId21" Type="http://schemas.openxmlformats.org/officeDocument/2006/relationships/hyperlink" Target="https://www.bostonscientific.com/content/dam/bostonscientific/uro-wh/portfolio-group/sling-systems/obtryx-II/pdf/WH-118616-AG-obtryx-II-brochure.pdf" TargetMode="External"/><Relationship Id="rId34" Type="http://schemas.openxmlformats.org/officeDocument/2006/relationships/hyperlink" Target="https://www.nice.org.uk/guidance/ng123/resources/surgery-for-stress-urinary-incontinence-patient-decision-aid-pdf-6725286110" TargetMode="External"/><Relationship Id="rId42" Type="http://schemas.openxmlformats.org/officeDocument/2006/relationships/hyperlink" Target="https://usanz.org.au/publicassets/4c939480-9bc7-e811-a2bd-b48cacbd786d/Position%20Statement%20-%20USANZ%20-%20Mesh%20Midurethral%20Slings%20-%202015%20Aug.pdf" TargetMode="External"/><Relationship Id="rId47" Type="http://schemas.openxmlformats.org/officeDocument/2006/relationships/hyperlink" Target="https://doi.org/10.1016/j.ijgo.2005.08.023" TargetMode="External"/><Relationship Id="rId50" Type="http://schemas.openxmlformats.org/officeDocument/2006/relationships/hyperlink" Target="https://doi.org/10.1080/00016340601033584" TargetMode="External"/><Relationship Id="rId55" Type="http://schemas.openxmlformats.org/officeDocument/2006/relationships/hyperlink" Target="https://doi.org/10.1007/s00192-010-1343-6"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resources/publications/prostheses-list-post-listing-review-framework" TargetMode="External"/><Relationship Id="rId20" Type="http://schemas.openxmlformats.org/officeDocument/2006/relationships/hyperlink" Target="https://www.bostonscientific.com/content/dam/bostonscientific/uro-wh/portfolio-group/sling-systems/advantage-fit/pdf/WH-465202-AD-adv-adv-fit-brochure.pdf" TargetMode="External"/><Relationship Id="rId29" Type="http://schemas.openxmlformats.org/officeDocument/2006/relationships/hyperlink" Target="https://www.york.ac.uk/crd/guidance/" TargetMode="External"/><Relationship Id="rId41" Type="http://schemas.openxmlformats.org/officeDocument/2006/relationships/hyperlink" Target="https://www.tga.gov.au/products/medical-devices/urogynaecological-transvaginal-surgical-mesh-hub/background" TargetMode="External"/><Relationship Id="rId54" Type="http://schemas.openxmlformats.org/officeDocument/2006/relationships/hyperlink" Target="https://doi.org/10.1007/s00192-010-1138-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geosurgical.com" TargetMode="External"/><Relationship Id="rId32" Type="http://schemas.openxmlformats.org/officeDocument/2006/relationships/hyperlink" Target="https://www.iuga.org/files/48/Position-Statements/6/Position-Statement-on-Mid-Urethral-Slings-for-SUI.pdf" TargetMode="External"/><Relationship Id="rId37" Type="http://schemas.openxmlformats.org/officeDocument/2006/relationships/hyperlink" Target="https://www.augs.org/assets/1/6/AUGS-SUFU_MUS_Position_Statement.pdf" TargetMode="External"/><Relationship Id="rId40" Type="http://schemas.openxmlformats.org/officeDocument/2006/relationships/hyperlink" Target="https://www.tga.gov.au/news/safety-alerts/tga-actions-after-review-urogynaecological-surgical-mesh-implants" TargetMode="External"/><Relationship Id="rId45" Type="http://schemas.openxmlformats.org/officeDocument/2006/relationships/header" Target="header3.xml"/><Relationship Id="rId53" Type="http://schemas.openxmlformats.org/officeDocument/2006/relationships/hyperlink" Target="https://doi.org/10.1016/j.eururo.2009.02.038" TargetMode="External"/><Relationship Id="rId58" Type="http://schemas.openxmlformats.org/officeDocument/2006/relationships/hyperlink" Target="https://doi.org/10.1016/j.juro.2010.11.064"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shopsps.com" TargetMode="External"/><Relationship Id="rId28" Type="http://schemas.openxmlformats.org/officeDocument/2006/relationships/hyperlink" Target="https://www.auanet.org/about-us/policy-and-position-statements/use-of-vaginal-mesh-for-the-surgical-treatment-of-stress-urinary-incontinence" TargetMode="External"/><Relationship Id="rId36" Type="http://schemas.openxmlformats.org/officeDocument/2006/relationships/hyperlink" Target="http://www.nice.org.uk/guidance/ng123" TargetMode="External"/><Relationship Id="rId49" Type="http://schemas.openxmlformats.org/officeDocument/2006/relationships/hyperlink" Target="https://doi.org/10.1002/nau.10092" TargetMode="External"/><Relationship Id="rId57" Type="http://schemas.openxmlformats.org/officeDocument/2006/relationships/hyperlink" Target="https://doi.org/10.3109/21681805.2013.863802"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tif"/><Relationship Id="rId31" Type="http://schemas.openxmlformats.org/officeDocument/2006/relationships/hyperlink" Target="https://uroweb.org/guidelines/non-neurogenic-female-luts" TargetMode="External"/><Relationship Id="rId44" Type="http://schemas.openxmlformats.org/officeDocument/2006/relationships/hyperlink" Target="https://guidelines.ebmportal.com/" TargetMode="External"/><Relationship Id="rId52" Type="http://schemas.openxmlformats.org/officeDocument/2006/relationships/hyperlink" Target="https://doi.org/10.1007/s00192-007-0334-8" TargetMode="External"/><Relationship Id="rId60" Type="http://schemas.openxmlformats.org/officeDocument/2006/relationships/hyperlink" Target="https://hpr-rps.hres.ca/reg-content/summary-safety-review-detail.php?lang=en&amp;linkID=SSR002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westcmr.com" TargetMode="External"/><Relationship Id="rId27" Type="http://schemas.openxmlformats.org/officeDocument/2006/relationships/hyperlink" Target="https://www.aihw.gov.au/reports/disability/incontinence-in-australia/summary" TargetMode="External"/><Relationship Id="rId30" Type="http://schemas.openxmlformats.org/officeDocument/2006/relationships/hyperlink" Target="https://www.health.gov.au/resources/publications/prostheses-list-guide" TargetMode="External"/><Relationship Id="rId35" Type="http://schemas.openxmlformats.org/officeDocument/2006/relationships/hyperlink" Target="https://www.nice.org.uk/guidance/ng123/evidence/e-surgical-and-physical-management-of-stress-urinary-incontinence-pdf-6725287410" TargetMode="External"/><Relationship Id="rId43" Type="http://schemas.openxmlformats.org/officeDocument/2006/relationships/hyperlink" Target="https://www.epistemonikos.org/" TargetMode="External"/><Relationship Id="rId48" Type="http://schemas.openxmlformats.org/officeDocument/2006/relationships/hyperlink" Target="https://doi.org/10.1007/s11255-004-6101-6" TargetMode="External"/><Relationship Id="rId56" Type="http://schemas.openxmlformats.org/officeDocument/2006/relationships/hyperlink" Target="https://doi.org/10.1159/000093320" TargetMode="External"/><Relationship Id="rId8" Type="http://schemas.openxmlformats.org/officeDocument/2006/relationships/webSettings" Target="webSettings.xml"/><Relationship Id="rId51" Type="http://schemas.openxmlformats.org/officeDocument/2006/relationships/hyperlink" Target="https://doi.org/10.1097/01.AOG.0000249607.82768.a1"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afetyandquality.gov.au/publications-and-resources/resource-library/care-pathway-management-and-referral-urinary-incontinence-women" TargetMode="External"/><Relationship Id="rId25" Type="http://schemas.openxmlformats.org/officeDocument/2006/relationships/hyperlink" Target="https://www.safetyandquality.gov.au/our-work/health-conditions-and-treatments/transvaginal-mesh/resources-consumers-clinicians-and-health-service-organisations-transvaginal-mesh-and-sacrocolpopexy/care-pathway-management-stress-urinary-incontinence-sui" TargetMode="External"/><Relationship Id="rId33" Type="http://schemas.openxmlformats.org/officeDocument/2006/relationships/hyperlink" Target="https://www.nice.org.uk/process/pmg9" TargetMode="External"/><Relationship Id="rId38" Type="http://schemas.openxmlformats.org/officeDocument/2006/relationships/hyperlink" Target="https://www.health.govt.nz/system/files/documents/pages/position_statement_on_the_use_of_the_transobturator_approach.pdf" TargetMode="External"/><Relationship Id="rId46" Type="http://schemas.openxmlformats.org/officeDocument/2006/relationships/footer" Target="footer4.xml"/><Relationship Id="rId59" Type="http://schemas.openxmlformats.org/officeDocument/2006/relationships/hyperlink" Target="https://doi.org/10.1016/j.eururo.2006.10.06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resources/publications/advice-on-the-prostheses-list-adjusted-benefit-amounts" TargetMode="External"/><Relationship Id="rId2" Type="http://schemas.openxmlformats.org/officeDocument/2006/relationships/hyperlink" Target="https://hpr-rps.hres.ca/reg-content/summary-safety-review-detail.php?lang=en&amp;linkID=SSR00288" TargetMode="External"/><Relationship Id="rId1" Type="http://schemas.openxmlformats.org/officeDocument/2006/relationships/hyperlink" Target="https://www.tga.gov.au/products/medical-devices/urogynaecological-transvaginal-surgical-mesh-hub" TargetMode="External"/><Relationship Id="rId5" Type="http://schemas.openxmlformats.org/officeDocument/2006/relationships/hyperlink" Target="https://www.riziv.fgov.be/fr/professionnels/sante/fournisseurs-implants/Pages/implants-liste-prestations-nominatives.aspx" TargetMode="External"/><Relationship Id="rId4" Type="http://schemas.openxmlformats.org/officeDocument/2006/relationships/hyperlink" Target="https://www.thewomens.org.au/images/uploads/fact-sheets/Urinary-incontinence-Mid-Urethral-Sl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Sawkins\Hereco\Resources%20-%20Documents\01%20WORKING%20AT%20HERECO\GENERAL%20OFFICE%20FILES\TEMPLATES\CURRENT%20hereco%20Word%20templates\Template%20for%20hereco%20technical%20reports_DOUBLE%20CLICK_15Jul2021.dotx" TargetMode="External"/></Relationships>
</file>

<file path=word/documenttasks/documenttasks1.xml><?xml version="1.0" encoding="utf-8"?>
<t:Tasks xmlns:t="http://schemas.microsoft.com/office/tasks/2019/documenttasks" xmlns:oel="http://schemas.microsoft.com/office/2019/extlst">
  <t:Task id="{E610387B-2CDE-42BB-A416-B41D100DDD3E}">
    <t:Anchor>
      <t:Comment id="669225129"/>
    </t:Anchor>
    <t:History>
      <t:Event id="{AA877773-7C62-4507-B455-3BE7F691D26C}" time="2023-04-14T02:52:14.53Z">
        <t:Attribution userId="S::samara@hereco.com.au::144ee691-337a-4c83-b4c9-25f69b83cc57" userProvider="AD" userName="Samara Lewis"/>
        <t:Anchor>
          <t:Comment id="669240062"/>
        </t:Anchor>
        <t:Create/>
      </t:Event>
      <t:Event id="{2413ECA8-08BB-4120-80BA-576490D79C9D}" time="2023-04-14T02:52:14.53Z">
        <t:Attribution userId="S::samara@hereco.com.au::144ee691-337a-4c83-b4c9-25f69b83cc57" userProvider="AD" userName="Samara Lewis"/>
        <t:Anchor>
          <t:Comment id="669240062"/>
        </t:Anchor>
        <t:Assign userId="S::Kate@hereco.com.au::e367fa94-e4e2-4181-b68f-2a46ff77097d" userProvider="AD" userName="Kate Sawkins"/>
      </t:Event>
      <t:Event id="{69059D1E-89E7-495B-9731-153B5B64E1D7}" time="2023-04-14T02:52:14.53Z">
        <t:Attribution userId="S::samara@hereco.com.au::144ee691-337a-4c83-b4c9-25f69b83cc57" userProvider="AD" userName="Samara Lewis"/>
        <t:Anchor>
          <t:Comment id="669240062"/>
        </t:Anchor>
        <t:SetTitle title="@Kate Sawkin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5A181B5C29E41B2C3A36DC002046B" ma:contentTypeVersion="12" ma:contentTypeDescription="Create a new document." ma:contentTypeScope="" ma:versionID="c58ed1fbee8330c3f8342dc91b19b549">
  <xsd:schema xmlns:xsd="http://www.w3.org/2001/XMLSchema" xmlns:xs="http://www.w3.org/2001/XMLSchema" xmlns:p="http://schemas.microsoft.com/office/2006/metadata/properties" xmlns:ns2="5fb94cad-f8c7-43fc-bdc5-29783b9fc5f0" xmlns:ns3="5f060afc-9420-4897-9e44-e1bd360ae6a1" targetNamespace="http://schemas.microsoft.com/office/2006/metadata/properties" ma:root="true" ma:fieldsID="bec2398a35ccf705b19b9a5b7302c339" ns2:_="" ns3:_="">
    <xsd:import namespace="5fb94cad-f8c7-43fc-bdc5-29783b9fc5f0"/>
    <xsd:import namespace="5f060afc-9420-4897-9e44-e1bd360ae6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4cad-f8c7-43fc-bdc5-29783b9fc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1b048f-90a4-4abb-bbb2-2d308f8073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60afc-9420-4897-9e44-e1bd360ae6a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0368b8-58bf-4120-a78b-5bf3a7318961}" ma:internalName="TaxCatchAll" ma:showField="CatchAllData" ma:web="5f060afc-9420-4897-9e44-e1bd360ae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b94cad-f8c7-43fc-bdc5-29783b9fc5f0">
      <Terms xmlns="http://schemas.microsoft.com/office/infopath/2007/PartnerControls"/>
    </lcf76f155ced4ddcb4097134ff3c332f>
    <TaxCatchAll xmlns="5f060afc-9420-4897-9e44-e1bd360ae6a1" xsi:nil="true"/>
  </documentManagement>
</p:properties>
</file>

<file path=customXml/itemProps1.xml><?xml version="1.0" encoding="utf-8"?>
<ds:datastoreItem xmlns:ds="http://schemas.openxmlformats.org/officeDocument/2006/customXml" ds:itemID="{90995E21-9ACE-4FFD-BC72-67FA274C6A11}">
  <ds:schemaRefs>
    <ds:schemaRef ds:uri="http://schemas.openxmlformats.org/officeDocument/2006/bibliography"/>
  </ds:schemaRefs>
</ds:datastoreItem>
</file>

<file path=customXml/itemProps2.xml><?xml version="1.0" encoding="utf-8"?>
<ds:datastoreItem xmlns:ds="http://schemas.openxmlformats.org/officeDocument/2006/customXml" ds:itemID="{51CB7AE1-3D98-4E66-B661-E72D373D5309}">
  <ds:schemaRefs>
    <ds:schemaRef ds:uri="http://schemas.microsoft.com/sharepoint/v3/contenttype/forms"/>
  </ds:schemaRefs>
</ds:datastoreItem>
</file>

<file path=customXml/itemProps3.xml><?xml version="1.0" encoding="utf-8"?>
<ds:datastoreItem xmlns:ds="http://schemas.openxmlformats.org/officeDocument/2006/customXml" ds:itemID="{DD157CC4-4463-4FB6-A818-2E0845C64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4cad-f8c7-43fc-bdc5-29783b9fc5f0"/>
    <ds:schemaRef ds:uri="5f060afc-9420-4897-9e44-e1bd360ae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A6E9E-8D55-4253-82AA-0C571B36D8FE}">
  <ds:schemaRefs>
    <ds:schemaRef ds:uri="http://schemas.microsoft.com/office/2006/metadata/properties"/>
    <ds:schemaRef ds:uri="http://schemas.microsoft.com/office/infopath/2007/PartnerControls"/>
    <ds:schemaRef ds:uri="5fb94cad-f8c7-43fc-bdc5-29783b9fc5f0"/>
    <ds:schemaRef ds:uri="5f060afc-9420-4897-9e44-e1bd360ae6a1"/>
  </ds:schemaRefs>
</ds:datastoreItem>
</file>

<file path=docProps/app.xml><?xml version="1.0" encoding="utf-8"?>
<Properties xmlns="http://schemas.openxmlformats.org/officeDocument/2006/extended-properties" xmlns:vt="http://schemas.openxmlformats.org/officeDocument/2006/docPropsVTypes">
  <Template>Template for hereco technical reports_DOUBLE CLICK_15Jul2021.dotx</Template>
  <TotalTime>0</TotalTime>
  <Pages>93</Pages>
  <Words>39851</Words>
  <Characters>227157</Characters>
  <Application>Microsoft Office Word</Application>
  <DocSecurity>0</DocSecurity>
  <Lines>1892</Lines>
  <Paragraphs>532</Paragraphs>
  <ScaleCrop>false</ScaleCrop>
  <HeadingPairs>
    <vt:vector size="2" baseType="variant">
      <vt:variant>
        <vt:lpstr>Title</vt:lpstr>
      </vt:variant>
      <vt:variant>
        <vt:i4>1</vt:i4>
      </vt:variant>
    </vt:vector>
  </HeadingPairs>
  <TitlesOfParts>
    <vt:vector size="1" baseType="lpstr">
      <vt:lpstr>Urogynaecological mesh devices (mid-urethral slings)</vt:lpstr>
    </vt:vector>
  </TitlesOfParts>
  <Company/>
  <LinksUpToDate>false</LinksUpToDate>
  <CharactersWithSpaces>266476</CharactersWithSpaces>
  <SharedDoc>false</SharedDoc>
  <HLinks>
    <vt:vector size="972" baseType="variant">
      <vt:variant>
        <vt:i4>1900555</vt:i4>
      </vt:variant>
      <vt:variant>
        <vt:i4>1245</vt:i4>
      </vt:variant>
      <vt:variant>
        <vt:i4>0</vt:i4>
      </vt:variant>
      <vt:variant>
        <vt:i4>5</vt:i4>
      </vt:variant>
      <vt:variant>
        <vt:lpwstr>https://hpr-rps.hres.ca/reg-content/summary-safety-review-detail.php?lang=en&amp;linkID=SSR00288</vt:lpwstr>
      </vt:variant>
      <vt:variant>
        <vt:lpwstr/>
      </vt:variant>
      <vt:variant>
        <vt:i4>4784210</vt:i4>
      </vt:variant>
      <vt:variant>
        <vt:i4>1233</vt:i4>
      </vt:variant>
      <vt:variant>
        <vt:i4>0</vt:i4>
      </vt:variant>
      <vt:variant>
        <vt:i4>5</vt:i4>
      </vt:variant>
      <vt:variant>
        <vt:lpwstr>https://doi.org/10.1016/j.eururo.2006.10.066</vt:lpwstr>
      </vt:variant>
      <vt:variant>
        <vt:lpwstr/>
      </vt:variant>
      <vt:variant>
        <vt:i4>4063273</vt:i4>
      </vt:variant>
      <vt:variant>
        <vt:i4>1230</vt:i4>
      </vt:variant>
      <vt:variant>
        <vt:i4>0</vt:i4>
      </vt:variant>
      <vt:variant>
        <vt:i4>5</vt:i4>
      </vt:variant>
      <vt:variant>
        <vt:lpwstr>https://doi.org/10.1016/j.juro.2010.11.064</vt:lpwstr>
      </vt:variant>
      <vt:variant>
        <vt:lpwstr/>
      </vt:variant>
      <vt:variant>
        <vt:i4>262209</vt:i4>
      </vt:variant>
      <vt:variant>
        <vt:i4>1227</vt:i4>
      </vt:variant>
      <vt:variant>
        <vt:i4>0</vt:i4>
      </vt:variant>
      <vt:variant>
        <vt:i4>5</vt:i4>
      </vt:variant>
      <vt:variant>
        <vt:lpwstr>https://doi.org/10.3109/21681805.2013.863802</vt:lpwstr>
      </vt:variant>
      <vt:variant>
        <vt:lpwstr/>
      </vt:variant>
      <vt:variant>
        <vt:i4>1507416</vt:i4>
      </vt:variant>
      <vt:variant>
        <vt:i4>1224</vt:i4>
      </vt:variant>
      <vt:variant>
        <vt:i4>0</vt:i4>
      </vt:variant>
      <vt:variant>
        <vt:i4>5</vt:i4>
      </vt:variant>
      <vt:variant>
        <vt:lpwstr>https://doi.org/10.1159/000093320</vt:lpwstr>
      </vt:variant>
      <vt:variant>
        <vt:lpwstr/>
      </vt:variant>
      <vt:variant>
        <vt:i4>524310</vt:i4>
      </vt:variant>
      <vt:variant>
        <vt:i4>1221</vt:i4>
      </vt:variant>
      <vt:variant>
        <vt:i4>0</vt:i4>
      </vt:variant>
      <vt:variant>
        <vt:i4>5</vt:i4>
      </vt:variant>
      <vt:variant>
        <vt:lpwstr>https://doi.org/10.1007/s00192-010-1343-6</vt:lpwstr>
      </vt:variant>
      <vt:variant>
        <vt:lpwstr/>
      </vt:variant>
      <vt:variant>
        <vt:i4>983071</vt:i4>
      </vt:variant>
      <vt:variant>
        <vt:i4>1218</vt:i4>
      </vt:variant>
      <vt:variant>
        <vt:i4>0</vt:i4>
      </vt:variant>
      <vt:variant>
        <vt:i4>5</vt:i4>
      </vt:variant>
      <vt:variant>
        <vt:lpwstr>https://doi.org/10.1007/s00192-010-1138-9</vt:lpwstr>
      </vt:variant>
      <vt:variant>
        <vt:lpwstr/>
      </vt:variant>
      <vt:variant>
        <vt:i4>4522073</vt:i4>
      </vt:variant>
      <vt:variant>
        <vt:i4>1215</vt:i4>
      </vt:variant>
      <vt:variant>
        <vt:i4>0</vt:i4>
      </vt:variant>
      <vt:variant>
        <vt:i4>5</vt:i4>
      </vt:variant>
      <vt:variant>
        <vt:lpwstr>https://doi.org/10.1016/j.eururo.2009.02.038</vt:lpwstr>
      </vt:variant>
      <vt:variant>
        <vt:lpwstr/>
      </vt:variant>
      <vt:variant>
        <vt:i4>589840</vt:i4>
      </vt:variant>
      <vt:variant>
        <vt:i4>1212</vt:i4>
      </vt:variant>
      <vt:variant>
        <vt:i4>0</vt:i4>
      </vt:variant>
      <vt:variant>
        <vt:i4>5</vt:i4>
      </vt:variant>
      <vt:variant>
        <vt:lpwstr>https://doi.org/10.1007/s00192-007-0334-8</vt:lpwstr>
      </vt:variant>
      <vt:variant>
        <vt:lpwstr/>
      </vt:variant>
      <vt:variant>
        <vt:i4>2293857</vt:i4>
      </vt:variant>
      <vt:variant>
        <vt:i4>1209</vt:i4>
      </vt:variant>
      <vt:variant>
        <vt:i4>0</vt:i4>
      </vt:variant>
      <vt:variant>
        <vt:i4>5</vt:i4>
      </vt:variant>
      <vt:variant>
        <vt:lpwstr>https://doi.org/10.1097/01.AOG.0000249607.82768.a1</vt:lpwstr>
      </vt:variant>
      <vt:variant>
        <vt:lpwstr/>
      </vt:variant>
      <vt:variant>
        <vt:i4>1179737</vt:i4>
      </vt:variant>
      <vt:variant>
        <vt:i4>1206</vt:i4>
      </vt:variant>
      <vt:variant>
        <vt:i4>0</vt:i4>
      </vt:variant>
      <vt:variant>
        <vt:i4>5</vt:i4>
      </vt:variant>
      <vt:variant>
        <vt:lpwstr>https://doi.org/10.1080/00016340601033584</vt:lpwstr>
      </vt:variant>
      <vt:variant>
        <vt:lpwstr/>
      </vt:variant>
      <vt:variant>
        <vt:i4>5570626</vt:i4>
      </vt:variant>
      <vt:variant>
        <vt:i4>1203</vt:i4>
      </vt:variant>
      <vt:variant>
        <vt:i4>0</vt:i4>
      </vt:variant>
      <vt:variant>
        <vt:i4>5</vt:i4>
      </vt:variant>
      <vt:variant>
        <vt:lpwstr>https://doi.org/10.1002/nau.10092</vt:lpwstr>
      </vt:variant>
      <vt:variant>
        <vt:lpwstr/>
      </vt:variant>
      <vt:variant>
        <vt:i4>655386</vt:i4>
      </vt:variant>
      <vt:variant>
        <vt:i4>1200</vt:i4>
      </vt:variant>
      <vt:variant>
        <vt:i4>0</vt:i4>
      </vt:variant>
      <vt:variant>
        <vt:i4>5</vt:i4>
      </vt:variant>
      <vt:variant>
        <vt:lpwstr>https://doi.org/10.1007/s11255-004-6101-6</vt:lpwstr>
      </vt:variant>
      <vt:variant>
        <vt:lpwstr/>
      </vt:variant>
      <vt:variant>
        <vt:i4>3014719</vt:i4>
      </vt:variant>
      <vt:variant>
        <vt:i4>1197</vt:i4>
      </vt:variant>
      <vt:variant>
        <vt:i4>0</vt:i4>
      </vt:variant>
      <vt:variant>
        <vt:i4>5</vt:i4>
      </vt:variant>
      <vt:variant>
        <vt:lpwstr>https://doi.org/10.1016/j.ijgo.2005.08.023</vt:lpwstr>
      </vt:variant>
      <vt:variant>
        <vt:lpwstr/>
      </vt:variant>
      <vt:variant>
        <vt:i4>73</vt:i4>
      </vt:variant>
      <vt:variant>
        <vt:i4>1161</vt:i4>
      </vt:variant>
      <vt:variant>
        <vt:i4>0</vt:i4>
      </vt:variant>
      <vt:variant>
        <vt:i4>5</vt:i4>
      </vt:variant>
      <vt:variant>
        <vt:lpwstr>https://guidelines.ebmportal.com/</vt:lpwstr>
      </vt:variant>
      <vt:variant>
        <vt:lpwstr/>
      </vt:variant>
      <vt:variant>
        <vt:i4>3407915</vt:i4>
      </vt:variant>
      <vt:variant>
        <vt:i4>1158</vt:i4>
      </vt:variant>
      <vt:variant>
        <vt:i4>0</vt:i4>
      </vt:variant>
      <vt:variant>
        <vt:i4>5</vt:i4>
      </vt:variant>
      <vt:variant>
        <vt:lpwstr>https://www.epistemonikos.org/</vt:lpwstr>
      </vt:variant>
      <vt:variant>
        <vt:lpwstr/>
      </vt:variant>
      <vt:variant>
        <vt:i4>6488188</vt:i4>
      </vt:variant>
      <vt:variant>
        <vt:i4>1152</vt:i4>
      </vt:variant>
      <vt:variant>
        <vt:i4>0</vt:i4>
      </vt:variant>
      <vt:variant>
        <vt:i4>5</vt:i4>
      </vt:variant>
      <vt:variant>
        <vt:lpwstr>https://usanz.org.au/publicassets/4c939480-9bc7-e811-a2bd-b48cacbd786d/Position Statement - USANZ - Mesh Midurethral Slings - 2015 Aug.pdf</vt:lpwstr>
      </vt:variant>
      <vt:variant>
        <vt:lpwstr/>
      </vt:variant>
      <vt:variant>
        <vt:i4>2687093</vt:i4>
      </vt:variant>
      <vt:variant>
        <vt:i4>1149</vt:i4>
      </vt:variant>
      <vt:variant>
        <vt:i4>0</vt:i4>
      </vt:variant>
      <vt:variant>
        <vt:i4>5</vt:i4>
      </vt:variant>
      <vt:variant>
        <vt:lpwstr>https://www.tga.gov.au/products/medical-devices/urogynaecological-transvaginal-surgical-mesh-hub/australian-government-actions</vt:lpwstr>
      </vt:variant>
      <vt:variant>
        <vt:lpwstr/>
      </vt:variant>
      <vt:variant>
        <vt:i4>7471158</vt:i4>
      </vt:variant>
      <vt:variant>
        <vt:i4>1146</vt:i4>
      </vt:variant>
      <vt:variant>
        <vt:i4>0</vt:i4>
      </vt:variant>
      <vt:variant>
        <vt:i4>5</vt:i4>
      </vt:variant>
      <vt:variant>
        <vt:lpwstr>https://www.tga.gov.au/products/medical-devices/urogynaecological-transvaginal-surgical-mesh-hub/background</vt:lpwstr>
      </vt:variant>
      <vt:variant>
        <vt:lpwstr/>
      </vt:variant>
      <vt:variant>
        <vt:i4>3604592</vt:i4>
      </vt:variant>
      <vt:variant>
        <vt:i4>1143</vt:i4>
      </vt:variant>
      <vt:variant>
        <vt:i4>0</vt:i4>
      </vt:variant>
      <vt:variant>
        <vt:i4>5</vt:i4>
      </vt:variant>
      <vt:variant>
        <vt:lpwstr>https://www.tga.gov.au/news/safety-alerts/tga-actions-after-review-urogynaecological-surgical-mesh-implants</vt:lpwstr>
      </vt:variant>
      <vt:variant>
        <vt:lpwstr/>
      </vt:variant>
      <vt:variant>
        <vt:i4>2228264</vt:i4>
      </vt:variant>
      <vt:variant>
        <vt:i4>1140</vt:i4>
      </vt:variant>
      <vt:variant>
        <vt:i4>0</vt:i4>
      </vt:variant>
      <vt:variant>
        <vt:i4>5</vt:i4>
      </vt:variant>
      <vt:variant>
        <vt:lpwstr>https://ranzcog.edu.au/wp-content/uploads/2022/05/Position-statement-on-midurethral-slings.pdf</vt:lpwstr>
      </vt:variant>
      <vt:variant>
        <vt:lpwstr/>
      </vt:variant>
      <vt:variant>
        <vt:i4>786452</vt:i4>
      </vt:variant>
      <vt:variant>
        <vt:i4>1137</vt:i4>
      </vt:variant>
      <vt:variant>
        <vt:i4>0</vt:i4>
      </vt:variant>
      <vt:variant>
        <vt:i4>5</vt:i4>
      </vt:variant>
      <vt:variant>
        <vt:lpwstr>https://www.health.govt.nz/system/files/documents/pages/position_statement_on_the_use_of_the_transobturator_approach.pdf</vt:lpwstr>
      </vt:variant>
      <vt:variant>
        <vt:lpwstr/>
      </vt:variant>
      <vt:variant>
        <vt:i4>1572972</vt:i4>
      </vt:variant>
      <vt:variant>
        <vt:i4>1134</vt:i4>
      </vt:variant>
      <vt:variant>
        <vt:i4>0</vt:i4>
      </vt:variant>
      <vt:variant>
        <vt:i4>5</vt:i4>
      </vt:variant>
      <vt:variant>
        <vt:lpwstr>https://www.augs.org/assets/1/6/AUGS-SUFU_MUS_Position_Statement.pdf</vt:lpwstr>
      </vt:variant>
      <vt:variant>
        <vt:lpwstr/>
      </vt:variant>
      <vt:variant>
        <vt:i4>4784203</vt:i4>
      </vt:variant>
      <vt:variant>
        <vt:i4>1131</vt:i4>
      </vt:variant>
      <vt:variant>
        <vt:i4>0</vt:i4>
      </vt:variant>
      <vt:variant>
        <vt:i4>5</vt:i4>
      </vt:variant>
      <vt:variant>
        <vt:lpwstr>http://www.nice.org.uk/guidance/ng123</vt:lpwstr>
      </vt:variant>
      <vt:variant>
        <vt:lpwstr/>
      </vt:variant>
      <vt:variant>
        <vt:i4>6094852</vt:i4>
      </vt:variant>
      <vt:variant>
        <vt:i4>1128</vt:i4>
      </vt:variant>
      <vt:variant>
        <vt:i4>0</vt:i4>
      </vt:variant>
      <vt:variant>
        <vt:i4>5</vt:i4>
      </vt:variant>
      <vt:variant>
        <vt:lpwstr>https://www.nice.org.uk/guidance/ng123/evidence/e-surgical-and-physical-management-of-stress-urinary-incontinence-pdf-6725287410</vt:lpwstr>
      </vt:variant>
      <vt:variant>
        <vt:lpwstr/>
      </vt:variant>
      <vt:variant>
        <vt:i4>1310738</vt:i4>
      </vt:variant>
      <vt:variant>
        <vt:i4>1125</vt:i4>
      </vt:variant>
      <vt:variant>
        <vt:i4>0</vt:i4>
      </vt:variant>
      <vt:variant>
        <vt:i4>5</vt:i4>
      </vt:variant>
      <vt:variant>
        <vt:lpwstr>https://www.nice.org.uk/guidance/ng123/resources/surgery-for-stress-urinary-incontinence-patient-decision-aid-pdf-6725286110</vt:lpwstr>
      </vt:variant>
      <vt:variant>
        <vt:lpwstr/>
      </vt:variant>
      <vt:variant>
        <vt:i4>983114</vt:i4>
      </vt:variant>
      <vt:variant>
        <vt:i4>1122</vt:i4>
      </vt:variant>
      <vt:variant>
        <vt:i4>0</vt:i4>
      </vt:variant>
      <vt:variant>
        <vt:i4>5</vt:i4>
      </vt:variant>
      <vt:variant>
        <vt:lpwstr>https://www.nice.org.uk/process/pmg9</vt:lpwstr>
      </vt:variant>
      <vt:variant>
        <vt:lpwstr/>
      </vt:variant>
      <vt:variant>
        <vt:i4>327698</vt:i4>
      </vt:variant>
      <vt:variant>
        <vt:i4>1119</vt:i4>
      </vt:variant>
      <vt:variant>
        <vt:i4>0</vt:i4>
      </vt:variant>
      <vt:variant>
        <vt:i4>5</vt:i4>
      </vt:variant>
      <vt:variant>
        <vt:lpwstr>https://www.iuga.org/files/48/Position-Statements/6/Position-Statement-on-Mid-Urethral-Slings-for-SUI.pdf</vt:lpwstr>
      </vt:variant>
      <vt:variant>
        <vt:lpwstr/>
      </vt:variant>
      <vt:variant>
        <vt:i4>4521984</vt:i4>
      </vt:variant>
      <vt:variant>
        <vt:i4>1116</vt:i4>
      </vt:variant>
      <vt:variant>
        <vt:i4>0</vt:i4>
      </vt:variant>
      <vt:variant>
        <vt:i4>5</vt:i4>
      </vt:variant>
      <vt:variant>
        <vt:lpwstr>https://uroweb.org/guidelines/non-neurogenic-female-luts</vt:lpwstr>
      </vt:variant>
      <vt:variant>
        <vt:lpwstr/>
      </vt:variant>
      <vt:variant>
        <vt:i4>6684731</vt:i4>
      </vt:variant>
      <vt:variant>
        <vt:i4>1113</vt:i4>
      </vt:variant>
      <vt:variant>
        <vt:i4>0</vt:i4>
      </vt:variant>
      <vt:variant>
        <vt:i4>5</vt:i4>
      </vt:variant>
      <vt:variant>
        <vt:lpwstr>https://www.health.gov.au/resources/publications/prostheses-list-guide</vt:lpwstr>
      </vt:variant>
      <vt:variant>
        <vt:lpwstr/>
      </vt:variant>
      <vt:variant>
        <vt:i4>4980763</vt:i4>
      </vt:variant>
      <vt:variant>
        <vt:i4>1110</vt:i4>
      </vt:variant>
      <vt:variant>
        <vt:i4>0</vt:i4>
      </vt:variant>
      <vt:variant>
        <vt:i4>5</vt:i4>
      </vt:variant>
      <vt:variant>
        <vt:lpwstr>https://www.york.ac.uk/crd/guidance/</vt:lpwstr>
      </vt:variant>
      <vt:variant>
        <vt:lpwstr/>
      </vt:variant>
      <vt:variant>
        <vt:i4>6094879</vt:i4>
      </vt:variant>
      <vt:variant>
        <vt:i4>1107</vt:i4>
      </vt:variant>
      <vt:variant>
        <vt:i4>0</vt:i4>
      </vt:variant>
      <vt:variant>
        <vt:i4>5</vt:i4>
      </vt:variant>
      <vt:variant>
        <vt:lpwstr>https://www.auanet.org/about-us/policy-and-position-statements/use-of-vaginal-mesh-for-the-surgical-treatment-of-stress-urinary-incontinence</vt:lpwstr>
      </vt:variant>
      <vt:variant>
        <vt:lpwstr/>
      </vt:variant>
      <vt:variant>
        <vt:i4>655370</vt:i4>
      </vt:variant>
      <vt:variant>
        <vt:i4>1104</vt:i4>
      </vt:variant>
      <vt:variant>
        <vt:i4>0</vt:i4>
      </vt:variant>
      <vt:variant>
        <vt:i4>5</vt:i4>
      </vt:variant>
      <vt:variant>
        <vt:lpwstr>https://www.aihw.gov.au/reports/disability/incontinence-in-australia/summary</vt:lpwstr>
      </vt:variant>
      <vt:variant>
        <vt:lpwstr/>
      </vt:variant>
      <vt:variant>
        <vt:i4>5832725</vt:i4>
      </vt:variant>
      <vt:variant>
        <vt:i4>1101</vt:i4>
      </vt:variant>
      <vt:variant>
        <vt:i4>0</vt:i4>
      </vt:variant>
      <vt:variant>
        <vt:i4>5</vt:i4>
      </vt:variant>
      <vt:variant>
        <vt:lpwstr>https://www.safetyandquality.gov.au/publications-and-resources/resource-library/treatment-options-stress-urinary-incontinence-sui</vt:lpwstr>
      </vt:variant>
      <vt:variant>
        <vt:lpwstr/>
      </vt:variant>
      <vt:variant>
        <vt:i4>5505097</vt:i4>
      </vt:variant>
      <vt:variant>
        <vt:i4>1098</vt:i4>
      </vt:variant>
      <vt:variant>
        <vt:i4>0</vt:i4>
      </vt:variant>
      <vt:variant>
        <vt:i4>5</vt:i4>
      </vt:variant>
      <vt:variant>
        <vt:lpwstr>https://www.safetyandquality.gov.au/our-work/health-conditions-and-treatments/transvaginal-mesh/resources-consumers-clinicians-and-health-service-organisations-transvaginal-mesh-and-sacrocolpopexy/care-pathway-management-stress-urinary-incontinence-sui</vt:lpwstr>
      </vt:variant>
      <vt:variant>
        <vt:lpwstr/>
      </vt:variant>
      <vt:variant>
        <vt:i4>3145853</vt:i4>
      </vt:variant>
      <vt:variant>
        <vt:i4>1056</vt:i4>
      </vt:variant>
      <vt:variant>
        <vt:i4>0</vt:i4>
      </vt:variant>
      <vt:variant>
        <vt:i4>5</vt:i4>
      </vt:variant>
      <vt:variant>
        <vt:lpwstr>http://www.geosurgical.com/</vt:lpwstr>
      </vt:variant>
      <vt:variant>
        <vt:lpwstr/>
      </vt:variant>
      <vt:variant>
        <vt:i4>3735673</vt:i4>
      </vt:variant>
      <vt:variant>
        <vt:i4>1053</vt:i4>
      </vt:variant>
      <vt:variant>
        <vt:i4>0</vt:i4>
      </vt:variant>
      <vt:variant>
        <vt:i4>5</vt:i4>
      </vt:variant>
      <vt:variant>
        <vt:lpwstr>http://www.shopsps.com/</vt:lpwstr>
      </vt:variant>
      <vt:variant>
        <vt:lpwstr/>
      </vt:variant>
      <vt:variant>
        <vt:i4>3145837</vt:i4>
      </vt:variant>
      <vt:variant>
        <vt:i4>1050</vt:i4>
      </vt:variant>
      <vt:variant>
        <vt:i4>0</vt:i4>
      </vt:variant>
      <vt:variant>
        <vt:i4>5</vt:i4>
      </vt:variant>
      <vt:variant>
        <vt:lpwstr>http://www.westcmr.com/</vt:lpwstr>
      </vt:variant>
      <vt:variant>
        <vt:lpwstr/>
      </vt:variant>
      <vt:variant>
        <vt:i4>1769484</vt:i4>
      </vt:variant>
      <vt:variant>
        <vt:i4>753</vt:i4>
      </vt:variant>
      <vt:variant>
        <vt:i4>0</vt:i4>
      </vt:variant>
      <vt:variant>
        <vt:i4>5</vt:i4>
      </vt:variant>
      <vt:variant>
        <vt:lpwstr>https://www.bostonscientific.com/content/dam/bostonscientific/uro-wh/portfolio-group/sling-systems/obtryx-II/pdf/WH-118616-AG-obtryx-II-brochure.pdf</vt:lpwstr>
      </vt:variant>
      <vt:variant>
        <vt:lpwstr/>
      </vt:variant>
      <vt:variant>
        <vt:i4>3997793</vt:i4>
      </vt:variant>
      <vt:variant>
        <vt:i4>750</vt:i4>
      </vt:variant>
      <vt:variant>
        <vt:i4>0</vt:i4>
      </vt:variant>
      <vt:variant>
        <vt:i4>5</vt:i4>
      </vt:variant>
      <vt:variant>
        <vt:lpwstr>https://www.bostonscientific.com/content/dam/bostonscientific/uro-wh/portfolio-group/sling-systems/advantage-fit/pdf/WH-465202-AD-adv-adv-fit-brochure.pdf</vt:lpwstr>
      </vt:variant>
      <vt:variant>
        <vt:lpwstr/>
      </vt:variant>
      <vt:variant>
        <vt:i4>1376276</vt:i4>
      </vt:variant>
      <vt:variant>
        <vt:i4>732</vt:i4>
      </vt:variant>
      <vt:variant>
        <vt:i4>0</vt:i4>
      </vt:variant>
      <vt:variant>
        <vt:i4>5</vt:i4>
      </vt:variant>
      <vt:variant>
        <vt:lpwstr>https://www.tga.gov.au/products/medical-devices/urogynaecological-transvaginal-surgical-mesh-hub</vt:lpwstr>
      </vt:variant>
      <vt:variant>
        <vt:lpwstr/>
      </vt:variant>
      <vt:variant>
        <vt:i4>3801202</vt:i4>
      </vt:variant>
      <vt:variant>
        <vt:i4>729</vt:i4>
      </vt:variant>
      <vt:variant>
        <vt:i4>0</vt:i4>
      </vt:variant>
      <vt:variant>
        <vt:i4>5</vt:i4>
      </vt:variant>
      <vt:variant>
        <vt:lpwstr>https://www.safetyandquality.gov.au/publications-and-resources/resource-library/care-pathway-management-and-referral-urinary-incontinence-women</vt:lpwstr>
      </vt:variant>
      <vt:variant>
        <vt:lpwstr/>
      </vt:variant>
      <vt:variant>
        <vt:i4>6291574</vt:i4>
      </vt:variant>
      <vt:variant>
        <vt:i4>717</vt:i4>
      </vt:variant>
      <vt:variant>
        <vt:i4>0</vt:i4>
      </vt:variant>
      <vt:variant>
        <vt:i4>5</vt:i4>
      </vt:variant>
      <vt:variant>
        <vt:lpwstr>https://www.health.gov.au/resources/publications/prostheses-list-post-listing-review-framework</vt:lpwstr>
      </vt:variant>
      <vt:variant>
        <vt:lpwstr/>
      </vt:variant>
      <vt:variant>
        <vt:i4>1507381</vt:i4>
      </vt:variant>
      <vt:variant>
        <vt:i4>689</vt:i4>
      </vt:variant>
      <vt:variant>
        <vt:i4>0</vt:i4>
      </vt:variant>
      <vt:variant>
        <vt:i4>5</vt:i4>
      </vt:variant>
      <vt:variant>
        <vt:lpwstr/>
      </vt:variant>
      <vt:variant>
        <vt:lpwstr>_Toc165464767</vt:lpwstr>
      </vt:variant>
      <vt:variant>
        <vt:i4>1507381</vt:i4>
      </vt:variant>
      <vt:variant>
        <vt:i4>680</vt:i4>
      </vt:variant>
      <vt:variant>
        <vt:i4>0</vt:i4>
      </vt:variant>
      <vt:variant>
        <vt:i4>5</vt:i4>
      </vt:variant>
      <vt:variant>
        <vt:lpwstr/>
      </vt:variant>
      <vt:variant>
        <vt:lpwstr>_Toc165464766</vt:lpwstr>
      </vt:variant>
      <vt:variant>
        <vt:i4>1507381</vt:i4>
      </vt:variant>
      <vt:variant>
        <vt:i4>674</vt:i4>
      </vt:variant>
      <vt:variant>
        <vt:i4>0</vt:i4>
      </vt:variant>
      <vt:variant>
        <vt:i4>5</vt:i4>
      </vt:variant>
      <vt:variant>
        <vt:lpwstr/>
      </vt:variant>
      <vt:variant>
        <vt:lpwstr>_Toc165464765</vt:lpwstr>
      </vt:variant>
      <vt:variant>
        <vt:i4>1507381</vt:i4>
      </vt:variant>
      <vt:variant>
        <vt:i4>668</vt:i4>
      </vt:variant>
      <vt:variant>
        <vt:i4>0</vt:i4>
      </vt:variant>
      <vt:variant>
        <vt:i4>5</vt:i4>
      </vt:variant>
      <vt:variant>
        <vt:lpwstr/>
      </vt:variant>
      <vt:variant>
        <vt:lpwstr>_Toc165464764</vt:lpwstr>
      </vt:variant>
      <vt:variant>
        <vt:i4>1507381</vt:i4>
      </vt:variant>
      <vt:variant>
        <vt:i4>662</vt:i4>
      </vt:variant>
      <vt:variant>
        <vt:i4>0</vt:i4>
      </vt:variant>
      <vt:variant>
        <vt:i4>5</vt:i4>
      </vt:variant>
      <vt:variant>
        <vt:lpwstr/>
      </vt:variant>
      <vt:variant>
        <vt:lpwstr>_Toc165464763</vt:lpwstr>
      </vt:variant>
      <vt:variant>
        <vt:i4>1507381</vt:i4>
      </vt:variant>
      <vt:variant>
        <vt:i4>656</vt:i4>
      </vt:variant>
      <vt:variant>
        <vt:i4>0</vt:i4>
      </vt:variant>
      <vt:variant>
        <vt:i4>5</vt:i4>
      </vt:variant>
      <vt:variant>
        <vt:lpwstr/>
      </vt:variant>
      <vt:variant>
        <vt:lpwstr>_Toc165464762</vt:lpwstr>
      </vt:variant>
      <vt:variant>
        <vt:i4>1507381</vt:i4>
      </vt:variant>
      <vt:variant>
        <vt:i4>650</vt:i4>
      </vt:variant>
      <vt:variant>
        <vt:i4>0</vt:i4>
      </vt:variant>
      <vt:variant>
        <vt:i4>5</vt:i4>
      </vt:variant>
      <vt:variant>
        <vt:lpwstr/>
      </vt:variant>
      <vt:variant>
        <vt:lpwstr>_Toc165464761</vt:lpwstr>
      </vt:variant>
      <vt:variant>
        <vt:i4>1507381</vt:i4>
      </vt:variant>
      <vt:variant>
        <vt:i4>644</vt:i4>
      </vt:variant>
      <vt:variant>
        <vt:i4>0</vt:i4>
      </vt:variant>
      <vt:variant>
        <vt:i4>5</vt:i4>
      </vt:variant>
      <vt:variant>
        <vt:lpwstr/>
      </vt:variant>
      <vt:variant>
        <vt:lpwstr>_Toc165464760</vt:lpwstr>
      </vt:variant>
      <vt:variant>
        <vt:i4>1310773</vt:i4>
      </vt:variant>
      <vt:variant>
        <vt:i4>638</vt:i4>
      </vt:variant>
      <vt:variant>
        <vt:i4>0</vt:i4>
      </vt:variant>
      <vt:variant>
        <vt:i4>5</vt:i4>
      </vt:variant>
      <vt:variant>
        <vt:lpwstr/>
      </vt:variant>
      <vt:variant>
        <vt:lpwstr>_Toc165464759</vt:lpwstr>
      </vt:variant>
      <vt:variant>
        <vt:i4>1310773</vt:i4>
      </vt:variant>
      <vt:variant>
        <vt:i4>632</vt:i4>
      </vt:variant>
      <vt:variant>
        <vt:i4>0</vt:i4>
      </vt:variant>
      <vt:variant>
        <vt:i4>5</vt:i4>
      </vt:variant>
      <vt:variant>
        <vt:lpwstr/>
      </vt:variant>
      <vt:variant>
        <vt:lpwstr>_Toc165464758</vt:lpwstr>
      </vt:variant>
      <vt:variant>
        <vt:i4>1310773</vt:i4>
      </vt:variant>
      <vt:variant>
        <vt:i4>626</vt:i4>
      </vt:variant>
      <vt:variant>
        <vt:i4>0</vt:i4>
      </vt:variant>
      <vt:variant>
        <vt:i4>5</vt:i4>
      </vt:variant>
      <vt:variant>
        <vt:lpwstr/>
      </vt:variant>
      <vt:variant>
        <vt:lpwstr>_Toc165464757</vt:lpwstr>
      </vt:variant>
      <vt:variant>
        <vt:i4>1310773</vt:i4>
      </vt:variant>
      <vt:variant>
        <vt:i4>620</vt:i4>
      </vt:variant>
      <vt:variant>
        <vt:i4>0</vt:i4>
      </vt:variant>
      <vt:variant>
        <vt:i4>5</vt:i4>
      </vt:variant>
      <vt:variant>
        <vt:lpwstr/>
      </vt:variant>
      <vt:variant>
        <vt:lpwstr>_Toc165464756</vt:lpwstr>
      </vt:variant>
      <vt:variant>
        <vt:i4>1310773</vt:i4>
      </vt:variant>
      <vt:variant>
        <vt:i4>614</vt:i4>
      </vt:variant>
      <vt:variant>
        <vt:i4>0</vt:i4>
      </vt:variant>
      <vt:variant>
        <vt:i4>5</vt:i4>
      </vt:variant>
      <vt:variant>
        <vt:lpwstr/>
      </vt:variant>
      <vt:variant>
        <vt:lpwstr>_Toc165464755</vt:lpwstr>
      </vt:variant>
      <vt:variant>
        <vt:i4>1310773</vt:i4>
      </vt:variant>
      <vt:variant>
        <vt:i4>605</vt:i4>
      </vt:variant>
      <vt:variant>
        <vt:i4>0</vt:i4>
      </vt:variant>
      <vt:variant>
        <vt:i4>5</vt:i4>
      </vt:variant>
      <vt:variant>
        <vt:lpwstr/>
      </vt:variant>
      <vt:variant>
        <vt:lpwstr>_Toc165464754</vt:lpwstr>
      </vt:variant>
      <vt:variant>
        <vt:i4>1310773</vt:i4>
      </vt:variant>
      <vt:variant>
        <vt:i4>599</vt:i4>
      </vt:variant>
      <vt:variant>
        <vt:i4>0</vt:i4>
      </vt:variant>
      <vt:variant>
        <vt:i4>5</vt:i4>
      </vt:variant>
      <vt:variant>
        <vt:lpwstr/>
      </vt:variant>
      <vt:variant>
        <vt:lpwstr>_Toc165464753</vt:lpwstr>
      </vt:variant>
      <vt:variant>
        <vt:i4>1310773</vt:i4>
      </vt:variant>
      <vt:variant>
        <vt:i4>593</vt:i4>
      </vt:variant>
      <vt:variant>
        <vt:i4>0</vt:i4>
      </vt:variant>
      <vt:variant>
        <vt:i4>5</vt:i4>
      </vt:variant>
      <vt:variant>
        <vt:lpwstr/>
      </vt:variant>
      <vt:variant>
        <vt:lpwstr>_Toc165464752</vt:lpwstr>
      </vt:variant>
      <vt:variant>
        <vt:i4>1310773</vt:i4>
      </vt:variant>
      <vt:variant>
        <vt:i4>587</vt:i4>
      </vt:variant>
      <vt:variant>
        <vt:i4>0</vt:i4>
      </vt:variant>
      <vt:variant>
        <vt:i4>5</vt:i4>
      </vt:variant>
      <vt:variant>
        <vt:lpwstr/>
      </vt:variant>
      <vt:variant>
        <vt:lpwstr>_Toc165464751</vt:lpwstr>
      </vt:variant>
      <vt:variant>
        <vt:i4>1310773</vt:i4>
      </vt:variant>
      <vt:variant>
        <vt:i4>581</vt:i4>
      </vt:variant>
      <vt:variant>
        <vt:i4>0</vt:i4>
      </vt:variant>
      <vt:variant>
        <vt:i4>5</vt:i4>
      </vt:variant>
      <vt:variant>
        <vt:lpwstr/>
      </vt:variant>
      <vt:variant>
        <vt:lpwstr>_Toc165464750</vt:lpwstr>
      </vt:variant>
      <vt:variant>
        <vt:i4>1376309</vt:i4>
      </vt:variant>
      <vt:variant>
        <vt:i4>575</vt:i4>
      </vt:variant>
      <vt:variant>
        <vt:i4>0</vt:i4>
      </vt:variant>
      <vt:variant>
        <vt:i4>5</vt:i4>
      </vt:variant>
      <vt:variant>
        <vt:lpwstr/>
      </vt:variant>
      <vt:variant>
        <vt:lpwstr>_Toc165464749</vt:lpwstr>
      </vt:variant>
      <vt:variant>
        <vt:i4>1376309</vt:i4>
      </vt:variant>
      <vt:variant>
        <vt:i4>569</vt:i4>
      </vt:variant>
      <vt:variant>
        <vt:i4>0</vt:i4>
      </vt:variant>
      <vt:variant>
        <vt:i4>5</vt:i4>
      </vt:variant>
      <vt:variant>
        <vt:lpwstr/>
      </vt:variant>
      <vt:variant>
        <vt:lpwstr>_Toc165464748</vt:lpwstr>
      </vt:variant>
      <vt:variant>
        <vt:i4>1376309</vt:i4>
      </vt:variant>
      <vt:variant>
        <vt:i4>563</vt:i4>
      </vt:variant>
      <vt:variant>
        <vt:i4>0</vt:i4>
      </vt:variant>
      <vt:variant>
        <vt:i4>5</vt:i4>
      </vt:variant>
      <vt:variant>
        <vt:lpwstr/>
      </vt:variant>
      <vt:variant>
        <vt:lpwstr>_Toc165464747</vt:lpwstr>
      </vt:variant>
      <vt:variant>
        <vt:i4>1376309</vt:i4>
      </vt:variant>
      <vt:variant>
        <vt:i4>557</vt:i4>
      </vt:variant>
      <vt:variant>
        <vt:i4>0</vt:i4>
      </vt:variant>
      <vt:variant>
        <vt:i4>5</vt:i4>
      </vt:variant>
      <vt:variant>
        <vt:lpwstr/>
      </vt:variant>
      <vt:variant>
        <vt:lpwstr>_Toc165464746</vt:lpwstr>
      </vt:variant>
      <vt:variant>
        <vt:i4>1376309</vt:i4>
      </vt:variant>
      <vt:variant>
        <vt:i4>551</vt:i4>
      </vt:variant>
      <vt:variant>
        <vt:i4>0</vt:i4>
      </vt:variant>
      <vt:variant>
        <vt:i4>5</vt:i4>
      </vt:variant>
      <vt:variant>
        <vt:lpwstr/>
      </vt:variant>
      <vt:variant>
        <vt:lpwstr>_Toc165464745</vt:lpwstr>
      </vt:variant>
      <vt:variant>
        <vt:i4>1376309</vt:i4>
      </vt:variant>
      <vt:variant>
        <vt:i4>545</vt:i4>
      </vt:variant>
      <vt:variant>
        <vt:i4>0</vt:i4>
      </vt:variant>
      <vt:variant>
        <vt:i4>5</vt:i4>
      </vt:variant>
      <vt:variant>
        <vt:lpwstr/>
      </vt:variant>
      <vt:variant>
        <vt:lpwstr>_Toc165464744</vt:lpwstr>
      </vt:variant>
      <vt:variant>
        <vt:i4>1376309</vt:i4>
      </vt:variant>
      <vt:variant>
        <vt:i4>539</vt:i4>
      </vt:variant>
      <vt:variant>
        <vt:i4>0</vt:i4>
      </vt:variant>
      <vt:variant>
        <vt:i4>5</vt:i4>
      </vt:variant>
      <vt:variant>
        <vt:lpwstr/>
      </vt:variant>
      <vt:variant>
        <vt:lpwstr>_Toc165464743</vt:lpwstr>
      </vt:variant>
      <vt:variant>
        <vt:i4>1376309</vt:i4>
      </vt:variant>
      <vt:variant>
        <vt:i4>533</vt:i4>
      </vt:variant>
      <vt:variant>
        <vt:i4>0</vt:i4>
      </vt:variant>
      <vt:variant>
        <vt:i4>5</vt:i4>
      </vt:variant>
      <vt:variant>
        <vt:lpwstr/>
      </vt:variant>
      <vt:variant>
        <vt:lpwstr>_Toc165464742</vt:lpwstr>
      </vt:variant>
      <vt:variant>
        <vt:i4>1376309</vt:i4>
      </vt:variant>
      <vt:variant>
        <vt:i4>527</vt:i4>
      </vt:variant>
      <vt:variant>
        <vt:i4>0</vt:i4>
      </vt:variant>
      <vt:variant>
        <vt:i4>5</vt:i4>
      </vt:variant>
      <vt:variant>
        <vt:lpwstr/>
      </vt:variant>
      <vt:variant>
        <vt:lpwstr>_Toc165464741</vt:lpwstr>
      </vt:variant>
      <vt:variant>
        <vt:i4>1376309</vt:i4>
      </vt:variant>
      <vt:variant>
        <vt:i4>521</vt:i4>
      </vt:variant>
      <vt:variant>
        <vt:i4>0</vt:i4>
      </vt:variant>
      <vt:variant>
        <vt:i4>5</vt:i4>
      </vt:variant>
      <vt:variant>
        <vt:lpwstr/>
      </vt:variant>
      <vt:variant>
        <vt:lpwstr>_Toc165464740</vt:lpwstr>
      </vt:variant>
      <vt:variant>
        <vt:i4>1179701</vt:i4>
      </vt:variant>
      <vt:variant>
        <vt:i4>515</vt:i4>
      </vt:variant>
      <vt:variant>
        <vt:i4>0</vt:i4>
      </vt:variant>
      <vt:variant>
        <vt:i4>5</vt:i4>
      </vt:variant>
      <vt:variant>
        <vt:lpwstr/>
      </vt:variant>
      <vt:variant>
        <vt:lpwstr>_Toc165464739</vt:lpwstr>
      </vt:variant>
      <vt:variant>
        <vt:i4>1179701</vt:i4>
      </vt:variant>
      <vt:variant>
        <vt:i4>509</vt:i4>
      </vt:variant>
      <vt:variant>
        <vt:i4>0</vt:i4>
      </vt:variant>
      <vt:variant>
        <vt:i4>5</vt:i4>
      </vt:variant>
      <vt:variant>
        <vt:lpwstr/>
      </vt:variant>
      <vt:variant>
        <vt:lpwstr>_Toc165464738</vt:lpwstr>
      </vt:variant>
      <vt:variant>
        <vt:i4>1179701</vt:i4>
      </vt:variant>
      <vt:variant>
        <vt:i4>503</vt:i4>
      </vt:variant>
      <vt:variant>
        <vt:i4>0</vt:i4>
      </vt:variant>
      <vt:variant>
        <vt:i4>5</vt:i4>
      </vt:variant>
      <vt:variant>
        <vt:lpwstr/>
      </vt:variant>
      <vt:variant>
        <vt:lpwstr>_Toc165464737</vt:lpwstr>
      </vt:variant>
      <vt:variant>
        <vt:i4>1179701</vt:i4>
      </vt:variant>
      <vt:variant>
        <vt:i4>497</vt:i4>
      </vt:variant>
      <vt:variant>
        <vt:i4>0</vt:i4>
      </vt:variant>
      <vt:variant>
        <vt:i4>5</vt:i4>
      </vt:variant>
      <vt:variant>
        <vt:lpwstr/>
      </vt:variant>
      <vt:variant>
        <vt:lpwstr>_Toc165464736</vt:lpwstr>
      </vt:variant>
      <vt:variant>
        <vt:i4>1179701</vt:i4>
      </vt:variant>
      <vt:variant>
        <vt:i4>491</vt:i4>
      </vt:variant>
      <vt:variant>
        <vt:i4>0</vt:i4>
      </vt:variant>
      <vt:variant>
        <vt:i4>5</vt:i4>
      </vt:variant>
      <vt:variant>
        <vt:lpwstr/>
      </vt:variant>
      <vt:variant>
        <vt:lpwstr>_Toc165464735</vt:lpwstr>
      </vt:variant>
      <vt:variant>
        <vt:i4>1179701</vt:i4>
      </vt:variant>
      <vt:variant>
        <vt:i4>485</vt:i4>
      </vt:variant>
      <vt:variant>
        <vt:i4>0</vt:i4>
      </vt:variant>
      <vt:variant>
        <vt:i4>5</vt:i4>
      </vt:variant>
      <vt:variant>
        <vt:lpwstr/>
      </vt:variant>
      <vt:variant>
        <vt:lpwstr>_Toc165464734</vt:lpwstr>
      </vt:variant>
      <vt:variant>
        <vt:i4>1179701</vt:i4>
      </vt:variant>
      <vt:variant>
        <vt:i4>479</vt:i4>
      </vt:variant>
      <vt:variant>
        <vt:i4>0</vt:i4>
      </vt:variant>
      <vt:variant>
        <vt:i4>5</vt:i4>
      </vt:variant>
      <vt:variant>
        <vt:lpwstr/>
      </vt:variant>
      <vt:variant>
        <vt:lpwstr>_Toc165464733</vt:lpwstr>
      </vt:variant>
      <vt:variant>
        <vt:i4>1179701</vt:i4>
      </vt:variant>
      <vt:variant>
        <vt:i4>473</vt:i4>
      </vt:variant>
      <vt:variant>
        <vt:i4>0</vt:i4>
      </vt:variant>
      <vt:variant>
        <vt:i4>5</vt:i4>
      </vt:variant>
      <vt:variant>
        <vt:lpwstr/>
      </vt:variant>
      <vt:variant>
        <vt:lpwstr>_Toc165464732</vt:lpwstr>
      </vt:variant>
      <vt:variant>
        <vt:i4>1179701</vt:i4>
      </vt:variant>
      <vt:variant>
        <vt:i4>467</vt:i4>
      </vt:variant>
      <vt:variant>
        <vt:i4>0</vt:i4>
      </vt:variant>
      <vt:variant>
        <vt:i4>5</vt:i4>
      </vt:variant>
      <vt:variant>
        <vt:lpwstr/>
      </vt:variant>
      <vt:variant>
        <vt:lpwstr>_Toc165464731</vt:lpwstr>
      </vt:variant>
      <vt:variant>
        <vt:i4>1179701</vt:i4>
      </vt:variant>
      <vt:variant>
        <vt:i4>461</vt:i4>
      </vt:variant>
      <vt:variant>
        <vt:i4>0</vt:i4>
      </vt:variant>
      <vt:variant>
        <vt:i4>5</vt:i4>
      </vt:variant>
      <vt:variant>
        <vt:lpwstr/>
      </vt:variant>
      <vt:variant>
        <vt:lpwstr>_Toc165464730</vt:lpwstr>
      </vt:variant>
      <vt:variant>
        <vt:i4>1245237</vt:i4>
      </vt:variant>
      <vt:variant>
        <vt:i4>455</vt:i4>
      </vt:variant>
      <vt:variant>
        <vt:i4>0</vt:i4>
      </vt:variant>
      <vt:variant>
        <vt:i4>5</vt:i4>
      </vt:variant>
      <vt:variant>
        <vt:lpwstr/>
      </vt:variant>
      <vt:variant>
        <vt:lpwstr>_Toc165464729</vt:lpwstr>
      </vt:variant>
      <vt:variant>
        <vt:i4>1245237</vt:i4>
      </vt:variant>
      <vt:variant>
        <vt:i4>449</vt:i4>
      </vt:variant>
      <vt:variant>
        <vt:i4>0</vt:i4>
      </vt:variant>
      <vt:variant>
        <vt:i4>5</vt:i4>
      </vt:variant>
      <vt:variant>
        <vt:lpwstr/>
      </vt:variant>
      <vt:variant>
        <vt:lpwstr>_Toc165464728</vt:lpwstr>
      </vt:variant>
      <vt:variant>
        <vt:i4>1245237</vt:i4>
      </vt:variant>
      <vt:variant>
        <vt:i4>443</vt:i4>
      </vt:variant>
      <vt:variant>
        <vt:i4>0</vt:i4>
      </vt:variant>
      <vt:variant>
        <vt:i4>5</vt:i4>
      </vt:variant>
      <vt:variant>
        <vt:lpwstr/>
      </vt:variant>
      <vt:variant>
        <vt:lpwstr>_Toc165464727</vt:lpwstr>
      </vt:variant>
      <vt:variant>
        <vt:i4>1245237</vt:i4>
      </vt:variant>
      <vt:variant>
        <vt:i4>437</vt:i4>
      </vt:variant>
      <vt:variant>
        <vt:i4>0</vt:i4>
      </vt:variant>
      <vt:variant>
        <vt:i4>5</vt:i4>
      </vt:variant>
      <vt:variant>
        <vt:lpwstr/>
      </vt:variant>
      <vt:variant>
        <vt:lpwstr>_Toc165464726</vt:lpwstr>
      </vt:variant>
      <vt:variant>
        <vt:i4>1245237</vt:i4>
      </vt:variant>
      <vt:variant>
        <vt:i4>431</vt:i4>
      </vt:variant>
      <vt:variant>
        <vt:i4>0</vt:i4>
      </vt:variant>
      <vt:variant>
        <vt:i4>5</vt:i4>
      </vt:variant>
      <vt:variant>
        <vt:lpwstr/>
      </vt:variant>
      <vt:variant>
        <vt:lpwstr>_Toc165464725</vt:lpwstr>
      </vt:variant>
      <vt:variant>
        <vt:i4>1245237</vt:i4>
      </vt:variant>
      <vt:variant>
        <vt:i4>425</vt:i4>
      </vt:variant>
      <vt:variant>
        <vt:i4>0</vt:i4>
      </vt:variant>
      <vt:variant>
        <vt:i4>5</vt:i4>
      </vt:variant>
      <vt:variant>
        <vt:lpwstr/>
      </vt:variant>
      <vt:variant>
        <vt:lpwstr>_Toc165464724</vt:lpwstr>
      </vt:variant>
      <vt:variant>
        <vt:i4>1245237</vt:i4>
      </vt:variant>
      <vt:variant>
        <vt:i4>419</vt:i4>
      </vt:variant>
      <vt:variant>
        <vt:i4>0</vt:i4>
      </vt:variant>
      <vt:variant>
        <vt:i4>5</vt:i4>
      </vt:variant>
      <vt:variant>
        <vt:lpwstr/>
      </vt:variant>
      <vt:variant>
        <vt:lpwstr>_Toc165464723</vt:lpwstr>
      </vt:variant>
      <vt:variant>
        <vt:i4>1245237</vt:i4>
      </vt:variant>
      <vt:variant>
        <vt:i4>413</vt:i4>
      </vt:variant>
      <vt:variant>
        <vt:i4>0</vt:i4>
      </vt:variant>
      <vt:variant>
        <vt:i4>5</vt:i4>
      </vt:variant>
      <vt:variant>
        <vt:lpwstr/>
      </vt:variant>
      <vt:variant>
        <vt:lpwstr>_Toc165464722</vt:lpwstr>
      </vt:variant>
      <vt:variant>
        <vt:i4>1245237</vt:i4>
      </vt:variant>
      <vt:variant>
        <vt:i4>407</vt:i4>
      </vt:variant>
      <vt:variant>
        <vt:i4>0</vt:i4>
      </vt:variant>
      <vt:variant>
        <vt:i4>5</vt:i4>
      </vt:variant>
      <vt:variant>
        <vt:lpwstr/>
      </vt:variant>
      <vt:variant>
        <vt:lpwstr>_Toc165464721</vt:lpwstr>
      </vt:variant>
      <vt:variant>
        <vt:i4>1245237</vt:i4>
      </vt:variant>
      <vt:variant>
        <vt:i4>401</vt:i4>
      </vt:variant>
      <vt:variant>
        <vt:i4>0</vt:i4>
      </vt:variant>
      <vt:variant>
        <vt:i4>5</vt:i4>
      </vt:variant>
      <vt:variant>
        <vt:lpwstr/>
      </vt:variant>
      <vt:variant>
        <vt:lpwstr>_Toc165464720</vt:lpwstr>
      </vt:variant>
      <vt:variant>
        <vt:i4>1048629</vt:i4>
      </vt:variant>
      <vt:variant>
        <vt:i4>392</vt:i4>
      </vt:variant>
      <vt:variant>
        <vt:i4>0</vt:i4>
      </vt:variant>
      <vt:variant>
        <vt:i4>5</vt:i4>
      </vt:variant>
      <vt:variant>
        <vt:lpwstr/>
      </vt:variant>
      <vt:variant>
        <vt:lpwstr>_Toc165464719</vt:lpwstr>
      </vt:variant>
      <vt:variant>
        <vt:i4>1048629</vt:i4>
      </vt:variant>
      <vt:variant>
        <vt:i4>386</vt:i4>
      </vt:variant>
      <vt:variant>
        <vt:i4>0</vt:i4>
      </vt:variant>
      <vt:variant>
        <vt:i4>5</vt:i4>
      </vt:variant>
      <vt:variant>
        <vt:lpwstr/>
      </vt:variant>
      <vt:variant>
        <vt:lpwstr>_Toc165464718</vt:lpwstr>
      </vt:variant>
      <vt:variant>
        <vt:i4>1048629</vt:i4>
      </vt:variant>
      <vt:variant>
        <vt:i4>380</vt:i4>
      </vt:variant>
      <vt:variant>
        <vt:i4>0</vt:i4>
      </vt:variant>
      <vt:variant>
        <vt:i4>5</vt:i4>
      </vt:variant>
      <vt:variant>
        <vt:lpwstr/>
      </vt:variant>
      <vt:variant>
        <vt:lpwstr>_Toc165464717</vt:lpwstr>
      </vt:variant>
      <vt:variant>
        <vt:i4>1048629</vt:i4>
      </vt:variant>
      <vt:variant>
        <vt:i4>374</vt:i4>
      </vt:variant>
      <vt:variant>
        <vt:i4>0</vt:i4>
      </vt:variant>
      <vt:variant>
        <vt:i4>5</vt:i4>
      </vt:variant>
      <vt:variant>
        <vt:lpwstr/>
      </vt:variant>
      <vt:variant>
        <vt:lpwstr>_Toc165464716</vt:lpwstr>
      </vt:variant>
      <vt:variant>
        <vt:i4>1048629</vt:i4>
      </vt:variant>
      <vt:variant>
        <vt:i4>368</vt:i4>
      </vt:variant>
      <vt:variant>
        <vt:i4>0</vt:i4>
      </vt:variant>
      <vt:variant>
        <vt:i4>5</vt:i4>
      </vt:variant>
      <vt:variant>
        <vt:lpwstr/>
      </vt:variant>
      <vt:variant>
        <vt:lpwstr>_Toc165464715</vt:lpwstr>
      </vt:variant>
      <vt:variant>
        <vt:i4>1048629</vt:i4>
      </vt:variant>
      <vt:variant>
        <vt:i4>362</vt:i4>
      </vt:variant>
      <vt:variant>
        <vt:i4>0</vt:i4>
      </vt:variant>
      <vt:variant>
        <vt:i4>5</vt:i4>
      </vt:variant>
      <vt:variant>
        <vt:lpwstr/>
      </vt:variant>
      <vt:variant>
        <vt:lpwstr>_Toc165464714</vt:lpwstr>
      </vt:variant>
      <vt:variant>
        <vt:i4>1048629</vt:i4>
      </vt:variant>
      <vt:variant>
        <vt:i4>356</vt:i4>
      </vt:variant>
      <vt:variant>
        <vt:i4>0</vt:i4>
      </vt:variant>
      <vt:variant>
        <vt:i4>5</vt:i4>
      </vt:variant>
      <vt:variant>
        <vt:lpwstr/>
      </vt:variant>
      <vt:variant>
        <vt:lpwstr>_Toc165464713</vt:lpwstr>
      </vt:variant>
      <vt:variant>
        <vt:i4>1048629</vt:i4>
      </vt:variant>
      <vt:variant>
        <vt:i4>350</vt:i4>
      </vt:variant>
      <vt:variant>
        <vt:i4>0</vt:i4>
      </vt:variant>
      <vt:variant>
        <vt:i4>5</vt:i4>
      </vt:variant>
      <vt:variant>
        <vt:lpwstr/>
      </vt:variant>
      <vt:variant>
        <vt:lpwstr>_Toc165464712</vt:lpwstr>
      </vt:variant>
      <vt:variant>
        <vt:i4>1048629</vt:i4>
      </vt:variant>
      <vt:variant>
        <vt:i4>344</vt:i4>
      </vt:variant>
      <vt:variant>
        <vt:i4>0</vt:i4>
      </vt:variant>
      <vt:variant>
        <vt:i4>5</vt:i4>
      </vt:variant>
      <vt:variant>
        <vt:lpwstr/>
      </vt:variant>
      <vt:variant>
        <vt:lpwstr>_Toc165464711</vt:lpwstr>
      </vt:variant>
      <vt:variant>
        <vt:i4>1048629</vt:i4>
      </vt:variant>
      <vt:variant>
        <vt:i4>338</vt:i4>
      </vt:variant>
      <vt:variant>
        <vt:i4>0</vt:i4>
      </vt:variant>
      <vt:variant>
        <vt:i4>5</vt:i4>
      </vt:variant>
      <vt:variant>
        <vt:lpwstr/>
      </vt:variant>
      <vt:variant>
        <vt:lpwstr>_Toc165464710</vt:lpwstr>
      </vt:variant>
      <vt:variant>
        <vt:i4>1114165</vt:i4>
      </vt:variant>
      <vt:variant>
        <vt:i4>332</vt:i4>
      </vt:variant>
      <vt:variant>
        <vt:i4>0</vt:i4>
      </vt:variant>
      <vt:variant>
        <vt:i4>5</vt:i4>
      </vt:variant>
      <vt:variant>
        <vt:lpwstr/>
      </vt:variant>
      <vt:variant>
        <vt:lpwstr>_Toc165464709</vt:lpwstr>
      </vt:variant>
      <vt:variant>
        <vt:i4>1114165</vt:i4>
      </vt:variant>
      <vt:variant>
        <vt:i4>326</vt:i4>
      </vt:variant>
      <vt:variant>
        <vt:i4>0</vt:i4>
      </vt:variant>
      <vt:variant>
        <vt:i4>5</vt:i4>
      </vt:variant>
      <vt:variant>
        <vt:lpwstr/>
      </vt:variant>
      <vt:variant>
        <vt:lpwstr>_Toc165464708</vt:lpwstr>
      </vt:variant>
      <vt:variant>
        <vt:i4>1114165</vt:i4>
      </vt:variant>
      <vt:variant>
        <vt:i4>320</vt:i4>
      </vt:variant>
      <vt:variant>
        <vt:i4>0</vt:i4>
      </vt:variant>
      <vt:variant>
        <vt:i4>5</vt:i4>
      </vt:variant>
      <vt:variant>
        <vt:lpwstr/>
      </vt:variant>
      <vt:variant>
        <vt:lpwstr>_Toc165464707</vt:lpwstr>
      </vt:variant>
      <vt:variant>
        <vt:i4>1114165</vt:i4>
      </vt:variant>
      <vt:variant>
        <vt:i4>314</vt:i4>
      </vt:variant>
      <vt:variant>
        <vt:i4>0</vt:i4>
      </vt:variant>
      <vt:variant>
        <vt:i4>5</vt:i4>
      </vt:variant>
      <vt:variant>
        <vt:lpwstr/>
      </vt:variant>
      <vt:variant>
        <vt:lpwstr>_Toc165464706</vt:lpwstr>
      </vt:variant>
      <vt:variant>
        <vt:i4>1114165</vt:i4>
      </vt:variant>
      <vt:variant>
        <vt:i4>308</vt:i4>
      </vt:variant>
      <vt:variant>
        <vt:i4>0</vt:i4>
      </vt:variant>
      <vt:variant>
        <vt:i4>5</vt:i4>
      </vt:variant>
      <vt:variant>
        <vt:lpwstr/>
      </vt:variant>
      <vt:variant>
        <vt:lpwstr>_Toc165464705</vt:lpwstr>
      </vt:variant>
      <vt:variant>
        <vt:i4>1114165</vt:i4>
      </vt:variant>
      <vt:variant>
        <vt:i4>302</vt:i4>
      </vt:variant>
      <vt:variant>
        <vt:i4>0</vt:i4>
      </vt:variant>
      <vt:variant>
        <vt:i4>5</vt:i4>
      </vt:variant>
      <vt:variant>
        <vt:lpwstr/>
      </vt:variant>
      <vt:variant>
        <vt:lpwstr>_Toc165464704</vt:lpwstr>
      </vt:variant>
      <vt:variant>
        <vt:i4>1114165</vt:i4>
      </vt:variant>
      <vt:variant>
        <vt:i4>296</vt:i4>
      </vt:variant>
      <vt:variant>
        <vt:i4>0</vt:i4>
      </vt:variant>
      <vt:variant>
        <vt:i4>5</vt:i4>
      </vt:variant>
      <vt:variant>
        <vt:lpwstr/>
      </vt:variant>
      <vt:variant>
        <vt:lpwstr>_Toc165464703</vt:lpwstr>
      </vt:variant>
      <vt:variant>
        <vt:i4>1114165</vt:i4>
      </vt:variant>
      <vt:variant>
        <vt:i4>290</vt:i4>
      </vt:variant>
      <vt:variant>
        <vt:i4>0</vt:i4>
      </vt:variant>
      <vt:variant>
        <vt:i4>5</vt:i4>
      </vt:variant>
      <vt:variant>
        <vt:lpwstr/>
      </vt:variant>
      <vt:variant>
        <vt:lpwstr>_Toc165464702</vt:lpwstr>
      </vt:variant>
      <vt:variant>
        <vt:i4>1114165</vt:i4>
      </vt:variant>
      <vt:variant>
        <vt:i4>284</vt:i4>
      </vt:variant>
      <vt:variant>
        <vt:i4>0</vt:i4>
      </vt:variant>
      <vt:variant>
        <vt:i4>5</vt:i4>
      </vt:variant>
      <vt:variant>
        <vt:lpwstr/>
      </vt:variant>
      <vt:variant>
        <vt:lpwstr>_Toc165464701</vt:lpwstr>
      </vt:variant>
      <vt:variant>
        <vt:i4>1114165</vt:i4>
      </vt:variant>
      <vt:variant>
        <vt:i4>278</vt:i4>
      </vt:variant>
      <vt:variant>
        <vt:i4>0</vt:i4>
      </vt:variant>
      <vt:variant>
        <vt:i4>5</vt:i4>
      </vt:variant>
      <vt:variant>
        <vt:lpwstr/>
      </vt:variant>
      <vt:variant>
        <vt:lpwstr>_Toc165464700</vt:lpwstr>
      </vt:variant>
      <vt:variant>
        <vt:i4>1572916</vt:i4>
      </vt:variant>
      <vt:variant>
        <vt:i4>272</vt:i4>
      </vt:variant>
      <vt:variant>
        <vt:i4>0</vt:i4>
      </vt:variant>
      <vt:variant>
        <vt:i4>5</vt:i4>
      </vt:variant>
      <vt:variant>
        <vt:lpwstr/>
      </vt:variant>
      <vt:variant>
        <vt:lpwstr>_Toc165464699</vt:lpwstr>
      </vt:variant>
      <vt:variant>
        <vt:i4>1572916</vt:i4>
      </vt:variant>
      <vt:variant>
        <vt:i4>266</vt:i4>
      </vt:variant>
      <vt:variant>
        <vt:i4>0</vt:i4>
      </vt:variant>
      <vt:variant>
        <vt:i4>5</vt:i4>
      </vt:variant>
      <vt:variant>
        <vt:lpwstr/>
      </vt:variant>
      <vt:variant>
        <vt:lpwstr>_Toc165464698</vt:lpwstr>
      </vt:variant>
      <vt:variant>
        <vt:i4>1572916</vt:i4>
      </vt:variant>
      <vt:variant>
        <vt:i4>260</vt:i4>
      </vt:variant>
      <vt:variant>
        <vt:i4>0</vt:i4>
      </vt:variant>
      <vt:variant>
        <vt:i4>5</vt:i4>
      </vt:variant>
      <vt:variant>
        <vt:lpwstr/>
      </vt:variant>
      <vt:variant>
        <vt:lpwstr>_Toc165464697</vt:lpwstr>
      </vt:variant>
      <vt:variant>
        <vt:i4>1572916</vt:i4>
      </vt:variant>
      <vt:variant>
        <vt:i4>254</vt:i4>
      </vt:variant>
      <vt:variant>
        <vt:i4>0</vt:i4>
      </vt:variant>
      <vt:variant>
        <vt:i4>5</vt:i4>
      </vt:variant>
      <vt:variant>
        <vt:lpwstr/>
      </vt:variant>
      <vt:variant>
        <vt:lpwstr>_Toc165464696</vt:lpwstr>
      </vt:variant>
      <vt:variant>
        <vt:i4>1572916</vt:i4>
      </vt:variant>
      <vt:variant>
        <vt:i4>248</vt:i4>
      </vt:variant>
      <vt:variant>
        <vt:i4>0</vt:i4>
      </vt:variant>
      <vt:variant>
        <vt:i4>5</vt:i4>
      </vt:variant>
      <vt:variant>
        <vt:lpwstr/>
      </vt:variant>
      <vt:variant>
        <vt:lpwstr>_Toc165464695</vt:lpwstr>
      </vt:variant>
      <vt:variant>
        <vt:i4>1572916</vt:i4>
      </vt:variant>
      <vt:variant>
        <vt:i4>242</vt:i4>
      </vt:variant>
      <vt:variant>
        <vt:i4>0</vt:i4>
      </vt:variant>
      <vt:variant>
        <vt:i4>5</vt:i4>
      </vt:variant>
      <vt:variant>
        <vt:lpwstr/>
      </vt:variant>
      <vt:variant>
        <vt:lpwstr>_Toc165464694</vt:lpwstr>
      </vt:variant>
      <vt:variant>
        <vt:i4>1572916</vt:i4>
      </vt:variant>
      <vt:variant>
        <vt:i4>236</vt:i4>
      </vt:variant>
      <vt:variant>
        <vt:i4>0</vt:i4>
      </vt:variant>
      <vt:variant>
        <vt:i4>5</vt:i4>
      </vt:variant>
      <vt:variant>
        <vt:lpwstr/>
      </vt:variant>
      <vt:variant>
        <vt:lpwstr>_Toc165464693</vt:lpwstr>
      </vt:variant>
      <vt:variant>
        <vt:i4>1572916</vt:i4>
      </vt:variant>
      <vt:variant>
        <vt:i4>230</vt:i4>
      </vt:variant>
      <vt:variant>
        <vt:i4>0</vt:i4>
      </vt:variant>
      <vt:variant>
        <vt:i4>5</vt:i4>
      </vt:variant>
      <vt:variant>
        <vt:lpwstr/>
      </vt:variant>
      <vt:variant>
        <vt:lpwstr>_Toc165464692</vt:lpwstr>
      </vt:variant>
      <vt:variant>
        <vt:i4>1572916</vt:i4>
      </vt:variant>
      <vt:variant>
        <vt:i4>224</vt:i4>
      </vt:variant>
      <vt:variant>
        <vt:i4>0</vt:i4>
      </vt:variant>
      <vt:variant>
        <vt:i4>5</vt:i4>
      </vt:variant>
      <vt:variant>
        <vt:lpwstr/>
      </vt:variant>
      <vt:variant>
        <vt:lpwstr>_Toc165464691</vt:lpwstr>
      </vt:variant>
      <vt:variant>
        <vt:i4>1572916</vt:i4>
      </vt:variant>
      <vt:variant>
        <vt:i4>218</vt:i4>
      </vt:variant>
      <vt:variant>
        <vt:i4>0</vt:i4>
      </vt:variant>
      <vt:variant>
        <vt:i4>5</vt:i4>
      </vt:variant>
      <vt:variant>
        <vt:lpwstr/>
      </vt:variant>
      <vt:variant>
        <vt:lpwstr>_Toc165464690</vt:lpwstr>
      </vt:variant>
      <vt:variant>
        <vt:i4>1638452</vt:i4>
      </vt:variant>
      <vt:variant>
        <vt:i4>212</vt:i4>
      </vt:variant>
      <vt:variant>
        <vt:i4>0</vt:i4>
      </vt:variant>
      <vt:variant>
        <vt:i4>5</vt:i4>
      </vt:variant>
      <vt:variant>
        <vt:lpwstr/>
      </vt:variant>
      <vt:variant>
        <vt:lpwstr>_Toc165464689</vt:lpwstr>
      </vt:variant>
      <vt:variant>
        <vt:i4>1638452</vt:i4>
      </vt:variant>
      <vt:variant>
        <vt:i4>206</vt:i4>
      </vt:variant>
      <vt:variant>
        <vt:i4>0</vt:i4>
      </vt:variant>
      <vt:variant>
        <vt:i4>5</vt:i4>
      </vt:variant>
      <vt:variant>
        <vt:lpwstr/>
      </vt:variant>
      <vt:variant>
        <vt:lpwstr>_Toc165464688</vt:lpwstr>
      </vt:variant>
      <vt:variant>
        <vt:i4>1638452</vt:i4>
      </vt:variant>
      <vt:variant>
        <vt:i4>200</vt:i4>
      </vt:variant>
      <vt:variant>
        <vt:i4>0</vt:i4>
      </vt:variant>
      <vt:variant>
        <vt:i4>5</vt:i4>
      </vt:variant>
      <vt:variant>
        <vt:lpwstr/>
      </vt:variant>
      <vt:variant>
        <vt:lpwstr>_Toc165464687</vt:lpwstr>
      </vt:variant>
      <vt:variant>
        <vt:i4>1638452</vt:i4>
      </vt:variant>
      <vt:variant>
        <vt:i4>194</vt:i4>
      </vt:variant>
      <vt:variant>
        <vt:i4>0</vt:i4>
      </vt:variant>
      <vt:variant>
        <vt:i4>5</vt:i4>
      </vt:variant>
      <vt:variant>
        <vt:lpwstr/>
      </vt:variant>
      <vt:variant>
        <vt:lpwstr>_Toc165464686</vt:lpwstr>
      </vt:variant>
      <vt:variant>
        <vt:i4>1638452</vt:i4>
      </vt:variant>
      <vt:variant>
        <vt:i4>188</vt:i4>
      </vt:variant>
      <vt:variant>
        <vt:i4>0</vt:i4>
      </vt:variant>
      <vt:variant>
        <vt:i4>5</vt:i4>
      </vt:variant>
      <vt:variant>
        <vt:lpwstr/>
      </vt:variant>
      <vt:variant>
        <vt:lpwstr>_Toc165464685</vt:lpwstr>
      </vt:variant>
      <vt:variant>
        <vt:i4>1638452</vt:i4>
      </vt:variant>
      <vt:variant>
        <vt:i4>182</vt:i4>
      </vt:variant>
      <vt:variant>
        <vt:i4>0</vt:i4>
      </vt:variant>
      <vt:variant>
        <vt:i4>5</vt:i4>
      </vt:variant>
      <vt:variant>
        <vt:lpwstr/>
      </vt:variant>
      <vt:variant>
        <vt:lpwstr>_Toc165464684</vt:lpwstr>
      </vt:variant>
      <vt:variant>
        <vt:i4>1638452</vt:i4>
      </vt:variant>
      <vt:variant>
        <vt:i4>176</vt:i4>
      </vt:variant>
      <vt:variant>
        <vt:i4>0</vt:i4>
      </vt:variant>
      <vt:variant>
        <vt:i4>5</vt:i4>
      </vt:variant>
      <vt:variant>
        <vt:lpwstr/>
      </vt:variant>
      <vt:variant>
        <vt:lpwstr>_Toc165464683</vt:lpwstr>
      </vt:variant>
      <vt:variant>
        <vt:i4>1638452</vt:i4>
      </vt:variant>
      <vt:variant>
        <vt:i4>170</vt:i4>
      </vt:variant>
      <vt:variant>
        <vt:i4>0</vt:i4>
      </vt:variant>
      <vt:variant>
        <vt:i4>5</vt:i4>
      </vt:variant>
      <vt:variant>
        <vt:lpwstr/>
      </vt:variant>
      <vt:variant>
        <vt:lpwstr>_Toc165464682</vt:lpwstr>
      </vt:variant>
      <vt:variant>
        <vt:i4>1638452</vt:i4>
      </vt:variant>
      <vt:variant>
        <vt:i4>164</vt:i4>
      </vt:variant>
      <vt:variant>
        <vt:i4>0</vt:i4>
      </vt:variant>
      <vt:variant>
        <vt:i4>5</vt:i4>
      </vt:variant>
      <vt:variant>
        <vt:lpwstr/>
      </vt:variant>
      <vt:variant>
        <vt:lpwstr>_Toc165464681</vt:lpwstr>
      </vt:variant>
      <vt:variant>
        <vt:i4>1638452</vt:i4>
      </vt:variant>
      <vt:variant>
        <vt:i4>158</vt:i4>
      </vt:variant>
      <vt:variant>
        <vt:i4>0</vt:i4>
      </vt:variant>
      <vt:variant>
        <vt:i4>5</vt:i4>
      </vt:variant>
      <vt:variant>
        <vt:lpwstr/>
      </vt:variant>
      <vt:variant>
        <vt:lpwstr>_Toc165464680</vt:lpwstr>
      </vt:variant>
      <vt:variant>
        <vt:i4>1441844</vt:i4>
      </vt:variant>
      <vt:variant>
        <vt:i4>152</vt:i4>
      </vt:variant>
      <vt:variant>
        <vt:i4>0</vt:i4>
      </vt:variant>
      <vt:variant>
        <vt:i4>5</vt:i4>
      </vt:variant>
      <vt:variant>
        <vt:lpwstr/>
      </vt:variant>
      <vt:variant>
        <vt:lpwstr>_Toc165464679</vt:lpwstr>
      </vt:variant>
      <vt:variant>
        <vt:i4>1441844</vt:i4>
      </vt:variant>
      <vt:variant>
        <vt:i4>146</vt:i4>
      </vt:variant>
      <vt:variant>
        <vt:i4>0</vt:i4>
      </vt:variant>
      <vt:variant>
        <vt:i4>5</vt:i4>
      </vt:variant>
      <vt:variant>
        <vt:lpwstr/>
      </vt:variant>
      <vt:variant>
        <vt:lpwstr>_Toc165464678</vt:lpwstr>
      </vt:variant>
      <vt:variant>
        <vt:i4>1441844</vt:i4>
      </vt:variant>
      <vt:variant>
        <vt:i4>140</vt:i4>
      </vt:variant>
      <vt:variant>
        <vt:i4>0</vt:i4>
      </vt:variant>
      <vt:variant>
        <vt:i4>5</vt:i4>
      </vt:variant>
      <vt:variant>
        <vt:lpwstr/>
      </vt:variant>
      <vt:variant>
        <vt:lpwstr>_Toc165464677</vt:lpwstr>
      </vt:variant>
      <vt:variant>
        <vt:i4>1441844</vt:i4>
      </vt:variant>
      <vt:variant>
        <vt:i4>134</vt:i4>
      </vt:variant>
      <vt:variant>
        <vt:i4>0</vt:i4>
      </vt:variant>
      <vt:variant>
        <vt:i4>5</vt:i4>
      </vt:variant>
      <vt:variant>
        <vt:lpwstr/>
      </vt:variant>
      <vt:variant>
        <vt:lpwstr>_Toc165464676</vt:lpwstr>
      </vt:variant>
      <vt:variant>
        <vt:i4>1441844</vt:i4>
      </vt:variant>
      <vt:variant>
        <vt:i4>128</vt:i4>
      </vt:variant>
      <vt:variant>
        <vt:i4>0</vt:i4>
      </vt:variant>
      <vt:variant>
        <vt:i4>5</vt:i4>
      </vt:variant>
      <vt:variant>
        <vt:lpwstr/>
      </vt:variant>
      <vt:variant>
        <vt:lpwstr>_Toc165464675</vt:lpwstr>
      </vt:variant>
      <vt:variant>
        <vt:i4>1441844</vt:i4>
      </vt:variant>
      <vt:variant>
        <vt:i4>122</vt:i4>
      </vt:variant>
      <vt:variant>
        <vt:i4>0</vt:i4>
      </vt:variant>
      <vt:variant>
        <vt:i4>5</vt:i4>
      </vt:variant>
      <vt:variant>
        <vt:lpwstr/>
      </vt:variant>
      <vt:variant>
        <vt:lpwstr>_Toc165464674</vt:lpwstr>
      </vt:variant>
      <vt:variant>
        <vt:i4>1441844</vt:i4>
      </vt:variant>
      <vt:variant>
        <vt:i4>116</vt:i4>
      </vt:variant>
      <vt:variant>
        <vt:i4>0</vt:i4>
      </vt:variant>
      <vt:variant>
        <vt:i4>5</vt:i4>
      </vt:variant>
      <vt:variant>
        <vt:lpwstr/>
      </vt:variant>
      <vt:variant>
        <vt:lpwstr>_Toc165464673</vt:lpwstr>
      </vt:variant>
      <vt:variant>
        <vt:i4>1441844</vt:i4>
      </vt:variant>
      <vt:variant>
        <vt:i4>110</vt:i4>
      </vt:variant>
      <vt:variant>
        <vt:i4>0</vt:i4>
      </vt:variant>
      <vt:variant>
        <vt:i4>5</vt:i4>
      </vt:variant>
      <vt:variant>
        <vt:lpwstr/>
      </vt:variant>
      <vt:variant>
        <vt:lpwstr>_Toc165464672</vt:lpwstr>
      </vt:variant>
      <vt:variant>
        <vt:i4>1441844</vt:i4>
      </vt:variant>
      <vt:variant>
        <vt:i4>104</vt:i4>
      </vt:variant>
      <vt:variant>
        <vt:i4>0</vt:i4>
      </vt:variant>
      <vt:variant>
        <vt:i4>5</vt:i4>
      </vt:variant>
      <vt:variant>
        <vt:lpwstr/>
      </vt:variant>
      <vt:variant>
        <vt:lpwstr>_Toc165464671</vt:lpwstr>
      </vt:variant>
      <vt:variant>
        <vt:i4>1441844</vt:i4>
      </vt:variant>
      <vt:variant>
        <vt:i4>98</vt:i4>
      </vt:variant>
      <vt:variant>
        <vt:i4>0</vt:i4>
      </vt:variant>
      <vt:variant>
        <vt:i4>5</vt:i4>
      </vt:variant>
      <vt:variant>
        <vt:lpwstr/>
      </vt:variant>
      <vt:variant>
        <vt:lpwstr>_Toc165464670</vt:lpwstr>
      </vt:variant>
      <vt:variant>
        <vt:i4>1507380</vt:i4>
      </vt:variant>
      <vt:variant>
        <vt:i4>92</vt:i4>
      </vt:variant>
      <vt:variant>
        <vt:i4>0</vt:i4>
      </vt:variant>
      <vt:variant>
        <vt:i4>5</vt:i4>
      </vt:variant>
      <vt:variant>
        <vt:lpwstr/>
      </vt:variant>
      <vt:variant>
        <vt:lpwstr>_Toc165464669</vt:lpwstr>
      </vt:variant>
      <vt:variant>
        <vt:i4>1507380</vt:i4>
      </vt:variant>
      <vt:variant>
        <vt:i4>86</vt:i4>
      </vt:variant>
      <vt:variant>
        <vt:i4>0</vt:i4>
      </vt:variant>
      <vt:variant>
        <vt:i4>5</vt:i4>
      </vt:variant>
      <vt:variant>
        <vt:lpwstr/>
      </vt:variant>
      <vt:variant>
        <vt:lpwstr>_Toc165464668</vt:lpwstr>
      </vt:variant>
      <vt:variant>
        <vt:i4>1507380</vt:i4>
      </vt:variant>
      <vt:variant>
        <vt:i4>80</vt:i4>
      </vt:variant>
      <vt:variant>
        <vt:i4>0</vt:i4>
      </vt:variant>
      <vt:variant>
        <vt:i4>5</vt:i4>
      </vt:variant>
      <vt:variant>
        <vt:lpwstr/>
      </vt:variant>
      <vt:variant>
        <vt:lpwstr>_Toc165464667</vt:lpwstr>
      </vt:variant>
      <vt:variant>
        <vt:i4>1507380</vt:i4>
      </vt:variant>
      <vt:variant>
        <vt:i4>74</vt:i4>
      </vt:variant>
      <vt:variant>
        <vt:i4>0</vt:i4>
      </vt:variant>
      <vt:variant>
        <vt:i4>5</vt:i4>
      </vt:variant>
      <vt:variant>
        <vt:lpwstr/>
      </vt:variant>
      <vt:variant>
        <vt:lpwstr>_Toc165464666</vt:lpwstr>
      </vt:variant>
      <vt:variant>
        <vt:i4>1507380</vt:i4>
      </vt:variant>
      <vt:variant>
        <vt:i4>68</vt:i4>
      </vt:variant>
      <vt:variant>
        <vt:i4>0</vt:i4>
      </vt:variant>
      <vt:variant>
        <vt:i4>5</vt:i4>
      </vt:variant>
      <vt:variant>
        <vt:lpwstr/>
      </vt:variant>
      <vt:variant>
        <vt:lpwstr>_Toc165464665</vt:lpwstr>
      </vt:variant>
      <vt:variant>
        <vt:i4>1507380</vt:i4>
      </vt:variant>
      <vt:variant>
        <vt:i4>62</vt:i4>
      </vt:variant>
      <vt:variant>
        <vt:i4>0</vt:i4>
      </vt:variant>
      <vt:variant>
        <vt:i4>5</vt:i4>
      </vt:variant>
      <vt:variant>
        <vt:lpwstr/>
      </vt:variant>
      <vt:variant>
        <vt:lpwstr>_Toc165464664</vt:lpwstr>
      </vt:variant>
      <vt:variant>
        <vt:i4>1507380</vt:i4>
      </vt:variant>
      <vt:variant>
        <vt:i4>56</vt:i4>
      </vt:variant>
      <vt:variant>
        <vt:i4>0</vt:i4>
      </vt:variant>
      <vt:variant>
        <vt:i4>5</vt:i4>
      </vt:variant>
      <vt:variant>
        <vt:lpwstr/>
      </vt:variant>
      <vt:variant>
        <vt:lpwstr>_Toc165464663</vt:lpwstr>
      </vt:variant>
      <vt:variant>
        <vt:i4>1507380</vt:i4>
      </vt:variant>
      <vt:variant>
        <vt:i4>50</vt:i4>
      </vt:variant>
      <vt:variant>
        <vt:i4>0</vt:i4>
      </vt:variant>
      <vt:variant>
        <vt:i4>5</vt:i4>
      </vt:variant>
      <vt:variant>
        <vt:lpwstr/>
      </vt:variant>
      <vt:variant>
        <vt:lpwstr>_Toc165464662</vt:lpwstr>
      </vt:variant>
      <vt:variant>
        <vt:i4>1507380</vt:i4>
      </vt:variant>
      <vt:variant>
        <vt:i4>44</vt:i4>
      </vt:variant>
      <vt:variant>
        <vt:i4>0</vt:i4>
      </vt:variant>
      <vt:variant>
        <vt:i4>5</vt:i4>
      </vt:variant>
      <vt:variant>
        <vt:lpwstr/>
      </vt:variant>
      <vt:variant>
        <vt:lpwstr>_Toc165464661</vt:lpwstr>
      </vt:variant>
      <vt:variant>
        <vt:i4>1507380</vt:i4>
      </vt:variant>
      <vt:variant>
        <vt:i4>38</vt:i4>
      </vt:variant>
      <vt:variant>
        <vt:i4>0</vt:i4>
      </vt:variant>
      <vt:variant>
        <vt:i4>5</vt:i4>
      </vt:variant>
      <vt:variant>
        <vt:lpwstr/>
      </vt:variant>
      <vt:variant>
        <vt:lpwstr>_Toc165464660</vt:lpwstr>
      </vt:variant>
      <vt:variant>
        <vt:i4>1310772</vt:i4>
      </vt:variant>
      <vt:variant>
        <vt:i4>32</vt:i4>
      </vt:variant>
      <vt:variant>
        <vt:i4>0</vt:i4>
      </vt:variant>
      <vt:variant>
        <vt:i4>5</vt:i4>
      </vt:variant>
      <vt:variant>
        <vt:lpwstr/>
      </vt:variant>
      <vt:variant>
        <vt:lpwstr>_Toc165464659</vt:lpwstr>
      </vt:variant>
      <vt:variant>
        <vt:i4>1310772</vt:i4>
      </vt:variant>
      <vt:variant>
        <vt:i4>26</vt:i4>
      </vt:variant>
      <vt:variant>
        <vt:i4>0</vt:i4>
      </vt:variant>
      <vt:variant>
        <vt:i4>5</vt:i4>
      </vt:variant>
      <vt:variant>
        <vt:lpwstr/>
      </vt:variant>
      <vt:variant>
        <vt:lpwstr>_Toc165464658</vt:lpwstr>
      </vt:variant>
      <vt:variant>
        <vt:i4>1310772</vt:i4>
      </vt:variant>
      <vt:variant>
        <vt:i4>20</vt:i4>
      </vt:variant>
      <vt:variant>
        <vt:i4>0</vt:i4>
      </vt:variant>
      <vt:variant>
        <vt:i4>5</vt:i4>
      </vt:variant>
      <vt:variant>
        <vt:lpwstr/>
      </vt:variant>
      <vt:variant>
        <vt:lpwstr>_Toc165464657</vt:lpwstr>
      </vt:variant>
      <vt:variant>
        <vt:i4>1310772</vt:i4>
      </vt:variant>
      <vt:variant>
        <vt:i4>14</vt:i4>
      </vt:variant>
      <vt:variant>
        <vt:i4>0</vt:i4>
      </vt:variant>
      <vt:variant>
        <vt:i4>5</vt:i4>
      </vt:variant>
      <vt:variant>
        <vt:lpwstr/>
      </vt:variant>
      <vt:variant>
        <vt:lpwstr>_Toc165464656</vt:lpwstr>
      </vt:variant>
      <vt:variant>
        <vt:i4>1310772</vt:i4>
      </vt:variant>
      <vt:variant>
        <vt:i4>8</vt:i4>
      </vt:variant>
      <vt:variant>
        <vt:i4>0</vt:i4>
      </vt:variant>
      <vt:variant>
        <vt:i4>5</vt:i4>
      </vt:variant>
      <vt:variant>
        <vt:lpwstr/>
      </vt:variant>
      <vt:variant>
        <vt:lpwstr>_Toc165464655</vt:lpwstr>
      </vt:variant>
      <vt:variant>
        <vt:i4>1310772</vt:i4>
      </vt:variant>
      <vt:variant>
        <vt:i4>2</vt:i4>
      </vt:variant>
      <vt:variant>
        <vt:i4>0</vt:i4>
      </vt:variant>
      <vt:variant>
        <vt:i4>5</vt:i4>
      </vt:variant>
      <vt:variant>
        <vt:lpwstr/>
      </vt:variant>
      <vt:variant>
        <vt:lpwstr>_Toc165464654</vt:lpwstr>
      </vt:variant>
      <vt:variant>
        <vt:i4>5373978</vt:i4>
      </vt:variant>
      <vt:variant>
        <vt:i4>12</vt:i4>
      </vt:variant>
      <vt:variant>
        <vt:i4>0</vt:i4>
      </vt:variant>
      <vt:variant>
        <vt:i4>5</vt:i4>
      </vt:variant>
      <vt:variant>
        <vt:lpwstr>https://www.riziv.fgov.be/fr/professionnels/sante/fournisseurs-implants/Pages/implants-liste-prestations-nominatives.aspx</vt:lpwstr>
      </vt:variant>
      <vt:variant>
        <vt:lpwstr/>
      </vt:variant>
      <vt:variant>
        <vt:i4>3866681</vt:i4>
      </vt:variant>
      <vt:variant>
        <vt:i4>9</vt:i4>
      </vt:variant>
      <vt:variant>
        <vt:i4>0</vt:i4>
      </vt:variant>
      <vt:variant>
        <vt:i4>5</vt:i4>
      </vt:variant>
      <vt:variant>
        <vt:lpwstr>https://www.thewomens.org.au/images/uploads/fact-sheets/Urinary-incontinence-Mid-Urethral-Sling.pdf</vt:lpwstr>
      </vt:variant>
      <vt:variant>
        <vt:lpwstr/>
      </vt:variant>
      <vt:variant>
        <vt:i4>3342394</vt:i4>
      </vt:variant>
      <vt:variant>
        <vt:i4>6</vt:i4>
      </vt:variant>
      <vt:variant>
        <vt:i4>0</vt:i4>
      </vt:variant>
      <vt:variant>
        <vt:i4>5</vt:i4>
      </vt:variant>
      <vt:variant>
        <vt:lpwstr>https://www.health.gov.au/resources/publications/advice-on-the-prostheses-list-adjusted-benefit-amounts</vt:lpwstr>
      </vt:variant>
      <vt:variant>
        <vt:lpwstr/>
      </vt:variant>
      <vt:variant>
        <vt:i4>1900555</vt:i4>
      </vt:variant>
      <vt:variant>
        <vt:i4>3</vt:i4>
      </vt:variant>
      <vt:variant>
        <vt:i4>0</vt:i4>
      </vt:variant>
      <vt:variant>
        <vt:i4>5</vt:i4>
      </vt:variant>
      <vt:variant>
        <vt:lpwstr>https://hpr-rps.hres.ca/reg-content/summary-safety-review-detail.php?lang=en&amp;linkID=SSR00288</vt:lpwstr>
      </vt:variant>
      <vt:variant>
        <vt:lpwstr/>
      </vt:variant>
      <vt:variant>
        <vt:i4>1376276</vt:i4>
      </vt:variant>
      <vt:variant>
        <vt:i4>0</vt:i4>
      </vt:variant>
      <vt:variant>
        <vt:i4>0</vt:i4>
      </vt:variant>
      <vt:variant>
        <vt:i4>5</vt:i4>
      </vt:variant>
      <vt:variant>
        <vt:lpwstr>https://www.tga.gov.au/products/medical-devices/urogynaecological-transvaginal-surgical-mesh-hub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Urogynaecological mesh devices (mid-urethral slings)</dc:title>
  <dc:subject>Medical devices</dc:subject>
  <dc:creator>Australian Government, Department of Health and Aged Care</dc:creator>
  <cp:keywords/>
  <dc:description/>
  <cp:lastModifiedBy>Australian Government Department of Health and Aged </cp:lastModifiedBy>
  <cp:revision>2</cp:revision>
  <cp:lastPrinted>2019-01-23T14:46:00Z</cp:lastPrinted>
  <dcterms:created xsi:type="dcterms:W3CDTF">2024-05-22T01:23:00Z</dcterms:created>
  <dcterms:modified xsi:type="dcterms:W3CDTF">2024-05-22T01:23:00Z</dcterms:modified>
  <cp:contentStatus/>
</cp:coreProperties>
</file>