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C4EF" w14:textId="77777777" w:rsidR="0075757C" w:rsidRDefault="0075757C" w:rsidP="00E56E3D">
      <w:pPr>
        <w:pStyle w:val="BodyText"/>
        <w:spacing w:before="76"/>
        <w:jc w:val="center"/>
        <w:rPr>
          <w:b/>
          <w:bCs/>
          <w:u w:val="single"/>
        </w:rPr>
      </w:pPr>
    </w:p>
    <w:p w14:paraId="3D029560" w14:textId="0D483CA9" w:rsidR="002977BA" w:rsidRPr="00E56E3D" w:rsidRDefault="00AA63A5" w:rsidP="00E56E3D">
      <w:pPr>
        <w:pStyle w:val="BodyText"/>
        <w:spacing w:before="76"/>
        <w:jc w:val="center"/>
        <w:rPr>
          <w:b/>
          <w:bCs/>
        </w:rPr>
      </w:pPr>
      <w:r w:rsidRPr="00E56E3D">
        <w:rPr>
          <w:b/>
          <w:bCs/>
          <w:u w:val="single"/>
        </w:rPr>
        <w:t>Unapproved</w:t>
      </w:r>
      <w:r w:rsidRPr="00E56E3D">
        <w:rPr>
          <w:b/>
          <w:bCs/>
          <w:spacing w:val="-4"/>
          <w:u w:val="single"/>
        </w:rPr>
        <w:t xml:space="preserve"> </w:t>
      </w:r>
      <w:r w:rsidRPr="00E56E3D">
        <w:rPr>
          <w:b/>
          <w:bCs/>
          <w:spacing w:val="-2"/>
          <w:u w:val="single"/>
        </w:rPr>
        <w:t>Pharmacies</w:t>
      </w:r>
      <w:r w:rsidR="0075757C">
        <w:rPr>
          <w:b/>
          <w:bCs/>
          <w:spacing w:val="-2"/>
          <w:u w:val="single"/>
        </w:rPr>
        <w:t xml:space="preserve"> fact sheet</w:t>
      </w:r>
    </w:p>
    <w:p w14:paraId="02239CAE" w14:textId="77777777" w:rsidR="007B1E10" w:rsidRDefault="00AA63A5">
      <w:pPr>
        <w:pStyle w:val="BodyText"/>
        <w:spacing w:before="182" w:line="259" w:lineRule="auto"/>
        <w:ind w:right="144"/>
      </w:pPr>
      <w:r>
        <w:t>An approved pharmacist must supply pharmaceutical benefits ‘at’ premises in respect of which the pharmacist is approved (commonly referred to as ‘approved premises’)</w:t>
      </w:r>
      <w:r w:rsidR="007B1E10">
        <w:t xml:space="preserve"> under section 90 of the </w:t>
      </w:r>
      <w:r w:rsidR="007B1E10" w:rsidRPr="00E56E3D">
        <w:rPr>
          <w:i/>
          <w:iCs/>
        </w:rPr>
        <w:t>National Health Act 1953</w:t>
      </w:r>
      <w:r w:rsidR="007B1E10">
        <w:t xml:space="preserve"> (the NH Act)</w:t>
      </w:r>
      <w:r>
        <w:t xml:space="preserve">. </w:t>
      </w:r>
    </w:p>
    <w:p w14:paraId="3D029561" w14:textId="0E121771" w:rsidR="002977BA" w:rsidRPr="00721E69" w:rsidRDefault="00AA63A5">
      <w:pPr>
        <w:pStyle w:val="BodyText"/>
        <w:spacing w:before="182" w:line="259" w:lineRule="auto"/>
        <w:ind w:right="144"/>
      </w:pPr>
      <w:r>
        <w:t>In addition, an approved pharmac</w:t>
      </w:r>
      <w:r w:rsidR="00F5482B">
        <w:t>ist</w:t>
      </w:r>
      <w:r>
        <w:t xml:space="preserve"> may also supply pharmaceutical benefits ‘from’ the approved premises, see subsection 90(5AA) and paragraph 99(3)(b) the </w:t>
      </w:r>
      <w:r w:rsidR="007B1E10">
        <w:t xml:space="preserve">NH </w:t>
      </w:r>
      <w:r>
        <w:t>Act. The Government’s policy position is that the term ‘from’ is intended to mean where the prescription is presented and dispensed at the approved premises and subsequently</w:t>
      </w:r>
      <w:r>
        <w:rPr>
          <w:spacing w:val="-8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F1A51">
        <w:t>patient</w:t>
      </w:r>
      <w:r>
        <w:t>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FF1A51" w:rsidRPr="00F80A04">
        <w:t>patient’s</w:t>
      </w:r>
      <w:r w:rsidR="00FF1A51" w:rsidRPr="00721E69">
        <w:rPr>
          <w:spacing w:val="-3"/>
        </w:rPr>
        <w:t xml:space="preserve"> </w:t>
      </w:r>
      <w:r w:rsidRPr="00721E69">
        <w:t>residence</w:t>
      </w:r>
      <w:r w:rsidRPr="00721E69">
        <w:rPr>
          <w:spacing w:val="-4"/>
        </w:rPr>
        <w:t xml:space="preserve"> </w:t>
      </w:r>
      <w:r w:rsidRPr="00721E69">
        <w:t>(including</w:t>
      </w:r>
      <w:r w:rsidRPr="00721E69">
        <w:rPr>
          <w:spacing w:val="-4"/>
        </w:rPr>
        <w:t xml:space="preserve"> </w:t>
      </w:r>
      <w:r w:rsidRPr="00721E69">
        <w:t xml:space="preserve">a </w:t>
      </w:r>
      <w:r w:rsidR="00F26725" w:rsidRPr="00721E69">
        <w:t>residential aged care facility</w:t>
      </w:r>
      <w:r w:rsidRPr="00721E69">
        <w:t>).</w:t>
      </w:r>
    </w:p>
    <w:p w14:paraId="3D029562" w14:textId="671A0192" w:rsidR="002977BA" w:rsidRPr="00721E69" w:rsidRDefault="00AA63A5">
      <w:pPr>
        <w:pStyle w:val="BodyText"/>
        <w:spacing w:before="157" w:line="259" w:lineRule="auto"/>
      </w:pPr>
      <w:r w:rsidRPr="00721E69">
        <w:t>Any</w:t>
      </w:r>
      <w:r w:rsidRPr="00721E69">
        <w:rPr>
          <w:spacing w:val="-7"/>
        </w:rPr>
        <w:t xml:space="preserve"> </w:t>
      </w:r>
      <w:r w:rsidRPr="00721E69">
        <w:t>supply</w:t>
      </w:r>
      <w:r w:rsidRPr="00721E69">
        <w:rPr>
          <w:spacing w:val="-7"/>
        </w:rPr>
        <w:t xml:space="preserve"> </w:t>
      </w:r>
      <w:r w:rsidRPr="00721E69">
        <w:t>of</w:t>
      </w:r>
      <w:r w:rsidRPr="00721E69">
        <w:rPr>
          <w:spacing w:val="-3"/>
        </w:rPr>
        <w:t xml:space="preserve"> </w:t>
      </w:r>
      <w:r w:rsidRPr="00721E69">
        <w:t>pharmaceutical</w:t>
      </w:r>
      <w:r w:rsidRPr="00721E69">
        <w:rPr>
          <w:spacing w:val="-2"/>
        </w:rPr>
        <w:t xml:space="preserve"> </w:t>
      </w:r>
      <w:r w:rsidRPr="00721E69">
        <w:t>benefits</w:t>
      </w:r>
      <w:r w:rsidRPr="00721E69">
        <w:rPr>
          <w:spacing w:val="-3"/>
        </w:rPr>
        <w:t xml:space="preserve"> </w:t>
      </w:r>
      <w:r w:rsidRPr="00721E69">
        <w:t>‘at’</w:t>
      </w:r>
      <w:r w:rsidRPr="00721E69">
        <w:rPr>
          <w:spacing w:val="-1"/>
        </w:rPr>
        <w:t xml:space="preserve"> </w:t>
      </w:r>
      <w:r w:rsidRPr="00721E69">
        <w:t>or</w:t>
      </w:r>
      <w:r w:rsidRPr="00721E69">
        <w:rPr>
          <w:spacing w:val="-3"/>
        </w:rPr>
        <w:t xml:space="preserve"> </w:t>
      </w:r>
      <w:r w:rsidRPr="00721E69">
        <w:t>‘from’</w:t>
      </w:r>
      <w:r w:rsidRPr="00721E69">
        <w:rPr>
          <w:spacing w:val="-3"/>
        </w:rPr>
        <w:t xml:space="preserve"> </w:t>
      </w:r>
      <w:r w:rsidRPr="00721E69">
        <w:t>premises</w:t>
      </w:r>
      <w:r w:rsidRPr="00721E69">
        <w:rPr>
          <w:spacing w:val="-2"/>
        </w:rPr>
        <w:t xml:space="preserve"> </w:t>
      </w:r>
      <w:r w:rsidRPr="00721E69">
        <w:t>which</w:t>
      </w:r>
      <w:r w:rsidRPr="00721E69">
        <w:rPr>
          <w:spacing w:val="-2"/>
        </w:rPr>
        <w:t xml:space="preserve"> </w:t>
      </w:r>
      <w:r w:rsidRPr="00721E69">
        <w:t>are</w:t>
      </w:r>
      <w:r w:rsidRPr="00721E69">
        <w:rPr>
          <w:spacing w:val="-3"/>
        </w:rPr>
        <w:t xml:space="preserve"> </w:t>
      </w:r>
      <w:r w:rsidRPr="00721E69">
        <w:t>not</w:t>
      </w:r>
      <w:r w:rsidRPr="00721E69">
        <w:rPr>
          <w:spacing w:val="-2"/>
        </w:rPr>
        <w:t xml:space="preserve"> </w:t>
      </w:r>
      <w:r w:rsidRPr="00721E69">
        <w:t>approved</w:t>
      </w:r>
      <w:r w:rsidRPr="00721E69">
        <w:rPr>
          <w:spacing w:val="-2"/>
        </w:rPr>
        <w:t xml:space="preserve"> </w:t>
      </w:r>
      <w:r w:rsidRPr="00721E69">
        <w:t xml:space="preserve">is therefore considered to be </w:t>
      </w:r>
      <w:r w:rsidR="00FF1A51" w:rsidRPr="00721E69">
        <w:t xml:space="preserve">a purported supply which is </w:t>
      </w:r>
      <w:r w:rsidRPr="00721E69">
        <w:t>a breach of the pharmacist’s approval and the conditions of approval, determined by the Minister under paragraph 9</w:t>
      </w:r>
      <w:r w:rsidR="00F736D4" w:rsidRPr="00721E69">
        <w:t>2</w:t>
      </w:r>
      <w:r w:rsidRPr="00721E69">
        <w:t xml:space="preserve">A(1)(f) of the </w:t>
      </w:r>
      <w:r w:rsidR="00F736D4" w:rsidRPr="00721E69">
        <w:t>NH</w:t>
      </w:r>
      <w:r w:rsidR="00FF1A51" w:rsidRPr="00721E69">
        <w:t> </w:t>
      </w:r>
      <w:r w:rsidRPr="00721E69">
        <w:t>Act.</w:t>
      </w:r>
    </w:p>
    <w:p w14:paraId="3D029563" w14:textId="77777777" w:rsidR="002977BA" w:rsidRPr="00721E69" w:rsidRDefault="00AA63A5">
      <w:pPr>
        <w:spacing w:before="160"/>
        <w:ind w:left="100"/>
        <w:rPr>
          <w:i/>
          <w:sz w:val="24"/>
          <w:u w:val="single"/>
        </w:rPr>
      </w:pPr>
      <w:r w:rsidRPr="00721E69">
        <w:rPr>
          <w:i/>
          <w:sz w:val="24"/>
          <w:u w:val="single"/>
        </w:rPr>
        <w:t>Depot</w:t>
      </w:r>
      <w:r w:rsidRPr="00721E69">
        <w:rPr>
          <w:i/>
          <w:spacing w:val="-2"/>
          <w:sz w:val="24"/>
          <w:u w:val="single"/>
        </w:rPr>
        <w:t xml:space="preserve"> arrangements</w:t>
      </w:r>
    </w:p>
    <w:p w14:paraId="3D029564" w14:textId="333555D3" w:rsidR="002977BA" w:rsidRDefault="00AA63A5">
      <w:pPr>
        <w:pStyle w:val="BodyText"/>
        <w:spacing w:before="182" w:line="259" w:lineRule="auto"/>
        <w:ind w:right="144"/>
      </w:pPr>
      <w:r w:rsidRPr="00721E69">
        <w:t>A ‘depot’ arrangement is where, in a rural or remote location that has no access to a pharmacy,</w:t>
      </w:r>
      <w:r w:rsidRPr="00721E69">
        <w:rPr>
          <w:spacing w:val="-1"/>
        </w:rPr>
        <w:t xml:space="preserve"> </w:t>
      </w:r>
      <w:r w:rsidRPr="00721E69">
        <w:t>a</w:t>
      </w:r>
      <w:r w:rsidRPr="00721E69">
        <w:rPr>
          <w:spacing w:val="-4"/>
        </w:rPr>
        <w:t xml:space="preserve"> </w:t>
      </w:r>
      <w:r w:rsidRPr="00721E69">
        <w:t>non-pharmacy</w:t>
      </w:r>
      <w:r w:rsidRPr="00721E69">
        <w:rPr>
          <w:spacing w:val="-6"/>
        </w:rPr>
        <w:t xml:space="preserve"> </w:t>
      </w:r>
      <w:r w:rsidRPr="00721E69">
        <w:t>acts</w:t>
      </w:r>
      <w:r w:rsidRPr="00721E69">
        <w:rPr>
          <w:spacing w:val="-3"/>
        </w:rPr>
        <w:t xml:space="preserve"> </w:t>
      </w:r>
      <w:r w:rsidRPr="00721E69">
        <w:t>as</w:t>
      </w:r>
      <w:r w:rsidRPr="00721E69">
        <w:rPr>
          <w:spacing w:val="-1"/>
        </w:rPr>
        <w:t xml:space="preserve"> </w:t>
      </w:r>
      <w:r w:rsidRPr="00721E69">
        <w:t>a</w:t>
      </w:r>
      <w:r w:rsidRPr="00721E69">
        <w:rPr>
          <w:spacing w:val="-4"/>
        </w:rPr>
        <w:t xml:space="preserve"> </w:t>
      </w:r>
      <w:r w:rsidRPr="00721E69">
        <w:t>collection</w:t>
      </w:r>
      <w:r w:rsidRPr="00721E69">
        <w:rPr>
          <w:spacing w:val="-3"/>
        </w:rPr>
        <w:t xml:space="preserve"> </w:t>
      </w:r>
      <w:r w:rsidRPr="00721E69">
        <w:t>point</w:t>
      </w:r>
      <w:r w:rsidRPr="00721E69">
        <w:rPr>
          <w:spacing w:val="-3"/>
        </w:rPr>
        <w:t xml:space="preserve"> </w:t>
      </w:r>
      <w:r w:rsidRPr="00721E69">
        <w:t>to</w:t>
      </w:r>
      <w:r w:rsidRPr="00721E69">
        <w:rPr>
          <w:spacing w:val="-3"/>
        </w:rPr>
        <w:t xml:space="preserve"> </w:t>
      </w:r>
      <w:r w:rsidRPr="00721E69">
        <w:t>receive</w:t>
      </w:r>
      <w:r w:rsidRPr="00721E69">
        <w:rPr>
          <w:spacing w:val="-4"/>
        </w:rPr>
        <w:t xml:space="preserve"> </w:t>
      </w:r>
      <w:r w:rsidRPr="00721E69">
        <w:t>prescriptions</w:t>
      </w:r>
      <w:r w:rsidRPr="00721E69">
        <w:rPr>
          <w:spacing w:val="-3"/>
        </w:rPr>
        <w:t xml:space="preserve"> </w:t>
      </w:r>
      <w:r w:rsidRPr="00721E69">
        <w:t>from</w:t>
      </w:r>
      <w:r w:rsidRPr="00721E69">
        <w:rPr>
          <w:spacing w:val="-3"/>
        </w:rPr>
        <w:t xml:space="preserve"> </w:t>
      </w:r>
      <w:r w:rsidR="00FF1A51" w:rsidRPr="00F80A04">
        <w:t>patients</w:t>
      </w:r>
      <w:r w:rsidR="00FF1A51" w:rsidRPr="00721E69">
        <w:t xml:space="preserve"> </w:t>
      </w:r>
      <w:r w:rsidRPr="00721E69">
        <w:t xml:space="preserve">and transfer those prescriptions to approved premises. The prescription is subsequently dispensed at the approved premises and then delivered to the </w:t>
      </w:r>
      <w:r w:rsidR="00FF1A51" w:rsidRPr="00F80A04">
        <w:t>patient’s</w:t>
      </w:r>
      <w:r w:rsidR="00FF1A51" w:rsidRPr="00721E69">
        <w:t xml:space="preserve"> </w:t>
      </w:r>
      <w:r w:rsidRPr="00721E69">
        <w:t xml:space="preserve">residence or to the depot for collection by the </w:t>
      </w:r>
      <w:r w:rsidR="00FF1A51" w:rsidRPr="00721E69">
        <w:t>patient</w:t>
      </w:r>
      <w:r w:rsidRPr="00721E69">
        <w:t xml:space="preserve">. The </w:t>
      </w:r>
      <w:r w:rsidR="00976768" w:rsidRPr="00721E69">
        <w:t xml:space="preserve">Government’s </w:t>
      </w:r>
      <w:r w:rsidRPr="00721E69">
        <w:t>position is that these arrangements are</w:t>
      </w:r>
      <w:r>
        <w:t xml:space="preserve"> not contrary to the </w:t>
      </w:r>
      <w:r w:rsidR="00F5482B">
        <w:t xml:space="preserve">NH </w:t>
      </w:r>
      <w:r>
        <w:t>Act.</w:t>
      </w:r>
    </w:p>
    <w:p w14:paraId="56EA665C" w14:textId="77777777" w:rsidR="00FF1A51" w:rsidRDefault="00AA63A5">
      <w:pPr>
        <w:pStyle w:val="BodyText"/>
        <w:spacing w:line="259" w:lineRule="auto"/>
        <w:ind w:right="118"/>
      </w:pPr>
      <w:r>
        <w:t>However, a</w:t>
      </w:r>
      <w:r>
        <w:rPr>
          <w:spacing w:val="-1"/>
        </w:rPr>
        <w:t xml:space="preserve"> </w:t>
      </w:r>
      <w:r>
        <w:t>depot cannot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pharmacy, and so should not carry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prescription medication or be involved in the dispensing of medication supplied as a pharmaceutical benefit. The Government’s policy position is reflected in the </w:t>
      </w:r>
      <w:r w:rsidR="004B2707">
        <w:t xml:space="preserve">updated </w:t>
      </w:r>
      <w:r w:rsidR="001C0FBF" w:rsidRPr="00E56E3D">
        <w:rPr>
          <w:i/>
          <w:iCs/>
        </w:rPr>
        <w:t>National Health (Pharmaceutical benefits) (Conditions for approved pharmacists) Determination 2017</w:t>
      </w:r>
      <w:r w:rsidR="004B2707">
        <w:t xml:space="preserve"> </w:t>
      </w:r>
      <w:r w:rsidR="00976768">
        <w:t xml:space="preserve">effective 1 June 2023, </w:t>
      </w:r>
      <w:r w:rsidR="004B2707">
        <w:t xml:space="preserve">that clarifies supply of pharmaceutical benefits must not occur at or from a pharmacy that is not approved. </w:t>
      </w:r>
    </w:p>
    <w:p w14:paraId="3D029565" w14:textId="17E177AF" w:rsidR="002977BA" w:rsidRDefault="00AA63A5">
      <w:pPr>
        <w:pStyle w:val="BodyText"/>
        <w:spacing w:line="259" w:lineRule="auto"/>
        <w:ind w:right="118"/>
      </w:pPr>
      <w:r>
        <w:t>If an approved pharmacist wishes to supply pharmaceutical benefits at</w:t>
      </w:r>
      <w:r>
        <w:rPr>
          <w:spacing w:val="-1"/>
        </w:rPr>
        <w:t xml:space="preserve"> </w:t>
      </w:r>
      <w:r w:rsidR="00FF1A51">
        <w:rPr>
          <w:spacing w:val="-1"/>
        </w:rPr>
        <w:t xml:space="preserve">alternative </w:t>
      </w:r>
      <w:r>
        <w:t>premises,</w:t>
      </w:r>
      <w:r>
        <w:rPr>
          <w:spacing w:val="-1"/>
        </w:rPr>
        <w:t xml:space="preserve"> </w:t>
      </w:r>
      <w:r w:rsidR="00FF1A51">
        <w:rPr>
          <w:spacing w:val="-1"/>
        </w:rPr>
        <w:t xml:space="preserve">following disaster or exceptional circumstances, </w:t>
      </w:r>
      <w:r>
        <w:t>the</w:t>
      </w:r>
      <w:r>
        <w:rPr>
          <w:spacing w:val="-2"/>
        </w:rPr>
        <w:t xml:space="preserve"> </w:t>
      </w:r>
      <w:r>
        <w:t>pharmacist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 xml:space="preserve">for and be </w:t>
      </w:r>
      <w:r w:rsidR="00FF1A51">
        <w:t xml:space="preserve">granted permission by the Secretary, under section 91A of the NH Act, </w:t>
      </w:r>
      <w:r>
        <w:t>in respect of those other premises before they commence supply of and claiming for pharmaceutical benefits.</w:t>
      </w:r>
    </w:p>
    <w:p w14:paraId="3D029566" w14:textId="76CE5C6B" w:rsidR="002977BA" w:rsidRDefault="00AA63A5">
      <w:pPr>
        <w:pStyle w:val="BodyText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state</w:t>
      </w:r>
      <w:r w:rsidR="00976768">
        <w:t xml:space="preserve"> and territory</w:t>
      </w:r>
      <w:r>
        <w:rPr>
          <w:spacing w:val="-3"/>
        </w:rPr>
        <w:t xml:space="preserve"> </w:t>
      </w:r>
      <w:r>
        <w:t>l</w:t>
      </w:r>
      <w:r w:rsidR="00976768">
        <w:t>egislation</w:t>
      </w:r>
      <w:r>
        <w:rPr>
          <w:spacing w:val="-2"/>
        </w:rPr>
        <w:t xml:space="preserve"> </w:t>
      </w:r>
      <w:r w:rsidR="00976768">
        <w:rPr>
          <w:spacing w:val="-2"/>
        </w:rPr>
        <w:t xml:space="preserve">may </w:t>
      </w:r>
      <w:r>
        <w:t>regulate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depot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rPr>
          <w:spacing w:val="-2"/>
        </w:rPr>
        <w:t>operate.</w:t>
      </w:r>
    </w:p>
    <w:p w14:paraId="3D029567" w14:textId="77777777" w:rsidR="002977BA" w:rsidRPr="0075757C" w:rsidRDefault="00AA63A5">
      <w:pPr>
        <w:spacing w:before="183"/>
        <w:ind w:left="100"/>
        <w:rPr>
          <w:i/>
          <w:sz w:val="24"/>
          <w:u w:val="single"/>
        </w:rPr>
      </w:pPr>
      <w:r w:rsidRPr="0075757C">
        <w:rPr>
          <w:i/>
          <w:sz w:val="24"/>
          <w:u w:val="single"/>
        </w:rPr>
        <w:t>Compliance</w:t>
      </w:r>
      <w:r w:rsidRPr="0075757C">
        <w:rPr>
          <w:i/>
          <w:spacing w:val="-3"/>
          <w:sz w:val="24"/>
          <w:u w:val="single"/>
        </w:rPr>
        <w:t xml:space="preserve"> </w:t>
      </w:r>
      <w:r w:rsidRPr="0075757C">
        <w:rPr>
          <w:i/>
          <w:spacing w:val="-2"/>
          <w:sz w:val="24"/>
          <w:u w:val="single"/>
        </w:rPr>
        <w:t>Activity</w:t>
      </w:r>
    </w:p>
    <w:p w14:paraId="598A2ABE" w14:textId="47BCA1E7" w:rsidR="003B61FB" w:rsidRPr="003B61FB" w:rsidRDefault="00AA63A5" w:rsidP="003B61FB">
      <w:pPr>
        <w:pStyle w:val="BodyText"/>
        <w:spacing w:before="180" w:line="259" w:lineRule="auto"/>
        <w:ind w:right="144"/>
      </w:pPr>
      <w:r>
        <w:t xml:space="preserve">The Department </w:t>
      </w:r>
      <w:r w:rsidR="00976768">
        <w:t xml:space="preserve">of Health and Aged Care </w:t>
      </w:r>
      <w:r>
        <w:t xml:space="preserve">takes </w:t>
      </w:r>
      <w:r w:rsidR="00993101">
        <w:t xml:space="preserve">allegations of </w:t>
      </w:r>
      <w:r w:rsidR="006E3701">
        <w:rPr>
          <w:spacing w:val="-1"/>
        </w:rPr>
        <w:t xml:space="preserve">claiming </w:t>
      </w:r>
      <w:r w:rsidR="00041130">
        <w:rPr>
          <w:spacing w:val="-1"/>
        </w:rPr>
        <w:t xml:space="preserve">for the supply </w:t>
      </w:r>
      <w:r>
        <w:t xml:space="preserve">of pharmaceutical benefits </w:t>
      </w:r>
      <w:r w:rsidR="006E3701">
        <w:t xml:space="preserve">at or </w:t>
      </w:r>
      <w:r>
        <w:t>from pharmacies that are not approved</w:t>
      </w:r>
      <w:r>
        <w:rPr>
          <w:spacing w:val="-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seriously and</w:t>
      </w:r>
      <w:r>
        <w:rPr>
          <w:spacing w:val="-3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conducts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activit</w:t>
      </w:r>
      <w:r w:rsidR="00704B78">
        <w:t>ies</w:t>
      </w:r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 include referral to the Pharmaceutical Services Federal Committee of Inquiry (the Committee)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investigation. 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reports to the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</w:t>
      </w:r>
      <w:r w:rsidR="006E3701">
        <w:t xml:space="preserve"> and Aged Care</w:t>
      </w:r>
      <w:r>
        <w:t>, who may reprimand the approved pharmacist in question, or suspend or revoke their approval.</w:t>
      </w:r>
    </w:p>
    <w:sectPr w:rsidR="003B61FB" w:rsidRPr="003B61FB" w:rsidSect="003B61F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10" w:h="16840"/>
      <w:pgMar w:top="707" w:right="1360" w:bottom="426" w:left="1340" w:header="284" w:footer="1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7C43" w14:textId="77777777" w:rsidR="004C2BC1" w:rsidRDefault="004C2BC1" w:rsidP="00401EEE">
      <w:r>
        <w:separator/>
      </w:r>
    </w:p>
  </w:endnote>
  <w:endnote w:type="continuationSeparator" w:id="0">
    <w:p w14:paraId="5C0C788D" w14:textId="77777777" w:rsidR="004C2BC1" w:rsidRDefault="004C2BC1" w:rsidP="004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A740" w14:textId="5FBC4E67" w:rsidR="00B668DF" w:rsidRDefault="00B668DF" w:rsidP="00B668D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49F1" w14:textId="7689E7F3" w:rsidR="003B61FB" w:rsidRPr="003B61FB" w:rsidRDefault="003B61FB">
    <w:pPr>
      <w:pStyle w:val="Footer"/>
      <w:rPr>
        <w:sz w:val="24"/>
        <w:szCs w:val="24"/>
      </w:rPr>
    </w:pPr>
    <w:r w:rsidRPr="003B61FB">
      <w:rPr>
        <w:sz w:val="24"/>
        <w:szCs w:val="24"/>
      </w:rPr>
      <w:ptab w:relativeTo="margin" w:alignment="center" w:leader="none"/>
    </w:r>
    <w:r w:rsidRPr="003B61FB">
      <w:rPr>
        <w:sz w:val="24"/>
        <w:szCs w:val="24"/>
      </w:rPr>
      <w:ptab w:relativeTo="margin" w:alignment="right" w:leader="none"/>
    </w:r>
    <w:r w:rsidRPr="003B61FB">
      <w:rPr>
        <w:sz w:val="24"/>
        <w:szCs w:val="24"/>
      </w:rPr>
      <w:t>V0.2 – updated May 2024</w:t>
    </w:r>
  </w:p>
  <w:p w14:paraId="153E364F" w14:textId="77777777" w:rsidR="003B61FB" w:rsidRDefault="003B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8B7C" w14:textId="77777777" w:rsidR="004C2BC1" w:rsidRDefault="004C2BC1" w:rsidP="00401EEE">
      <w:r>
        <w:separator/>
      </w:r>
    </w:p>
  </w:footnote>
  <w:footnote w:type="continuationSeparator" w:id="0">
    <w:p w14:paraId="1D5FD749" w14:textId="77777777" w:rsidR="004C2BC1" w:rsidRDefault="004C2BC1" w:rsidP="004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744D" w14:textId="3FB94220" w:rsidR="00401EEE" w:rsidRDefault="00401EEE" w:rsidP="00E56E3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6B10" w14:textId="4313F7E1" w:rsidR="00B668DF" w:rsidRDefault="00FF1A51" w:rsidP="00F80A04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 wp14:anchorId="70194216" wp14:editId="14092D8C">
          <wp:extent cx="2476800" cy="1123200"/>
          <wp:effectExtent l="0" t="0" r="0" b="1270"/>
          <wp:docPr id="24" name="Picture 24" descr="Department of Health and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 and Aged Care Cre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800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BA"/>
    <w:rsid w:val="00041130"/>
    <w:rsid w:val="0009591C"/>
    <w:rsid w:val="00123E67"/>
    <w:rsid w:val="00145D6F"/>
    <w:rsid w:val="00167EFF"/>
    <w:rsid w:val="001C0FBF"/>
    <w:rsid w:val="00213F3D"/>
    <w:rsid w:val="002977BA"/>
    <w:rsid w:val="003A5C2E"/>
    <w:rsid w:val="003B61FB"/>
    <w:rsid w:val="00400458"/>
    <w:rsid w:val="00401EEE"/>
    <w:rsid w:val="004B2707"/>
    <w:rsid w:val="004C2BC1"/>
    <w:rsid w:val="00541A8C"/>
    <w:rsid w:val="00625D82"/>
    <w:rsid w:val="006E3701"/>
    <w:rsid w:val="00704B78"/>
    <w:rsid w:val="00721E69"/>
    <w:rsid w:val="0075757C"/>
    <w:rsid w:val="007B1E10"/>
    <w:rsid w:val="00976768"/>
    <w:rsid w:val="00993101"/>
    <w:rsid w:val="009C5926"/>
    <w:rsid w:val="00A411D2"/>
    <w:rsid w:val="00AA63A5"/>
    <w:rsid w:val="00AE7256"/>
    <w:rsid w:val="00B31593"/>
    <w:rsid w:val="00B668DF"/>
    <w:rsid w:val="00C1030E"/>
    <w:rsid w:val="00DE2347"/>
    <w:rsid w:val="00E56E3D"/>
    <w:rsid w:val="00EE6334"/>
    <w:rsid w:val="00F26725"/>
    <w:rsid w:val="00F5482B"/>
    <w:rsid w:val="00F736D4"/>
    <w:rsid w:val="00F76B99"/>
    <w:rsid w:val="00F80A04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9560"/>
  <w15:docId w15:val="{16A87446-EA09-487B-BED1-22E05A5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411D2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E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1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A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A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pharmacies fact sheet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pharmacies fact sheet</dc:title>
  <dc:subject>Pharmacies</dc:subject>
  <dc:creator>Australian Government Department of Health and Aged Care</dc:creator>
  <cp:keywords>Medicare compliance</cp:keywords>
  <dc:description/>
  <cp:revision>2</cp:revision>
  <cp:lastPrinted>2024-04-19T03:06:00Z</cp:lastPrinted>
  <dcterms:created xsi:type="dcterms:W3CDTF">2024-05-08T06:29:00Z</dcterms:created>
  <dcterms:modified xsi:type="dcterms:W3CDTF">2024-05-08T06:29:00Z</dcterms:modified>
</cp:coreProperties>
</file>