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DC68" w14:textId="77777777" w:rsidR="00CF40B8" w:rsidRDefault="00CF40B8" w:rsidP="00CF40B8">
      <w:pPr>
        <w:contextualSpacing/>
        <w:jc w:val="center"/>
        <w:rPr>
          <w:rFonts w:asciiTheme="minorHAnsi" w:hAnsiTheme="minorHAnsi" w:cstheme="minorHAnsi"/>
          <w:spacing w:val="-10"/>
          <w:kern w:val="28"/>
          <w:sz w:val="52"/>
          <w:szCs w:val="52"/>
          <w:lang w:eastAsia="en-US"/>
        </w:rPr>
      </w:pPr>
      <w:r>
        <w:rPr>
          <w:b/>
          <w:noProof/>
        </w:rPr>
        <w:drawing>
          <wp:inline distT="0" distB="0" distL="0" distR="0" wp14:anchorId="68054668" wp14:editId="19A020C8">
            <wp:extent cx="2506420" cy="1137529"/>
            <wp:effectExtent l="0" t="0" r="8255"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3566" cy="1145311"/>
                    </a:xfrm>
                    <a:prstGeom prst="rect">
                      <a:avLst/>
                    </a:prstGeom>
                  </pic:spPr>
                </pic:pic>
              </a:graphicData>
            </a:graphic>
          </wp:inline>
        </w:drawing>
      </w:r>
    </w:p>
    <w:p w14:paraId="15063868" w14:textId="77777777" w:rsidR="00CF40B8" w:rsidRPr="00370164" w:rsidRDefault="00CF40B8" w:rsidP="00CF40B8">
      <w:pPr>
        <w:contextualSpacing/>
        <w:jc w:val="center"/>
        <w:rPr>
          <w:rFonts w:asciiTheme="minorHAnsi" w:hAnsiTheme="minorHAnsi" w:cstheme="minorHAnsi"/>
          <w:spacing w:val="-10"/>
          <w:kern w:val="28"/>
          <w:sz w:val="36"/>
          <w:szCs w:val="36"/>
          <w:lang w:eastAsia="en-US"/>
        </w:rPr>
      </w:pPr>
    </w:p>
    <w:p w14:paraId="2AAEB138" w14:textId="67776E64" w:rsidR="00CF40B8" w:rsidRPr="00370164" w:rsidRDefault="00CF40B8" w:rsidP="00CF40B8">
      <w:pPr>
        <w:contextualSpacing/>
        <w:jc w:val="center"/>
        <w:rPr>
          <w:rFonts w:asciiTheme="minorHAnsi" w:hAnsiTheme="minorHAnsi" w:cstheme="minorHAnsi"/>
          <w:spacing w:val="-10"/>
          <w:kern w:val="28"/>
          <w:sz w:val="48"/>
          <w:szCs w:val="48"/>
          <w:lang w:eastAsia="en-US"/>
        </w:rPr>
      </w:pPr>
      <w:r w:rsidRPr="00370164">
        <w:rPr>
          <w:rFonts w:asciiTheme="minorHAnsi" w:hAnsiTheme="minorHAnsi" w:cstheme="minorHAnsi"/>
          <w:spacing w:val="-10"/>
          <w:kern w:val="28"/>
          <w:sz w:val="48"/>
          <w:szCs w:val="48"/>
          <w:lang w:eastAsia="en-US"/>
        </w:rPr>
        <w:t>Terms of Reference</w:t>
      </w:r>
    </w:p>
    <w:p w14:paraId="7B169D2C" w14:textId="77777777" w:rsidR="0098622B" w:rsidRPr="00D50D0D" w:rsidRDefault="0098622B" w:rsidP="0098622B">
      <w:pPr>
        <w:spacing w:before="240" w:after="160" w:line="257" w:lineRule="auto"/>
        <w:rPr>
          <w:rFonts w:asciiTheme="minorHAnsi" w:eastAsia="Calibri" w:hAnsiTheme="minorHAnsi" w:cstheme="minorHAnsi"/>
          <w:b/>
          <w:bCs/>
          <w:lang w:eastAsia="en-US"/>
        </w:rPr>
      </w:pPr>
      <w:r w:rsidRPr="00D50D0D">
        <w:rPr>
          <w:rFonts w:asciiTheme="minorHAnsi" w:eastAsia="Calibri" w:hAnsiTheme="minorHAnsi" w:cstheme="minorHAnsi"/>
          <w:b/>
          <w:bCs/>
          <w:lang w:eastAsia="en-US"/>
        </w:rPr>
        <w:t>Context</w:t>
      </w:r>
    </w:p>
    <w:p w14:paraId="7E49677E" w14:textId="59A55BE6" w:rsidR="0098622B" w:rsidRDefault="0098622B" w:rsidP="0098622B">
      <w:pPr>
        <w:spacing w:after="160" w:line="256" w:lineRule="auto"/>
        <w:rPr>
          <w:rFonts w:asciiTheme="minorHAnsi" w:eastAsia="Calibri" w:hAnsiTheme="minorHAnsi" w:cstheme="minorHAnsi"/>
          <w:lang w:eastAsia="en-US"/>
        </w:rPr>
      </w:pPr>
      <w:r w:rsidRPr="00B62A97">
        <w:rPr>
          <w:rFonts w:asciiTheme="minorHAnsi" w:eastAsia="Calibri" w:hAnsiTheme="minorHAnsi" w:cstheme="minorHAnsi"/>
          <w:lang w:eastAsia="en-US"/>
        </w:rPr>
        <w:t xml:space="preserve">The </w:t>
      </w:r>
      <w:r w:rsidRPr="009F2656">
        <w:rPr>
          <w:rFonts w:asciiTheme="minorHAnsi" w:eastAsia="Calibri" w:hAnsiTheme="minorHAnsi" w:cstheme="minorHAnsi"/>
          <w:i/>
          <w:iCs/>
          <w:lang w:eastAsia="en-US"/>
        </w:rPr>
        <w:t>Australian Sports Commission Act 1989</w:t>
      </w:r>
      <w:r w:rsidRPr="007D6AA5">
        <w:rPr>
          <w:rFonts w:asciiTheme="minorHAnsi" w:eastAsia="Calibri" w:hAnsiTheme="minorHAnsi"/>
        </w:rPr>
        <w:t xml:space="preserve"> </w:t>
      </w:r>
      <w:r>
        <w:rPr>
          <w:rFonts w:asciiTheme="minorHAnsi" w:eastAsia="Calibri" w:hAnsiTheme="minorHAnsi" w:cstheme="minorHAnsi"/>
          <w:lang w:eastAsia="en-US"/>
        </w:rPr>
        <w:t>(Cth)</w:t>
      </w:r>
      <w:r w:rsidRPr="00B62A97">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(the Act) </w:t>
      </w:r>
      <w:r w:rsidRPr="00B62A97">
        <w:rPr>
          <w:rFonts w:asciiTheme="minorHAnsi" w:eastAsia="Calibri" w:hAnsiTheme="minorHAnsi" w:cstheme="minorHAnsi"/>
          <w:lang w:eastAsia="en-US"/>
        </w:rPr>
        <w:t xml:space="preserve">has not been substantially reviewed since it was established </w:t>
      </w:r>
      <w:r>
        <w:rPr>
          <w:rFonts w:asciiTheme="minorHAnsi" w:eastAsia="Calibri" w:hAnsiTheme="minorHAnsi" w:cstheme="minorHAnsi"/>
          <w:lang w:eastAsia="en-US"/>
        </w:rPr>
        <w:t>over thirty years ago</w:t>
      </w:r>
      <w:r w:rsidRPr="00B62A97">
        <w:rPr>
          <w:rFonts w:asciiTheme="minorHAnsi" w:eastAsia="Calibri" w:hAnsiTheme="minorHAnsi" w:cstheme="minorHAnsi"/>
          <w:lang w:eastAsia="en-US"/>
        </w:rPr>
        <w:t xml:space="preserve">. </w:t>
      </w:r>
      <w:r>
        <w:rPr>
          <w:rFonts w:asciiTheme="minorHAnsi" w:eastAsia="Calibri" w:hAnsiTheme="minorHAnsi" w:cstheme="minorHAnsi"/>
          <w:lang w:eastAsia="en-US"/>
        </w:rPr>
        <w:t>T</w:t>
      </w:r>
      <w:r w:rsidRPr="00B62A97">
        <w:rPr>
          <w:rFonts w:asciiTheme="minorHAnsi" w:eastAsia="Calibri" w:hAnsiTheme="minorHAnsi" w:cstheme="minorHAnsi"/>
          <w:lang w:eastAsia="en-US"/>
        </w:rPr>
        <w:t>he sporting landscape has continued to evolve</w:t>
      </w:r>
      <w:r>
        <w:rPr>
          <w:rFonts w:asciiTheme="minorHAnsi" w:eastAsia="Calibri" w:hAnsiTheme="minorHAnsi" w:cstheme="minorHAnsi"/>
          <w:lang w:eastAsia="en-US"/>
        </w:rPr>
        <w:t xml:space="preserve"> over this time</w:t>
      </w:r>
      <w:r w:rsidRPr="00B62A97">
        <w:rPr>
          <w:rFonts w:asciiTheme="minorHAnsi" w:eastAsia="Calibri" w:hAnsiTheme="minorHAnsi" w:cstheme="minorHAnsi"/>
          <w:lang w:eastAsia="en-US"/>
        </w:rPr>
        <w:t>, particularly in relation to threats to the integrity of sport</w:t>
      </w:r>
      <w:r>
        <w:rPr>
          <w:rFonts w:asciiTheme="minorHAnsi" w:eastAsia="Calibri" w:hAnsiTheme="minorHAnsi" w:cstheme="minorHAnsi"/>
          <w:lang w:eastAsia="en-US"/>
        </w:rPr>
        <w:t xml:space="preserve"> and the significant growth in size and value of the sport sector</w:t>
      </w:r>
      <w:r w:rsidRPr="00B62A97">
        <w:rPr>
          <w:rFonts w:asciiTheme="minorHAnsi" w:eastAsia="Calibri" w:hAnsiTheme="minorHAnsi" w:cstheme="minorHAnsi"/>
          <w:lang w:eastAsia="en-US"/>
        </w:rPr>
        <w:t xml:space="preserve">. </w:t>
      </w:r>
    </w:p>
    <w:p w14:paraId="61143D17" w14:textId="37C37261" w:rsidR="0098622B" w:rsidRDefault="0098622B" w:rsidP="0098622B">
      <w:pPr>
        <w:spacing w:after="160" w:line="256" w:lineRule="auto"/>
        <w:rPr>
          <w:rFonts w:asciiTheme="minorHAnsi" w:eastAsia="Calibri" w:hAnsiTheme="minorHAnsi" w:cstheme="minorHAnsi"/>
          <w:lang w:eastAsia="en-US"/>
        </w:rPr>
      </w:pPr>
      <w:r>
        <w:rPr>
          <w:rFonts w:asciiTheme="minorHAnsi" w:eastAsia="Calibri" w:hAnsiTheme="minorHAnsi" w:cstheme="minorHAnsi"/>
          <w:lang w:eastAsia="en-US"/>
        </w:rPr>
        <w:t>Other d</w:t>
      </w:r>
      <w:r w:rsidRPr="00B62A97">
        <w:rPr>
          <w:rFonts w:asciiTheme="minorHAnsi" w:eastAsia="Calibri" w:hAnsiTheme="minorHAnsi" w:cstheme="minorHAnsi"/>
          <w:lang w:eastAsia="en-US"/>
        </w:rPr>
        <w:t>evelopments</w:t>
      </w:r>
      <w:r>
        <w:rPr>
          <w:rFonts w:asciiTheme="minorHAnsi" w:eastAsia="Calibri" w:hAnsiTheme="minorHAnsi" w:cstheme="minorHAnsi"/>
          <w:lang w:eastAsia="en-US"/>
        </w:rPr>
        <w:t xml:space="preserve"> in relation to sports integrity</w:t>
      </w:r>
      <w:r w:rsidRPr="00B62A97">
        <w:rPr>
          <w:rFonts w:asciiTheme="minorHAnsi" w:eastAsia="Calibri" w:hAnsiTheme="minorHAnsi" w:cstheme="minorHAnsi"/>
          <w:lang w:eastAsia="en-US"/>
        </w:rPr>
        <w:t xml:space="preserve"> include the establishment of Sport</w:t>
      </w:r>
      <w:r>
        <w:rPr>
          <w:rFonts w:asciiTheme="minorHAnsi" w:eastAsia="Calibri" w:hAnsiTheme="minorHAnsi" w:cstheme="minorHAnsi"/>
          <w:lang w:eastAsia="en-US"/>
        </w:rPr>
        <w:t> </w:t>
      </w:r>
      <w:r w:rsidRPr="00B62A97">
        <w:rPr>
          <w:rFonts w:asciiTheme="minorHAnsi" w:eastAsia="Calibri" w:hAnsiTheme="minorHAnsi" w:cstheme="minorHAnsi"/>
          <w:lang w:eastAsia="en-US"/>
        </w:rPr>
        <w:t>Integrity Australia and the National Sports Tribunal in 2020. In addition, the Government play</w:t>
      </w:r>
      <w:r>
        <w:rPr>
          <w:rFonts w:asciiTheme="minorHAnsi" w:eastAsia="Calibri" w:hAnsiTheme="minorHAnsi" w:cstheme="minorHAnsi"/>
          <w:lang w:eastAsia="en-US"/>
        </w:rPr>
        <w:t>s</w:t>
      </w:r>
      <w:r w:rsidRPr="00B62A97">
        <w:rPr>
          <w:rFonts w:asciiTheme="minorHAnsi" w:eastAsia="Calibri" w:hAnsiTheme="minorHAnsi" w:cstheme="minorHAnsi"/>
          <w:lang w:eastAsia="en-US"/>
        </w:rPr>
        <w:t xml:space="preserve"> an active role across multiple portfolios supporting the hosting of major international sporting events which provide social, sporting, and economic benefits for Australia.</w:t>
      </w:r>
    </w:p>
    <w:p w14:paraId="74D80B62" w14:textId="65F24E0A" w:rsidR="0098622B" w:rsidRDefault="0098622B" w:rsidP="0098622B">
      <w:pPr>
        <w:spacing w:after="160" w:line="256" w:lineRule="auto"/>
        <w:rPr>
          <w:rFonts w:asciiTheme="minorHAnsi" w:eastAsia="Calibri" w:hAnsiTheme="minorHAnsi" w:cstheme="minorHAnsi"/>
          <w:lang w:eastAsia="en-US"/>
        </w:rPr>
      </w:pPr>
      <w:r>
        <w:rPr>
          <w:rFonts w:asciiTheme="minorHAnsi" w:eastAsia="Calibri" w:hAnsiTheme="minorHAnsi" w:cstheme="minorHAnsi"/>
          <w:lang w:eastAsia="en-US"/>
        </w:rPr>
        <w:t>T</w:t>
      </w:r>
      <w:r w:rsidRPr="009F2656">
        <w:rPr>
          <w:rFonts w:asciiTheme="minorHAnsi" w:eastAsia="Calibri" w:hAnsiTheme="minorHAnsi" w:cstheme="minorHAnsi"/>
          <w:lang w:eastAsia="en-US"/>
        </w:rPr>
        <w:t xml:space="preserve">he </w:t>
      </w:r>
      <w:r>
        <w:rPr>
          <w:rFonts w:asciiTheme="minorHAnsi" w:eastAsia="Calibri" w:hAnsiTheme="minorHAnsi" w:cstheme="minorHAnsi"/>
          <w:lang w:eastAsia="en-US"/>
        </w:rPr>
        <w:t>Government has</w:t>
      </w:r>
      <w:r w:rsidRPr="009F2656">
        <w:rPr>
          <w:rFonts w:asciiTheme="minorHAnsi" w:eastAsia="Calibri" w:hAnsiTheme="minorHAnsi" w:cstheme="minorHAnsi"/>
          <w:lang w:eastAsia="en-US"/>
        </w:rPr>
        <w:t xml:space="preserve"> </w:t>
      </w:r>
      <w:r>
        <w:rPr>
          <w:rFonts w:asciiTheme="minorHAnsi" w:eastAsia="Calibri" w:hAnsiTheme="minorHAnsi" w:cstheme="minorHAnsi"/>
          <w:lang w:eastAsia="en-US"/>
        </w:rPr>
        <w:t>undertaken to conduct a R</w:t>
      </w:r>
      <w:r w:rsidRPr="009F2656">
        <w:rPr>
          <w:rFonts w:asciiTheme="minorHAnsi" w:eastAsia="Calibri" w:hAnsiTheme="minorHAnsi" w:cstheme="minorHAnsi"/>
          <w:lang w:eastAsia="en-US"/>
        </w:rPr>
        <w:t xml:space="preserve">eview </w:t>
      </w:r>
      <w:r>
        <w:rPr>
          <w:rFonts w:asciiTheme="minorHAnsi" w:eastAsia="Calibri" w:hAnsiTheme="minorHAnsi" w:cstheme="minorHAnsi"/>
          <w:lang w:eastAsia="en-US"/>
        </w:rPr>
        <w:t xml:space="preserve">of </w:t>
      </w:r>
      <w:r w:rsidRPr="009F2656">
        <w:rPr>
          <w:rFonts w:asciiTheme="minorHAnsi" w:eastAsia="Calibri" w:hAnsiTheme="minorHAnsi" w:cstheme="minorHAnsi"/>
          <w:lang w:eastAsia="en-US"/>
        </w:rPr>
        <w:t>the</w:t>
      </w:r>
      <w:r>
        <w:rPr>
          <w:rFonts w:asciiTheme="minorHAnsi" w:eastAsia="Calibri" w:hAnsiTheme="minorHAnsi" w:cstheme="minorHAnsi"/>
          <w:lang w:eastAsia="en-US"/>
        </w:rPr>
        <w:t xml:space="preserve"> Act</w:t>
      </w:r>
      <w:r w:rsidRPr="009F2656">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as part of a </w:t>
      </w:r>
      <w:r w:rsidRPr="009F2656">
        <w:rPr>
          <w:rFonts w:asciiTheme="minorHAnsi" w:eastAsia="Calibri" w:hAnsiTheme="minorHAnsi" w:cstheme="minorHAnsi"/>
          <w:lang w:eastAsia="en-US"/>
        </w:rPr>
        <w:t>strategic approach to the investment and delivery of major sporting events across the</w:t>
      </w:r>
      <w:r>
        <w:rPr>
          <w:rFonts w:asciiTheme="minorHAnsi" w:eastAsia="Calibri" w:hAnsiTheme="minorHAnsi" w:cstheme="minorHAnsi"/>
          <w:lang w:eastAsia="en-US"/>
        </w:rPr>
        <w:t xml:space="preserve"> ‘</w:t>
      </w:r>
      <w:r w:rsidRPr="009F2656">
        <w:rPr>
          <w:rFonts w:asciiTheme="minorHAnsi" w:eastAsia="Calibri" w:hAnsiTheme="minorHAnsi" w:cstheme="minorHAnsi"/>
          <w:lang w:eastAsia="en-US"/>
        </w:rPr>
        <w:t xml:space="preserve">Green and Gold Decade’ </w:t>
      </w:r>
      <w:r>
        <w:rPr>
          <w:rFonts w:asciiTheme="minorHAnsi" w:eastAsia="Calibri" w:hAnsiTheme="minorHAnsi" w:cstheme="minorHAnsi"/>
          <w:lang w:eastAsia="en-US"/>
        </w:rPr>
        <w:t>of sporting events hosted by Australia, culminating in</w:t>
      </w:r>
      <w:r w:rsidRPr="009F2656">
        <w:rPr>
          <w:rFonts w:asciiTheme="minorHAnsi" w:eastAsia="Calibri" w:hAnsiTheme="minorHAnsi" w:cstheme="minorHAnsi"/>
          <w:lang w:eastAsia="en-US"/>
        </w:rPr>
        <w:t xml:space="preserve"> the 2032 Olympic and Paralympic Games in Brisbane</w:t>
      </w:r>
      <w:r>
        <w:rPr>
          <w:rFonts w:asciiTheme="minorHAnsi" w:eastAsia="Calibri" w:hAnsiTheme="minorHAnsi" w:cstheme="minorHAnsi"/>
          <w:lang w:eastAsia="en-US"/>
        </w:rPr>
        <w:t>.</w:t>
      </w:r>
    </w:p>
    <w:p w14:paraId="1F39B2C7" w14:textId="77777777" w:rsidR="0098622B" w:rsidRPr="00B62A97" w:rsidRDefault="0098622B" w:rsidP="0098622B">
      <w:pPr>
        <w:spacing w:before="160" w:after="120" w:line="259" w:lineRule="auto"/>
        <w:rPr>
          <w:rFonts w:asciiTheme="minorHAnsi" w:eastAsia="Calibri" w:hAnsiTheme="minorHAnsi" w:cstheme="minorHAnsi"/>
          <w:b/>
          <w:bCs/>
          <w:lang w:eastAsia="en-US"/>
        </w:rPr>
      </w:pPr>
      <w:r w:rsidRPr="00B62A97">
        <w:rPr>
          <w:rFonts w:asciiTheme="minorHAnsi" w:eastAsia="Calibri" w:hAnsiTheme="minorHAnsi" w:cstheme="minorHAnsi"/>
          <w:b/>
          <w:bCs/>
          <w:lang w:eastAsia="en-US"/>
        </w:rPr>
        <w:t xml:space="preserve">Objectives of the </w:t>
      </w:r>
      <w:r>
        <w:rPr>
          <w:rFonts w:asciiTheme="minorHAnsi" w:eastAsia="Calibri" w:hAnsiTheme="minorHAnsi" w:cstheme="minorHAnsi"/>
          <w:b/>
          <w:bCs/>
          <w:lang w:eastAsia="en-US"/>
        </w:rPr>
        <w:t>R</w:t>
      </w:r>
      <w:r w:rsidRPr="00B62A97">
        <w:rPr>
          <w:rFonts w:asciiTheme="minorHAnsi" w:eastAsia="Calibri" w:hAnsiTheme="minorHAnsi" w:cstheme="minorHAnsi"/>
          <w:b/>
          <w:bCs/>
          <w:lang w:eastAsia="en-US"/>
        </w:rPr>
        <w:t>eview</w:t>
      </w:r>
    </w:p>
    <w:p w14:paraId="038C3FA8" w14:textId="455BE9EE" w:rsidR="0098622B" w:rsidRPr="00D745CA" w:rsidRDefault="0098622B" w:rsidP="0098622B">
      <w:pPr>
        <w:spacing w:after="160" w:line="256" w:lineRule="auto"/>
        <w:rPr>
          <w:rFonts w:asciiTheme="minorHAnsi" w:eastAsia="Calibri" w:hAnsiTheme="minorHAnsi" w:cstheme="minorHAnsi"/>
          <w:lang w:eastAsia="en-US"/>
        </w:rPr>
      </w:pPr>
      <w:r w:rsidRPr="00B62A97">
        <w:rPr>
          <w:rFonts w:asciiTheme="minorHAnsi" w:eastAsia="Calibri" w:hAnsiTheme="minorHAnsi" w:cstheme="minorHAnsi"/>
          <w:lang w:eastAsia="en-US"/>
        </w:rPr>
        <w:t xml:space="preserve">The </w:t>
      </w:r>
      <w:r>
        <w:rPr>
          <w:rFonts w:asciiTheme="minorHAnsi" w:eastAsia="Calibri" w:hAnsiTheme="minorHAnsi" w:cstheme="minorHAnsi"/>
          <w:lang w:eastAsia="en-US"/>
        </w:rPr>
        <w:t xml:space="preserve">Review will focus on the Act, not the Australian Sports Commission (ASC). However it will consider the </w:t>
      </w:r>
      <w:r w:rsidRPr="00B62A97">
        <w:rPr>
          <w:rFonts w:asciiTheme="minorHAnsi" w:eastAsia="Calibri" w:hAnsiTheme="minorHAnsi" w:cstheme="minorHAnsi"/>
          <w:lang w:eastAsia="en-US"/>
        </w:rPr>
        <w:t xml:space="preserve">role and purpose of the ASC </w:t>
      </w:r>
      <w:r>
        <w:rPr>
          <w:rFonts w:asciiTheme="minorHAnsi" w:eastAsia="Calibri" w:hAnsiTheme="minorHAnsi" w:cstheme="minorHAnsi"/>
          <w:lang w:eastAsia="en-US"/>
        </w:rPr>
        <w:t xml:space="preserve">under the Act </w:t>
      </w:r>
      <w:r w:rsidRPr="00B62A97">
        <w:rPr>
          <w:rFonts w:asciiTheme="minorHAnsi" w:eastAsia="Calibri" w:hAnsiTheme="minorHAnsi" w:cstheme="minorHAnsi"/>
          <w:lang w:eastAsia="en-US"/>
        </w:rPr>
        <w:t xml:space="preserve">in meeting current and future needs within the Australian sport system. </w:t>
      </w:r>
      <w:r>
        <w:rPr>
          <w:rFonts w:asciiTheme="minorHAnsi" w:eastAsia="Calibri" w:hAnsiTheme="minorHAnsi" w:cstheme="minorHAnsi"/>
          <w:lang w:eastAsia="en-US"/>
        </w:rPr>
        <w:t xml:space="preserve">It will consider governance matters as they relate to the Act, role clarity and removal of administrative barriers to strengthen ASC’s support to the Government and the Minister for Sport to deliver on priorities of Government. </w:t>
      </w:r>
    </w:p>
    <w:p w14:paraId="3D51EBC2" w14:textId="473DF4C3" w:rsidR="0098622B" w:rsidRPr="00B62A97" w:rsidRDefault="0098622B" w:rsidP="0098622B">
      <w:pPr>
        <w:spacing w:after="160" w:line="256" w:lineRule="auto"/>
        <w:rPr>
          <w:rFonts w:asciiTheme="minorHAnsi" w:eastAsia="Calibri" w:hAnsiTheme="minorHAnsi" w:cstheme="minorHAnsi"/>
          <w:lang w:eastAsia="en-US"/>
        </w:rPr>
      </w:pPr>
      <w:r>
        <w:rPr>
          <w:rFonts w:asciiTheme="minorHAnsi" w:eastAsia="Calibri" w:hAnsiTheme="minorHAnsi" w:cstheme="minorHAnsi"/>
          <w:lang w:eastAsia="en-US"/>
        </w:rPr>
        <w:t>The R</w:t>
      </w:r>
      <w:r w:rsidRPr="00B62A97">
        <w:rPr>
          <w:rFonts w:asciiTheme="minorHAnsi" w:eastAsia="Calibri" w:hAnsiTheme="minorHAnsi" w:cstheme="minorHAnsi"/>
          <w:lang w:eastAsia="en-US"/>
        </w:rPr>
        <w:t xml:space="preserve">eview of the </w:t>
      </w:r>
      <w:r>
        <w:rPr>
          <w:rFonts w:asciiTheme="minorHAnsi" w:eastAsia="Calibri" w:hAnsiTheme="minorHAnsi" w:cstheme="minorHAnsi"/>
          <w:lang w:eastAsia="en-US"/>
        </w:rPr>
        <w:t xml:space="preserve">Act </w:t>
      </w:r>
      <w:r w:rsidRPr="00B62A97">
        <w:rPr>
          <w:rFonts w:asciiTheme="minorHAnsi" w:eastAsia="Calibri" w:hAnsiTheme="minorHAnsi" w:cstheme="minorHAnsi"/>
          <w:lang w:eastAsia="en-US"/>
        </w:rPr>
        <w:t xml:space="preserve">will </w:t>
      </w:r>
      <w:r>
        <w:rPr>
          <w:rFonts w:asciiTheme="minorHAnsi" w:eastAsia="Calibri" w:hAnsiTheme="minorHAnsi" w:cstheme="minorHAnsi"/>
          <w:lang w:eastAsia="en-US"/>
        </w:rPr>
        <w:t xml:space="preserve">also </w:t>
      </w:r>
      <w:r w:rsidRPr="00B62A97">
        <w:rPr>
          <w:rFonts w:asciiTheme="minorHAnsi" w:eastAsia="Calibri" w:hAnsiTheme="minorHAnsi" w:cstheme="minorHAnsi"/>
          <w:lang w:eastAsia="en-US"/>
        </w:rPr>
        <w:t>consider:</w:t>
      </w:r>
    </w:p>
    <w:p w14:paraId="0ACE428D" w14:textId="77777777" w:rsidR="0098622B" w:rsidRPr="00B62A97" w:rsidRDefault="0098622B" w:rsidP="0098622B">
      <w:pPr>
        <w:numPr>
          <w:ilvl w:val="0"/>
          <w:numId w:val="1"/>
        </w:numPr>
        <w:spacing w:after="120" w:line="256" w:lineRule="auto"/>
        <w:ind w:left="284" w:hanging="284"/>
        <w:contextualSpacing/>
        <w:rPr>
          <w:rFonts w:asciiTheme="minorHAnsi" w:eastAsia="Calibri" w:hAnsiTheme="minorHAnsi" w:cstheme="minorHAnsi"/>
          <w:lang w:eastAsia="en-US"/>
        </w:rPr>
      </w:pPr>
      <w:r w:rsidRPr="00B62A97">
        <w:rPr>
          <w:rFonts w:asciiTheme="minorHAnsi" w:eastAsia="Calibri" w:hAnsiTheme="minorHAnsi" w:cstheme="minorHAnsi"/>
          <w:lang w:eastAsia="en-US"/>
        </w:rPr>
        <w:t xml:space="preserve">Whether </w:t>
      </w:r>
      <w:r>
        <w:rPr>
          <w:rFonts w:asciiTheme="minorHAnsi" w:eastAsia="Calibri" w:hAnsiTheme="minorHAnsi" w:cstheme="minorHAnsi"/>
          <w:lang w:eastAsia="en-US"/>
        </w:rPr>
        <w:t>O</w:t>
      </w:r>
      <w:r w:rsidRPr="00B62A97">
        <w:rPr>
          <w:rFonts w:asciiTheme="minorHAnsi" w:eastAsia="Calibri" w:hAnsiTheme="minorHAnsi" w:cstheme="minorHAnsi"/>
          <w:lang w:eastAsia="en-US"/>
        </w:rPr>
        <w:t xml:space="preserve">bjects and </w:t>
      </w:r>
      <w:r>
        <w:rPr>
          <w:rFonts w:asciiTheme="minorHAnsi" w:eastAsia="Calibri" w:hAnsiTheme="minorHAnsi" w:cstheme="minorHAnsi"/>
          <w:lang w:eastAsia="en-US"/>
        </w:rPr>
        <w:t>F</w:t>
      </w:r>
      <w:r w:rsidRPr="00B62A97">
        <w:rPr>
          <w:rFonts w:asciiTheme="minorHAnsi" w:eastAsia="Calibri" w:hAnsiTheme="minorHAnsi" w:cstheme="minorHAnsi"/>
          <w:lang w:eastAsia="en-US"/>
        </w:rPr>
        <w:t xml:space="preserve">unctions of the </w:t>
      </w:r>
      <w:r>
        <w:rPr>
          <w:rFonts w:asciiTheme="minorHAnsi" w:eastAsia="Calibri" w:hAnsiTheme="minorHAnsi" w:cstheme="minorHAnsi"/>
          <w:lang w:eastAsia="en-US"/>
        </w:rPr>
        <w:t>Act provide the appropriate framework for</w:t>
      </w:r>
      <w:r w:rsidRPr="00B62A97">
        <w:rPr>
          <w:rFonts w:asciiTheme="minorHAnsi" w:eastAsia="Calibri" w:hAnsiTheme="minorHAnsi" w:cstheme="minorHAnsi"/>
          <w:lang w:eastAsia="en-US"/>
        </w:rPr>
        <w:t xml:space="preserve"> the ASC to meet its objectives leading up to the 2032 Brisbane Olympic and Paralympic Games</w:t>
      </w:r>
      <w:r>
        <w:rPr>
          <w:rFonts w:asciiTheme="minorHAnsi" w:eastAsia="Calibri" w:hAnsiTheme="minorHAnsi" w:cstheme="minorHAnsi"/>
          <w:lang w:eastAsia="en-US"/>
        </w:rPr>
        <w:t xml:space="preserve"> and beyond</w:t>
      </w:r>
      <w:r w:rsidRPr="00B62A97">
        <w:rPr>
          <w:rFonts w:asciiTheme="minorHAnsi" w:eastAsia="Calibri" w:hAnsiTheme="minorHAnsi" w:cstheme="minorHAnsi"/>
          <w:lang w:eastAsia="en-US"/>
        </w:rPr>
        <w:t xml:space="preserve">.  </w:t>
      </w:r>
    </w:p>
    <w:p w14:paraId="25DBE33B" w14:textId="77777777" w:rsidR="0098622B" w:rsidRPr="00B62A97" w:rsidRDefault="0098622B" w:rsidP="0098622B">
      <w:pPr>
        <w:spacing w:after="120" w:line="256" w:lineRule="auto"/>
        <w:contextualSpacing/>
        <w:rPr>
          <w:rFonts w:asciiTheme="minorHAnsi" w:eastAsia="Calibri" w:hAnsiTheme="minorHAnsi" w:cstheme="minorHAnsi"/>
          <w:sz w:val="12"/>
          <w:szCs w:val="12"/>
          <w:lang w:eastAsia="en-US"/>
        </w:rPr>
      </w:pPr>
    </w:p>
    <w:p w14:paraId="7FA91743" w14:textId="77777777" w:rsidR="0098622B" w:rsidRPr="00B62A97" w:rsidRDefault="0098622B" w:rsidP="0098622B">
      <w:pPr>
        <w:numPr>
          <w:ilvl w:val="0"/>
          <w:numId w:val="1"/>
        </w:numPr>
        <w:spacing w:after="120" w:line="256" w:lineRule="auto"/>
        <w:ind w:left="284" w:hanging="284"/>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The appropriateness of </w:t>
      </w:r>
      <w:r w:rsidRPr="00B62A97">
        <w:rPr>
          <w:rFonts w:asciiTheme="minorHAnsi" w:eastAsia="Calibri" w:hAnsiTheme="minorHAnsi" w:cstheme="minorHAnsi"/>
          <w:lang w:eastAsia="en-US"/>
        </w:rPr>
        <w:t xml:space="preserve">governance </w:t>
      </w:r>
      <w:r>
        <w:rPr>
          <w:rFonts w:asciiTheme="minorHAnsi" w:eastAsia="Calibri" w:hAnsiTheme="minorHAnsi" w:cstheme="minorHAnsi"/>
          <w:lang w:eastAsia="en-US"/>
        </w:rPr>
        <w:t xml:space="preserve">provisions in the Act and whether they are </w:t>
      </w:r>
      <w:r w:rsidRPr="00B62A97">
        <w:rPr>
          <w:rFonts w:asciiTheme="minorHAnsi" w:eastAsia="Calibri" w:hAnsiTheme="minorHAnsi" w:cstheme="minorHAnsi"/>
          <w:lang w:eastAsia="en-US"/>
        </w:rPr>
        <w:t>contemporary, fit for purpose, and meet the needs of Government</w:t>
      </w:r>
      <w:r>
        <w:rPr>
          <w:rFonts w:asciiTheme="minorHAnsi" w:eastAsia="Calibri" w:hAnsiTheme="minorHAnsi" w:cstheme="minorHAnsi"/>
          <w:lang w:eastAsia="en-US"/>
        </w:rPr>
        <w:t xml:space="preserve">, </w:t>
      </w:r>
      <w:r w:rsidRPr="00B62A97">
        <w:rPr>
          <w:rFonts w:asciiTheme="minorHAnsi" w:eastAsia="Calibri" w:hAnsiTheme="minorHAnsi" w:cstheme="minorHAnsi"/>
          <w:lang w:eastAsia="en-US"/>
        </w:rPr>
        <w:t xml:space="preserve">the </w:t>
      </w:r>
      <w:r>
        <w:rPr>
          <w:rFonts w:asciiTheme="minorHAnsi" w:eastAsia="Calibri" w:hAnsiTheme="minorHAnsi" w:cstheme="minorHAnsi"/>
          <w:lang w:eastAsia="en-US"/>
        </w:rPr>
        <w:t xml:space="preserve">ASC </w:t>
      </w:r>
      <w:r w:rsidRPr="00B62A97">
        <w:rPr>
          <w:rFonts w:asciiTheme="minorHAnsi" w:eastAsia="Calibri" w:hAnsiTheme="minorHAnsi" w:cstheme="minorHAnsi"/>
          <w:lang w:eastAsia="en-US"/>
        </w:rPr>
        <w:t>and stakeholders.</w:t>
      </w:r>
    </w:p>
    <w:p w14:paraId="14EE5476" w14:textId="77777777" w:rsidR="0098622B" w:rsidRPr="00B62A97" w:rsidRDefault="0098622B" w:rsidP="0098622B">
      <w:pPr>
        <w:spacing w:after="120" w:line="256" w:lineRule="auto"/>
        <w:contextualSpacing/>
        <w:rPr>
          <w:rFonts w:asciiTheme="minorHAnsi" w:eastAsia="Calibri" w:hAnsiTheme="minorHAnsi" w:cstheme="minorHAnsi"/>
          <w:sz w:val="12"/>
          <w:szCs w:val="12"/>
          <w:lang w:eastAsia="en-US"/>
        </w:rPr>
      </w:pPr>
    </w:p>
    <w:p w14:paraId="162AF4BB" w14:textId="77777777" w:rsidR="0098622B" w:rsidRPr="00B62A97" w:rsidRDefault="0098622B" w:rsidP="0098622B">
      <w:pPr>
        <w:numPr>
          <w:ilvl w:val="0"/>
          <w:numId w:val="1"/>
        </w:numPr>
        <w:spacing w:after="200" w:line="256" w:lineRule="auto"/>
        <w:ind w:left="284" w:hanging="284"/>
        <w:contextualSpacing/>
        <w:rPr>
          <w:rFonts w:asciiTheme="minorHAnsi" w:eastAsia="Calibri" w:hAnsiTheme="minorHAnsi" w:cstheme="minorHAnsi"/>
          <w:lang w:eastAsia="en-US"/>
        </w:rPr>
      </w:pPr>
      <w:r w:rsidRPr="00B62A97">
        <w:rPr>
          <w:rFonts w:asciiTheme="minorHAnsi" w:eastAsia="Calibri" w:hAnsiTheme="minorHAnsi" w:cstheme="minorHAnsi"/>
          <w:lang w:eastAsia="en-US"/>
        </w:rPr>
        <w:t xml:space="preserve">Opportunities to update and improve the legislation to position the ASC to advance community and high-performance sport in Australia.  </w:t>
      </w:r>
    </w:p>
    <w:p w14:paraId="08FB76D0" w14:textId="77777777" w:rsidR="0098622B" w:rsidRPr="00B62A97" w:rsidRDefault="0098622B" w:rsidP="0098622B">
      <w:pPr>
        <w:spacing w:line="256" w:lineRule="auto"/>
        <w:contextualSpacing/>
        <w:rPr>
          <w:rFonts w:asciiTheme="minorHAnsi" w:eastAsia="Calibri" w:hAnsiTheme="minorHAnsi" w:cstheme="minorHAnsi"/>
          <w:sz w:val="12"/>
          <w:szCs w:val="12"/>
          <w:lang w:eastAsia="en-US"/>
        </w:rPr>
      </w:pPr>
    </w:p>
    <w:p w14:paraId="3209CAFA" w14:textId="2EE3AC6A" w:rsidR="0098622B" w:rsidRPr="00B62A97" w:rsidRDefault="0098622B" w:rsidP="0098622B">
      <w:pPr>
        <w:numPr>
          <w:ilvl w:val="0"/>
          <w:numId w:val="1"/>
        </w:numPr>
        <w:spacing w:after="120" w:line="256" w:lineRule="auto"/>
        <w:ind w:left="284" w:hanging="284"/>
        <w:contextualSpacing/>
        <w:rPr>
          <w:rFonts w:asciiTheme="minorHAnsi" w:eastAsia="Calibri" w:hAnsiTheme="minorHAnsi" w:cstheme="minorHAnsi"/>
          <w:lang w:eastAsia="en-US"/>
        </w:rPr>
      </w:pPr>
      <w:r>
        <w:rPr>
          <w:rFonts w:asciiTheme="minorHAnsi" w:eastAsia="Calibri" w:hAnsiTheme="minorHAnsi" w:cstheme="minorHAnsi"/>
          <w:lang w:eastAsia="en-US"/>
        </w:rPr>
        <w:t>Findings and r</w:t>
      </w:r>
      <w:r w:rsidRPr="00B62A97">
        <w:rPr>
          <w:rFonts w:asciiTheme="minorHAnsi" w:eastAsia="Calibri" w:hAnsiTheme="minorHAnsi" w:cstheme="minorHAnsi"/>
          <w:lang w:eastAsia="en-US"/>
        </w:rPr>
        <w:t xml:space="preserve">ecommendations from key reports and inquiries, including but not limited to: </w:t>
      </w:r>
    </w:p>
    <w:p w14:paraId="3CBCA240" w14:textId="72A0C678" w:rsidR="0098622B" w:rsidRPr="00B62A97" w:rsidRDefault="0098622B" w:rsidP="0098622B">
      <w:pPr>
        <w:numPr>
          <w:ilvl w:val="0"/>
          <w:numId w:val="2"/>
        </w:numPr>
        <w:spacing w:after="120" w:line="25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t</w:t>
      </w:r>
      <w:r w:rsidRPr="00B62A97">
        <w:rPr>
          <w:rFonts w:asciiTheme="minorHAnsi" w:eastAsia="Calibri" w:hAnsiTheme="minorHAnsi" w:cstheme="minorHAnsi"/>
          <w:lang w:eastAsia="en-US"/>
        </w:rPr>
        <w:t>he Select Senate Committee into Administration of Sports Grants</w:t>
      </w:r>
      <w:r>
        <w:rPr>
          <w:rFonts w:asciiTheme="minorHAnsi" w:eastAsia="Calibri" w:hAnsiTheme="minorHAnsi" w:cstheme="minorHAnsi"/>
          <w:lang w:eastAsia="en-US"/>
        </w:rPr>
        <w:t>; and the</w:t>
      </w:r>
    </w:p>
    <w:p w14:paraId="18BE0283" w14:textId="001E4DD2" w:rsidR="0098622B" w:rsidRPr="00926ED3" w:rsidRDefault="0098622B" w:rsidP="00926ED3">
      <w:pPr>
        <w:numPr>
          <w:ilvl w:val="0"/>
          <w:numId w:val="2"/>
        </w:numPr>
        <w:spacing w:after="120" w:line="256" w:lineRule="auto"/>
        <w:contextualSpacing/>
        <w:rPr>
          <w:rFonts w:asciiTheme="minorHAnsi" w:eastAsia="Calibri" w:hAnsiTheme="minorHAnsi" w:cstheme="minorHAnsi"/>
          <w:lang w:eastAsia="en-US"/>
        </w:rPr>
      </w:pPr>
      <w:r w:rsidRPr="00926ED3">
        <w:rPr>
          <w:rFonts w:asciiTheme="minorHAnsi" w:eastAsia="Calibri" w:hAnsiTheme="minorHAnsi" w:cstheme="minorHAnsi"/>
          <w:lang w:eastAsia="en-US"/>
        </w:rPr>
        <w:lastRenderedPageBreak/>
        <w:t>Joint Committee on Public Accounts and Audit Report on the Administration of Government Grants (Report 484).</w:t>
      </w:r>
    </w:p>
    <w:p w14:paraId="4C73247F" w14:textId="77777777" w:rsidR="0098622B" w:rsidRPr="00186DBF" w:rsidRDefault="0098622B" w:rsidP="0098622B">
      <w:pPr>
        <w:spacing w:after="120" w:line="256" w:lineRule="auto"/>
        <w:contextualSpacing/>
        <w:rPr>
          <w:rFonts w:asciiTheme="minorHAnsi" w:eastAsia="Calibri" w:hAnsiTheme="minorHAnsi" w:cstheme="minorHAnsi"/>
          <w:sz w:val="12"/>
          <w:szCs w:val="12"/>
          <w:lang w:eastAsia="en-US"/>
        </w:rPr>
      </w:pPr>
    </w:p>
    <w:p w14:paraId="784BEBDB" w14:textId="73CDB2C5" w:rsidR="0098622B" w:rsidRDefault="0098622B" w:rsidP="0098622B">
      <w:pPr>
        <w:numPr>
          <w:ilvl w:val="0"/>
          <w:numId w:val="1"/>
        </w:numPr>
        <w:spacing w:after="120" w:line="257" w:lineRule="auto"/>
        <w:ind w:left="284" w:hanging="284"/>
        <w:rPr>
          <w:rFonts w:asciiTheme="minorHAnsi" w:eastAsia="Calibri" w:hAnsiTheme="minorHAnsi" w:cstheme="minorHAnsi"/>
          <w:lang w:eastAsia="en-US"/>
        </w:rPr>
      </w:pPr>
      <w:r w:rsidRPr="00B62A97">
        <w:rPr>
          <w:rFonts w:asciiTheme="minorHAnsi" w:eastAsia="Calibri" w:hAnsiTheme="minorHAnsi" w:cstheme="minorHAnsi"/>
          <w:lang w:eastAsia="en-US"/>
        </w:rPr>
        <w:t xml:space="preserve">Department of Finance </w:t>
      </w:r>
      <w:r>
        <w:rPr>
          <w:rFonts w:asciiTheme="minorHAnsi" w:eastAsia="Calibri" w:hAnsiTheme="minorHAnsi" w:cstheme="minorHAnsi"/>
          <w:lang w:eastAsia="en-US"/>
        </w:rPr>
        <w:t>g</w:t>
      </w:r>
      <w:r w:rsidRPr="00B62A97">
        <w:rPr>
          <w:rFonts w:asciiTheme="minorHAnsi" w:eastAsia="Calibri" w:hAnsiTheme="minorHAnsi" w:cstheme="minorHAnsi"/>
          <w:lang w:eastAsia="en-US"/>
        </w:rPr>
        <w:t xml:space="preserve">overnance </w:t>
      </w:r>
      <w:r>
        <w:rPr>
          <w:rFonts w:asciiTheme="minorHAnsi" w:eastAsia="Calibri" w:hAnsiTheme="minorHAnsi" w:cstheme="minorHAnsi"/>
          <w:lang w:eastAsia="en-US"/>
        </w:rPr>
        <w:t>p</w:t>
      </w:r>
      <w:r w:rsidRPr="00B62A97">
        <w:rPr>
          <w:rFonts w:asciiTheme="minorHAnsi" w:eastAsia="Calibri" w:hAnsiTheme="minorHAnsi" w:cstheme="minorHAnsi"/>
          <w:lang w:eastAsia="en-US"/>
        </w:rPr>
        <w:t>olic</w:t>
      </w:r>
      <w:r>
        <w:rPr>
          <w:rFonts w:asciiTheme="minorHAnsi" w:eastAsia="Calibri" w:hAnsiTheme="minorHAnsi" w:cstheme="minorHAnsi"/>
          <w:lang w:eastAsia="en-US"/>
        </w:rPr>
        <w:t>ies</w:t>
      </w:r>
      <w:r w:rsidRPr="00B62A97">
        <w:rPr>
          <w:rFonts w:asciiTheme="minorHAnsi" w:eastAsia="Calibri" w:hAnsiTheme="minorHAnsi" w:cstheme="minorHAnsi"/>
          <w:lang w:eastAsia="en-US"/>
        </w:rPr>
        <w:t xml:space="preserve"> for government entities.</w:t>
      </w:r>
    </w:p>
    <w:p w14:paraId="13A43AF4" w14:textId="77777777" w:rsidR="0098622B" w:rsidRDefault="0098622B" w:rsidP="0098622B">
      <w:pPr>
        <w:spacing w:before="160" w:after="120"/>
        <w:rPr>
          <w:rFonts w:asciiTheme="minorHAnsi" w:eastAsia="Calibri" w:hAnsiTheme="minorHAnsi" w:cstheme="minorHAnsi"/>
          <w:lang w:eastAsia="en-US"/>
        </w:rPr>
      </w:pPr>
      <w:r>
        <w:rPr>
          <w:rFonts w:asciiTheme="minorHAnsi" w:eastAsia="Calibri" w:hAnsiTheme="minorHAnsi" w:cstheme="minorHAnsi"/>
          <w:lang w:eastAsia="en-US"/>
        </w:rPr>
        <w:t>The Review provides an opportunity to ensure the Act is an enabler for the ASC to deliver its functions and achieve outcomes for the sport sector and all Australians</w:t>
      </w:r>
      <w:r w:rsidRPr="00B62A97">
        <w:rPr>
          <w:rFonts w:asciiTheme="minorHAnsi" w:eastAsia="Calibri" w:hAnsiTheme="minorHAnsi" w:cstheme="minorHAnsi"/>
          <w:lang w:eastAsia="en-US"/>
        </w:rPr>
        <w:t>.</w:t>
      </w:r>
      <w:r>
        <w:rPr>
          <w:rFonts w:asciiTheme="minorHAnsi" w:eastAsia="Calibri" w:hAnsiTheme="minorHAnsi" w:cstheme="minorHAnsi"/>
          <w:lang w:eastAsia="en-US"/>
        </w:rPr>
        <w:t xml:space="preserve"> It</w:t>
      </w:r>
      <w:r w:rsidRPr="00737B9D">
        <w:rPr>
          <w:rFonts w:asciiTheme="minorHAnsi" w:eastAsia="Calibri" w:hAnsiTheme="minorHAnsi" w:cstheme="minorHAnsi"/>
          <w:lang w:eastAsia="en-US"/>
        </w:rPr>
        <w:t xml:space="preserve"> is also an opportunity to bring the Act up to modern legislative standards and drafting conventions.  </w:t>
      </w:r>
    </w:p>
    <w:p w14:paraId="1E766900" w14:textId="77777777" w:rsidR="0098622B" w:rsidRPr="00D50D0D" w:rsidRDefault="0098622B" w:rsidP="0098622B">
      <w:pPr>
        <w:spacing w:before="160" w:after="120"/>
        <w:rPr>
          <w:rFonts w:asciiTheme="minorHAnsi" w:eastAsia="Calibri" w:hAnsiTheme="minorHAnsi" w:cstheme="minorHAnsi"/>
          <w:b/>
          <w:bCs/>
          <w:lang w:eastAsia="en-US"/>
        </w:rPr>
      </w:pPr>
      <w:r w:rsidRPr="00D50D0D">
        <w:rPr>
          <w:rFonts w:asciiTheme="minorHAnsi" w:eastAsia="Calibri" w:hAnsiTheme="minorHAnsi" w:cstheme="minorHAnsi"/>
          <w:b/>
          <w:bCs/>
          <w:lang w:eastAsia="en-US"/>
        </w:rPr>
        <w:t>Review consultation and governance</w:t>
      </w:r>
    </w:p>
    <w:p w14:paraId="3FA6EDFB" w14:textId="305221CE" w:rsidR="0098622B" w:rsidRDefault="0098622B" w:rsidP="0098622B">
      <w:pPr>
        <w:spacing w:after="160" w:line="256" w:lineRule="auto"/>
        <w:rPr>
          <w:rFonts w:asciiTheme="minorHAnsi" w:eastAsia="Calibri" w:hAnsiTheme="minorHAnsi" w:cstheme="minorHAnsi"/>
          <w:lang w:eastAsia="en-US"/>
        </w:rPr>
      </w:pPr>
      <w:r>
        <w:rPr>
          <w:rFonts w:asciiTheme="minorHAnsi" w:eastAsia="Calibri" w:hAnsiTheme="minorHAnsi" w:cstheme="minorHAnsi"/>
          <w:lang w:eastAsia="en-US"/>
        </w:rPr>
        <w:t>The Review is to be led by an independent legal expert, supported by t</w:t>
      </w:r>
      <w:r w:rsidRPr="00B62A97">
        <w:rPr>
          <w:rFonts w:asciiTheme="minorHAnsi" w:eastAsia="Calibri" w:hAnsiTheme="minorHAnsi" w:cstheme="minorHAnsi"/>
          <w:lang w:eastAsia="en-US"/>
        </w:rPr>
        <w:t>he Department of Health and Aged Care</w:t>
      </w:r>
      <w:r>
        <w:rPr>
          <w:rFonts w:asciiTheme="minorHAnsi" w:eastAsia="Calibri" w:hAnsiTheme="minorHAnsi" w:cstheme="minorHAnsi"/>
          <w:lang w:eastAsia="en-US"/>
        </w:rPr>
        <w:t xml:space="preserve"> (the Department). The Department will also support the independent legal expert to undertake </w:t>
      </w:r>
      <w:r w:rsidRPr="00B62A97">
        <w:rPr>
          <w:rFonts w:asciiTheme="minorHAnsi" w:eastAsia="Calibri" w:hAnsiTheme="minorHAnsi" w:cstheme="minorHAnsi"/>
          <w:lang w:eastAsia="en-US"/>
        </w:rPr>
        <w:t xml:space="preserve">consultation with </w:t>
      </w:r>
      <w:r>
        <w:rPr>
          <w:rFonts w:asciiTheme="minorHAnsi" w:eastAsia="Calibri" w:hAnsiTheme="minorHAnsi" w:cstheme="minorHAnsi"/>
          <w:lang w:eastAsia="en-US"/>
        </w:rPr>
        <w:t xml:space="preserve">appropriate </w:t>
      </w:r>
      <w:r w:rsidRPr="00B62A97">
        <w:rPr>
          <w:rFonts w:asciiTheme="minorHAnsi" w:eastAsia="Calibri" w:hAnsiTheme="minorHAnsi" w:cstheme="minorHAnsi"/>
          <w:lang w:eastAsia="en-US"/>
        </w:rPr>
        <w:t>stakeholders.</w:t>
      </w:r>
      <w:r>
        <w:rPr>
          <w:rFonts w:asciiTheme="minorHAnsi" w:eastAsia="Calibri" w:hAnsiTheme="minorHAnsi" w:cstheme="minorHAnsi"/>
          <w:lang w:eastAsia="en-US"/>
        </w:rPr>
        <w:t xml:space="preserve"> The ASC will provide critical input to the Review and will be engaged throughout the process. </w:t>
      </w:r>
    </w:p>
    <w:p w14:paraId="02048CE1" w14:textId="77777777" w:rsidR="0098622B" w:rsidRPr="00D50D0D" w:rsidRDefault="0098622B" w:rsidP="0098622B">
      <w:pPr>
        <w:spacing w:before="160" w:after="120"/>
        <w:rPr>
          <w:rFonts w:asciiTheme="minorHAnsi" w:eastAsia="Calibri" w:hAnsiTheme="minorHAnsi" w:cstheme="minorHAnsi"/>
          <w:b/>
          <w:bCs/>
          <w:lang w:eastAsia="en-US"/>
        </w:rPr>
      </w:pPr>
      <w:r w:rsidRPr="00D50D0D">
        <w:rPr>
          <w:rFonts w:asciiTheme="minorHAnsi" w:eastAsia="Calibri" w:hAnsiTheme="minorHAnsi" w:cstheme="minorHAnsi"/>
          <w:b/>
          <w:bCs/>
          <w:lang w:eastAsia="en-US"/>
        </w:rPr>
        <w:t>Reporting timeframe</w:t>
      </w:r>
      <w:r>
        <w:rPr>
          <w:rFonts w:asciiTheme="minorHAnsi" w:eastAsia="Calibri" w:hAnsiTheme="minorHAnsi" w:cstheme="minorHAnsi"/>
          <w:b/>
          <w:bCs/>
          <w:lang w:eastAsia="en-US"/>
        </w:rPr>
        <w:t xml:space="preserve"> and deliverables</w:t>
      </w:r>
    </w:p>
    <w:p w14:paraId="3A288F67" w14:textId="52152340" w:rsidR="003C29BF" w:rsidRPr="003C29BF" w:rsidRDefault="003C29BF" w:rsidP="00175FEB">
      <w:pPr>
        <w:spacing w:after="160" w:line="256" w:lineRule="auto"/>
        <w:rPr>
          <w:rFonts w:asciiTheme="minorHAnsi" w:eastAsia="Calibri" w:hAnsiTheme="minorHAnsi" w:cstheme="minorHAnsi"/>
          <w:lang w:eastAsia="en-US"/>
        </w:rPr>
      </w:pPr>
      <w:r w:rsidRPr="003C29BF">
        <w:rPr>
          <w:rFonts w:asciiTheme="minorHAnsi" w:eastAsia="Calibri" w:hAnsiTheme="minorHAnsi" w:cstheme="minorHAnsi"/>
          <w:lang w:eastAsia="en-US"/>
        </w:rPr>
        <w:t>The Review will produce a final report for the Minister for Sport to consider with</w:t>
      </w:r>
      <w:r w:rsidR="00175FEB">
        <w:rPr>
          <w:rFonts w:asciiTheme="minorHAnsi" w:eastAsia="Calibri" w:hAnsiTheme="minorHAnsi" w:cstheme="minorHAnsi"/>
          <w:lang w:eastAsia="en-US"/>
        </w:rPr>
        <w:t xml:space="preserve"> </w:t>
      </w:r>
      <w:r w:rsidRPr="003C29BF">
        <w:rPr>
          <w:rFonts w:asciiTheme="minorHAnsi" w:eastAsia="Calibri" w:hAnsiTheme="minorHAnsi" w:cstheme="minorHAnsi"/>
          <w:lang w:eastAsia="en-US"/>
        </w:rPr>
        <w:t>recommendations on any potential changes to the Act.</w:t>
      </w:r>
    </w:p>
    <w:p w14:paraId="3CBDB5B7" w14:textId="70C053C9" w:rsidR="00737B9D" w:rsidRDefault="003C29BF" w:rsidP="00175FEB">
      <w:pPr>
        <w:spacing w:after="160" w:line="256" w:lineRule="auto"/>
        <w:rPr>
          <w:rFonts w:asciiTheme="minorHAnsi" w:eastAsia="Calibri" w:hAnsiTheme="minorHAnsi" w:cstheme="minorHAnsi"/>
          <w:lang w:eastAsia="en-US"/>
        </w:rPr>
      </w:pPr>
      <w:r w:rsidRPr="003C29BF">
        <w:rPr>
          <w:rFonts w:asciiTheme="minorHAnsi" w:eastAsia="Calibri" w:hAnsiTheme="minorHAnsi" w:cstheme="minorHAnsi"/>
          <w:lang w:eastAsia="en-US"/>
        </w:rPr>
        <w:t>Any amendments to the Act would be prepared in accordance with the Commonwealth</w:t>
      </w:r>
      <w:r w:rsidR="00175FEB">
        <w:rPr>
          <w:rFonts w:asciiTheme="minorHAnsi" w:eastAsia="Calibri" w:hAnsiTheme="minorHAnsi" w:cstheme="minorHAnsi"/>
          <w:lang w:eastAsia="en-US"/>
        </w:rPr>
        <w:t xml:space="preserve"> </w:t>
      </w:r>
      <w:r w:rsidRPr="003C29BF">
        <w:rPr>
          <w:rFonts w:asciiTheme="minorHAnsi" w:eastAsia="Calibri" w:hAnsiTheme="minorHAnsi" w:cstheme="minorHAnsi"/>
          <w:lang w:eastAsia="en-US"/>
        </w:rPr>
        <w:t>legislation process.</w:t>
      </w:r>
    </w:p>
    <w:sectPr w:rsidR="00737B9D" w:rsidSect="004644C0">
      <w:headerReference w:type="default" r:id="rId12"/>
      <w:pgSz w:w="11906" w:h="16838"/>
      <w:pgMar w:top="567"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5758" w14:textId="77777777" w:rsidR="00705E3A" w:rsidRDefault="00705E3A" w:rsidP="00A200BF">
      <w:r>
        <w:separator/>
      </w:r>
    </w:p>
  </w:endnote>
  <w:endnote w:type="continuationSeparator" w:id="0">
    <w:p w14:paraId="57A18E0C" w14:textId="77777777" w:rsidR="00705E3A" w:rsidRDefault="00705E3A" w:rsidP="00A200BF">
      <w:r>
        <w:continuationSeparator/>
      </w:r>
    </w:p>
  </w:endnote>
  <w:endnote w:type="continuationNotice" w:id="1">
    <w:p w14:paraId="22EFB43C" w14:textId="77777777" w:rsidR="00705E3A" w:rsidRDefault="00705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F96F" w14:textId="77777777" w:rsidR="00705E3A" w:rsidRDefault="00705E3A" w:rsidP="00A200BF">
      <w:r>
        <w:separator/>
      </w:r>
    </w:p>
  </w:footnote>
  <w:footnote w:type="continuationSeparator" w:id="0">
    <w:p w14:paraId="5A0CC8F7" w14:textId="77777777" w:rsidR="00705E3A" w:rsidRDefault="00705E3A" w:rsidP="00A200BF">
      <w:r>
        <w:continuationSeparator/>
      </w:r>
    </w:p>
  </w:footnote>
  <w:footnote w:type="continuationNotice" w:id="1">
    <w:p w14:paraId="432B90C2" w14:textId="77777777" w:rsidR="00705E3A" w:rsidRDefault="00705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11452"/>
      <w:docPartObj>
        <w:docPartGallery w:val="Watermarks"/>
        <w:docPartUnique/>
      </w:docPartObj>
    </w:sdtPr>
    <w:sdtEndPr/>
    <w:sdtContent>
      <w:p w14:paraId="02ACEEB9" w14:textId="3C71CFAC" w:rsidR="00186DBF" w:rsidRDefault="0098622B" w:rsidP="008361EB">
        <w:pPr>
          <w:contextualSpacing/>
          <w:jc w:val="center"/>
        </w:pPr>
        <w:r w:rsidRPr="0098622B">
          <w:rPr>
            <w:noProof/>
          </w:rPr>
          <mc:AlternateContent>
            <mc:Choice Requires="wps">
              <w:drawing>
                <wp:anchor distT="0" distB="0" distL="114300" distR="114300" simplePos="0" relativeHeight="251657216" behindDoc="1" locked="0" layoutInCell="0" allowOverlap="1" wp14:anchorId="639BB8C0" wp14:editId="2D9781B6">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D223C1" w14:textId="77777777" w:rsidR="0098622B" w:rsidRDefault="0098622B" w:rsidP="0098622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9BB8C0" id="_x0000_t202" coordsize="21600,21600" o:spt="202" path="m,l,21600r21600,l21600,xe">
                  <v:stroke joinstyle="miter"/>
                  <v:path gradientshapeok="t" o:connecttype="rect"/>
                </v:shapetype>
                <v:shape id="Text Box 2" o:spid="_x0000_s1026"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4D223C1" w14:textId="77777777" w:rsidR="0098622B" w:rsidRDefault="0098622B" w:rsidP="0098622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86DBF" w:rsidRPr="0098622B">
          <w:rPr>
            <w:rFonts w:asciiTheme="minorHAnsi" w:eastAsia="Calibri" w:hAnsiTheme="minorHAnsi" w:cstheme="minorHAnsi"/>
            <w:lang w:eastAsia="en-U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1266D"/>
    <w:multiLevelType w:val="hybridMultilevel"/>
    <w:tmpl w:val="DEAC244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0177C8E"/>
    <w:multiLevelType w:val="hybridMultilevel"/>
    <w:tmpl w:val="3F0896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733962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6498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4C"/>
    <w:rsid w:val="0001148E"/>
    <w:rsid w:val="000141FA"/>
    <w:rsid w:val="00016E4D"/>
    <w:rsid w:val="00042D6A"/>
    <w:rsid w:val="00065CC7"/>
    <w:rsid w:val="00081967"/>
    <w:rsid w:val="00091E22"/>
    <w:rsid w:val="000B773A"/>
    <w:rsid w:val="000C731A"/>
    <w:rsid w:val="0010513E"/>
    <w:rsid w:val="00124DBE"/>
    <w:rsid w:val="001456D8"/>
    <w:rsid w:val="00162A6A"/>
    <w:rsid w:val="00175FEB"/>
    <w:rsid w:val="00177A68"/>
    <w:rsid w:val="00186DBF"/>
    <w:rsid w:val="001964C6"/>
    <w:rsid w:val="001C670C"/>
    <w:rsid w:val="0020244F"/>
    <w:rsid w:val="00203FF5"/>
    <w:rsid w:val="0022714C"/>
    <w:rsid w:val="00280050"/>
    <w:rsid w:val="002C1D13"/>
    <w:rsid w:val="002E6C11"/>
    <w:rsid w:val="00337DFC"/>
    <w:rsid w:val="00341E5A"/>
    <w:rsid w:val="00346347"/>
    <w:rsid w:val="003470BE"/>
    <w:rsid w:val="00370164"/>
    <w:rsid w:val="003C29BF"/>
    <w:rsid w:val="00444F9B"/>
    <w:rsid w:val="004569F8"/>
    <w:rsid w:val="004644C0"/>
    <w:rsid w:val="004C040C"/>
    <w:rsid w:val="004F1ABD"/>
    <w:rsid w:val="00537F76"/>
    <w:rsid w:val="00590F6E"/>
    <w:rsid w:val="005D623F"/>
    <w:rsid w:val="005F3F32"/>
    <w:rsid w:val="00643072"/>
    <w:rsid w:val="00645083"/>
    <w:rsid w:val="006603F6"/>
    <w:rsid w:val="0066098A"/>
    <w:rsid w:val="00674767"/>
    <w:rsid w:val="00677020"/>
    <w:rsid w:val="006C3834"/>
    <w:rsid w:val="00705E3A"/>
    <w:rsid w:val="007275BF"/>
    <w:rsid w:val="00737B9D"/>
    <w:rsid w:val="0076236F"/>
    <w:rsid w:val="00763048"/>
    <w:rsid w:val="007901CF"/>
    <w:rsid w:val="007939B5"/>
    <w:rsid w:val="007B04BC"/>
    <w:rsid w:val="007C77CE"/>
    <w:rsid w:val="007D44AC"/>
    <w:rsid w:val="007D6AA5"/>
    <w:rsid w:val="007F1E3B"/>
    <w:rsid w:val="00820A5A"/>
    <w:rsid w:val="0082472B"/>
    <w:rsid w:val="00834C6E"/>
    <w:rsid w:val="008361EB"/>
    <w:rsid w:val="008940FD"/>
    <w:rsid w:val="008B33ED"/>
    <w:rsid w:val="008E4EF0"/>
    <w:rsid w:val="008F0459"/>
    <w:rsid w:val="00926ED3"/>
    <w:rsid w:val="0093510B"/>
    <w:rsid w:val="0095596E"/>
    <w:rsid w:val="009561DD"/>
    <w:rsid w:val="009810FE"/>
    <w:rsid w:val="0098622B"/>
    <w:rsid w:val="009A0C2B"/>
    <w:rsid w:val="009F2656"/>
    <w:rsid w:val="00A11D0D"/>
    <w:rsid w:val="00A13B2E"/>
    <w:rsid w:val="00A200BF"/>
    <w:rsid w:val="00A45B47"/>
    <w:rsid w:val="00A81D2E"/>
    <w:rsid w:val="00AC2B6B"/>
    <w:rsid w:val="00B47A29"/>
    <w:rsid w:val="00B47B1F"/>
    <w:rsid w:val="00BA0F02"/>
    <w:rsid w:val="00C43613"/>
    <w:rsid w:val="00C81890"/>
    <w:rsid w:val="00C84187"/>
    <w:rsid w:val="00C97C02"/>
    <w:rsid w:val="00CA5C28"/>
    <w:rsid w:val="00CC067D"/>
    <w:rsid w:val="00CF40B8"/>
    <w:rsid w:val="00D4616C"/>
    <w:rsid w:val="00D534F8"/>
    <w:rsid w:val="00D675B0"/>
    <w:rsid w:val="00D745CA"/>
    <w:rsid w:val="00DF08C2"/>
    <w:rsid w:val="00E0768F"/>
    <w:rsid w:val="00E248EF"/>
    <w:rsid w:val="00E42206"/>
    <w:rsid w:val="00E9353B"/>
    <w:rsid w:val="00E9519B"/>
    <w:rsid w:val="00EC49CF"/>
    <w:rsid w:val="00F031E5"/>
    <w:rsid w:val="00F14D6C"/>
    <w:rsid w:val="00F35DC2"/>
    <w:rsid w:val="00F7550F"/>
    <w:rsid w:val="00FA2754"/>
    <w:rsid w:val="00FD7974"/>
    <w:rsid w:val="00FE6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2BE2"/>
  <w15:chartTrackingRefBased/>
  <w15:docId w15:val="{DA5BD781-CD4C-41EC-AA00-C288BDF8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4C"/>
    <w:pPr>
      <w:spacing w:after="0" w:line="240" w:lineRule="auto"/>
    </w:pPr>
    <w:rPr>
      <w:rFonts w:eastAsia="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0BF"/>
    <w:pPr>
      <w:tabs>
        <w:tab w:val="center" w:pos="4513"/>
        <w:tab w:val="right" w:pos="9026"/>
      </w:tabs>
    </w:pPr>
  </w:style>
  <w:style w:type="character" w:customStyle="1" w:styleId="HeaderChar">
    <w:name w:val="Header Char"/>
    <w:basedOn w:val="DefaultParagraphFont"/>
    <w:link w:val="Header"/>
    <w:uiPriority w:val="99"/>
    <w:rsid w:val="00A200BF"/>
    <w:rPr>
      <w:rFonts w:eastAsia="Times New Roman"/>
      <w:lang w:eastAsia="en-AU"/>
    </w:rPr>
  </w:style>
  <w:style w:type="paragraph" w:styleId="Footer">
    <w:name w:val="footer"/>
    <w:basedOn w:val="Normal"/>
    <w:link w:val="FooterChar"/>
    <w:uiPriority w:val="99"/>
    <w:unhideWhenUsed/>
    <w:rsid w:val="00A200BF"/>
    <w:pPr>
      <w:tabs>
        <w:tab w:val="center" w:pos="4513"/>
        <w:tab w:val="right" w:pos="9026"/>
      </w:tabs>
    </w:pPr>
  </w:style>
  <w:style w:type="character" w:customStyle="1" w:styleId="FooterChar">
    <w:name w:val="Footer Char"/>
    <w:basedOn w:val="DefaultParagraphFont"/>
    <w:link w:val="Footer"/>
    <w:uiPriority w:val="99"/>
    <w:rsid w:val="00A200BF"/>
    <w:rPr>
      <w:rFonts w:eastAsia="Times New Roman"/>
      <w:lang w:eastAsia="en-AU"/>
    </w:rPr>
  </w:style>
  <w:style w:type="paragraph" w:styleId="Revision">
    <w:name w:val="Revision"/>
    <w:hidden/>
    <w:uiPriority w:val="99"/>
    <w:semiHidden/>
    <w:rsid w:val="00645083"/>
    <w:pPr>
      <w:spacing w:after="0" w:line="240" w:lineRule="auto"/>
    </w:pPr>
    <w:rPr>
      <w:rFonts w:eastAsia="Times New Roman"/>
      <w:lang w:eastAsia="en-AU"/>
    </w:rPr>
  </w:style>
  <w:style w:type="character" w:styleId="CommentReference">
    <w:name w:val="annotation reference"/>
    <w:basedOn w:val="DefaultParagraphFont"/>
    <w:uiPriority w:val="99"/>
    <w:semiHidden/>
    <w:unhideWhenUsed/>
    <w:rsid w:val="000C731A"/>
    <w:rPr>
      <w:sz w:val="16"/>
      <w:szCs w:val="16"/>
    </w:rPr>
  </w:style>
  <w:style w:type="paragraph" w:styleId="CommentText">
    <w:name w:val="annotation text"/>
    <w:basedOn w:val="Normal"/>
    <w:link w:val="CommentTextChar"/>
    <w:uiPriority w:val="99"/>
    <w:unhideWhenUsed/>
    <w:rsid w:val="000C731A"/>
    <w:rPr>
      <w:sz w:val="20"/>
      <w:szCs w:val="20"/>
    </w:rPr>
  </w:style>
  <w:style w:type="character" w:customStyle="1" w:styleId="CommentTextChar">
    <w:name w:val="Comment Text Char"/>
    <w:basedOn w:val="DefaultParagraphFont"/>
    <w:link w:val="CommentText"/>
    <w:uiPriority w:val="99"/>
    <w:rsid w:val="000C731A"/>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C731A"/>
    <w:rPr>
      <w:b/>
      <w:bCs/>
    </w:rPr>
  </w:style>
  <w:style w:type="character" w:customStyle="1" w:styleId="CommentSubjectChar">
    <w:name w:val="Comment Subject Char"/>
    <w:basedOn w:val="CommentTextChar"/>
    <w:link w:val="CommentSubject"/>
    <w:uiPriority w:val="99"/>
    <w:semiHidden/>
    <w:rsid w:val="000C731A"/>
    <w:rPr>
      <w:rFonts w:eastAsia="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C9EF74896F844B99F178EF43DC0166" ma:contentTypeVersion="" ma:contentTypeDescription="PDMS Document Site Content Type" ma:contentTypeScope="" ma:versionID="8269b35718f11bd055afc28bcffc705b">
  <xsd:schema xmlns:xsd="http://www.w3.org/2001/XMLSchema" xmlns:xs="http://www.w3.org/2001/XMLSchema" xmlns:p="http://schemas.microsoft.com/office/2006/metadata/properties" xmlns:ns2="6658BCA4-7673-47AB-9D50-F6BCF45C197F" targetNamespace="http://schemas.microsoft.com/office/2006/metadata/properties" ma:root="true" ma:fieldsID="0dab9903dbcd6ee88a3c0e943b3e6d65" ns2:_="">
    <xsd:import namespace="6658BCA4-7673-47AB-9D50-F6BCF45C197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8BCA4-7673-47AB-9D50-F6BCF45C197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658BCA4-7673-47AB-9D50-F6BCF45C197F" xsi:nil="true"/>
  </documentManagement>
</p:properties>
</file>

<file path=customXml/itemProps1.xml><?xml version="1.0" encoding="utf-8"?>
<ds:datastoreItem xmlns:ds="http://schemas.openxmlformats.org/officeDocument/2006/customXml" ds:itemID="{63DEA343-5B92-4320-ADF6-F3B1260819F9}">
  <ds:schemaRefs>
    <ds:schemaRef ds:uri="http://schemas.microsoft.com/sharepoint/v3/contenttype/forms"/>
  </ds:schemaRefs>
</ds:datastoreItem>
</file>

<file path=customXml/itemProps2.xml><?xml version="1.0" encoding="utf-8"?>
<ds:datastoreItem xmlns:ds="http://schemas.openxmlformats.org/officeDocument/2006/customXml" ds:itemID="{24AC60B1-F3E8-4DA8-9EC8-400B71374389}">
  <ds:schemaRefs>
    <ds:schemaRef ds:uri="http://schemas.openxmlformats.org/officeDocument/2006/bibliography"/>
  </ds:schemaRefs>
</ds:datastoreItem>
</file>

<file path=customXml/itemProps3.xml><?xml version="1.0" encoding="utf-8"?>
<ds:datastoreItem xmlns:ds="http://schemas.openxmlformats.org/officeDocument/2006/customXml" ds:itemID="{865D2F11-3D9F-4F8D-BBEA-D3F77AE8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8BCA4-7673-47AB-9D50-F6BCF45C1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F26B-8034-4B2F-A29A-EEF3E5876F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58BCA4-7673-47AB-9D50-F6BCF45C19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Review of the Australian Sports Commission Act 1989</dc:title>
  <dc:subject/>
  <dc:creator>Australian Government Department of Health and Aged Care</dc:creator>
  <cp:keywords/>
  <dc:description/>
  <cp:revision>2</cp:revision>
  <dcterms:created xsi:type="dcterms:W3CDTF">2024-05-17T05:10:00Z</dcterms:created>
  <dcterms:modified xsi:type="dcterms:W3CDTF">2024-05-17T05:10:00Z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0x010100266966F133664895A6EE3632470D45F500F3C9EF74896F844B99F178EF43DC0166</vt:lpwstr>
  </property>
</Properties>
</file>