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FE13" w14:textId="6C249C9D" w:rsidR="00235949" w:rsidRPr="00235949" w:rsidRDefault="00235949" w:rsidP="00235949">
      <w:pPr>
        <w:pStyle w:val="Title"/>
      </w:pPr>
      <w:r>
        <w:t xml:space="preserve">Support to Prevent and Address the Health Impacts of Female Genital Mutilation/Cutting (FGM/C) </w:t>
      </w:r>
      <w:r w:rsidR="00F83F27">
        <w:t xml:space="preserve">grant opportunity </w:t>
      </w:r>
      <w:r>
        <w:t>GO6688</w:t>
      </w:r>
      <w:r w:rsidR="00F83F27">
        <w:t xml:space="preserve"> - </w:t>
      </w:r>
      <w:r>
        <w:t>Feedback for Applicants</w:t>
      </w:r>
    </w:p>
    <w:p w14:paraId="7585A992" w14:textId="4FDFB018" w:rsidR="00B53987" w:rsidRPr="00B53987" w:rsidRDefault="00E822E1" w:rsidP="00B53987">
      <w:r>
        <w:t>28 May 2024</w:t>
      </w:r>
    </w:p>
    <w:p w14:paraId="2930C7FE" w14:textId="2A31C649" w:rsidR="00FA02BB" w:rsidRDefault="00235949" w:rsidP="00FA02BB">
      <w:pPr>
        <w:pStyle w:val="Heading1"/>
      </w:pPr>
      <w:r>
        <w:t>Overview</w:t>
      </w:r>
    </w:p>
    <w:p w14:paraId="69DE483E" w14:textId="77777777" w:rsidR="00235949" w:rsidRPr="00235949" w:rsidRDefault="00235949" w:rsidP="00235949">
      <w:pPr>
        <w:rPr>
          <w:szCs w:val="22"/>
        </w:rPr>
      </w:pPr>
      <w:r w:rsidRPr="00235949">
        <w:rPr>
          <w:szCs w:val="22"/>
        </w:rPr>
        <w:t>The Support to Prevent and Address the Health Impacts of FGM/C grant opportunity is provided through the Public Health and Chronic Disease Program of the Australian Government Department of Health and Aged Care.</w:t>
      </w:r>
    </w:p>
    <w:p w14:paraId="0F866458" w14:textId="77777777" w:rsidR="00235949" w:rsidRPr="00235949" w:rsidRDefault="00235949" w:rsidP="00235949">
      <w:pPr>
        <w:rPr>
          <w:rFonts w:cs="Arial"/>
          <w:szCs w:val="22"/>
        </w:rPr>
      </w:pPr>
      <w:r w:rsidRPr="00235949">
        <w:rPr>
          <w:szCs w:val="22"/>
        </w:rPr>
        <w:t xml:space="preserve">The purpose of the grant opportunity is to </w:t>
      </w:r>
      <w:r w:rsidRPr="00235949">
        <w:rPr>
          <w:rFonts w:cs="Arial"/>
          <w:szCs w:val="22"/>
        </w:rPr>
        <w:t>raise awareness of and address the health impacts (including physical and mental manifestations) of FGM/C in culturally and linguistically diverse, and migrant and refugee communities.</w:t>
      </w:r>
    </w:p>
    <w:p w14:paraId="31C43413" w14:textId="77777777" w:rsidR="00235949" w:rsidRPr="00235949" w:rsidRDefault="00235949" w:rsidP="00235949">
      <w:pPr>
        <w:rPr>
          <w:szCs w:val="22"/>
        </w:rPr>
      </w:pPr>
      <w:r w:rsidRPr="00235949">
        <w:rPr>
          <w:szCs w:val="22"/>
        </w:rPr>
        <w:t>The objectives of the</w:t>
      </w:r>
      <w:r w:rsidRPr="00235949">
        <w:rPr>
          <w:b/>
          <w:iCs/>
          <w:szCs w:val="22"/>
        </w:rPr>
        <w:t xml:space="preserve"> grant opportunity</w:t>
      </w:r>
      <w:r w:rsidRPr="00235949">
        <w:rPr>
          <w:szCs w:val="22"/>
        </w:rPr>
        <w:t xml:space="preserve"> are to:</w:t>
      </w:r>
    </w:p>
    <w:p w14:paraId="4F0E87E8" w14:textId="77777777" w:rsidR="00235949" w:rsidRPr="00235949" w:rsidRDefault="00235949" w:rsidP="00235949">
      <w:pPr>
        <w:pStyle w:val="ListBullet"/>
      </w:pPr>
      <w:r w:rsidRPr="00235949">
        <w:t xml:space="preserve">increase understanding of FGM/C, its health impacts and consequences, through community-led </w:t>
      </w:r>
      <w:proofErr w:type="gramStart"/>
      <w:r w:rsidRPr="00235949">
        <w:t>initiatives;</w:t>
      </w:r>
      <w:proofErr w:type="gramEnd"/>
      <w:r w:rsidRPr="00235949">
        <w:t xml:space="preserve"> </w:t>
      </w:r>
    </w:p>
    <w:p w14:paraId="7B80A24C" w14:textId="77777777" w:rsidR="00235949" w:rsidRPr="00235949" w:rsidRDefault="00235949" w:rsidP="00235949">
      <w:pPr>
        <w:pStyle w:val="ListBullet"/>
      </w:pPr>
      <w:r w:rsidRPr="00235949">
        <w:t xml:space="preserve">improve support for women and girls affected by, or at risk of, FGM/C; and </w:t>
      </w:r>
    </w:p>
    <w:p w14:paraId="10DF47B5" w14:textId="77777777" w:rsidR="00235949" w:rsidRPr="00235949" w:rsidRDefault="00235949" w:rsidP="00235949">
      <w:pPr>
        <w:pStyle w:val="ListBullet"/>
      </w:pPr>
      <w:r w:rsidRPr="00235949">
        <w:t>assist communities to move towards the abandonment of the practice.</w:t>
      </w:r>
    </w:p>
    <w:p w14:paraId="60CE953D" w14:textId="77777777" w:rsidR="00235949" w:rsidRPr="00235949" w:rsidRDefault="00235949" w:rsidP="00235949">
      <w:pPr>
        <w:rPr>
          <w:szCs w:val="22"/>
        </w:rPr>
      </w:pPr>
      <w:r w:rsidRPr="00235949">
        <w:rPr>
          <w:szCs w:val="22"/>
        </w:rPr>
        <w:t>The intended outcomes of the grant opportunity are:</w:t>
      </w:r>
    </w:p>
    <w:p w14:paraId="70401E9F" w14:textId="77777777" w:rsidR="00235949" w:rsidRPr="00235949" w:rsidRDefault="00235949" w:rsidP="00235949">
      <w:pPr>
        <w:pStyle w:val="ListBullet"/>
      </w:pPr>
      <w:r w:rsidRPr="00235949">
        <w:t>a demonstrated increase in community understanding of FGM/C, its health risks, impacts and consequences; and</w:t>
      </w:r>
    </w:p>
    <w:p w14:paraId="66E3B551" w14:textId="77777777" w:rsidR="00235949" w:rsidRPr="00235949" w:rsidRDefault="00235949" w:rsidP="00235949">
      <w:pPr>
        <w:pStyle w:val="ListBullet"/>
      </w:pPr>
      <w:r w:rsidRPr="00235949">
        <w:t>a measurable contribution to the implementation of Recommendations 34 and 49 of the House of Representatives inquiry.</w:t>
      </w:r>
    </w:p>
    <w:p w14:paraId="48AFD27F" w14:textId="77777777" w:rsidR="00235949" w:rsidRPr="00235949" w:rsidRDefault="00235949" w:rsidP="00235949">
      <w:pPr>
        <w:rPr>
          <w:szCs w:val="22"/>
        </w:rPr>
      </w:pPr>
      <w:r w:rsidRPr="00235949">
        <w:rPr>
          <w:szCs w:val="22"/>
        </w:rPr>
        <w:t>There was significant interest in the grant opportunity, with 28 applications received. Applications were assessed on their merits and comparatively against other applications based on:</w:t>
      </w:r>
    </w:p>
    <w:p w14:paraId="1C2B2576" w14:textId="77777777" w:rsidR="00235949" w:rsidRPr="00235949" w:rsidRDefault="00235949" w:rsidP="00235949">
      <w:pPr>
        <w:pStyle w:val="ListBullet"/>
      </w:pPr>
      <w:r w:rsidRPr="00235949">
        <w:t>how well it met the criteria; </w:t>
      </w:r>
    </w:p>
    <w:p w14:paraId="3E48D2BE" w14:textId="77777777" w:rsidR="00235949" w:rsidRPr="00235949" w:rsidRDefault="00235949" w:rsidP="00235949">
      <w:pPr>
        <w:pStyle w:val="ListBullet"/>
      </w:pPr>
      <w:r w:rsidRPr="00235949">
        <w:t>how it compared to other applications, and </w:t>
      </w:r>
    </w:p>
    <w:p w14:paraId="0AC9A9AE" w14:textId="77777777" w:rsidR="00235949" w:rsidRDefault="00235949" w:rsidP="00235949">
      <w:pPr>
        <w:pStyle w:val="ListBullet"/>
      </w:pPr>
      <w:r w:rsidRPr="00235949">
        <w:t>whether it provided value with relevant money.</w:t>
      </w:r>
    </w:p>
    <w:p w14:paraId="08B79F4D" w14:textId="45308D5A" w:rsidR="00235949" w:rsidRPr="00E822E1" w:rsidRDefault="00235949" w:rsidP="00E822E1">
      <w:pPr>
        <w:pStyle w:val="Heading1"/>
      </w:pPr>
      <w:r w:rsidRPr="00E822E1">
        <w:lastRenderedPageBreak/>
        <w:t>Eligibility and Compliance</w:t>
      </w:r>
    </w:p>
    <w:p w14:paraId="0270A98F" w14:textId="77777777" w:rsidR="00235949" w:rsidRPr="00235949" w:rsidRDefault="00235949" w:rsidP="00235949">
      <w:pPr>
        <w:rPr>
          <w:szCs w:val="22"/>
        </w:rPr>
      </w:pPr>
      <w:r w:rsidRPr="00235949">
        <w:rPr>
          <w:szCs w:val="22"/>
        </w:rPr>
        <w:t xml:space="preserve">All applications received were initially screened for eligibility and compliance as per the grant opportunity guidelines and 10 applications were found to be non-compliant or ineligible. </w:t>
      </w:r>
    </w:p>
    <w:p w14:paraId="372579B0" w14:textId="77777777" w:rsidR="00235949" w:rsidRPr="00235949" w:rsidRDefault="00235949" w:rsidP="00235949">
      <w:pPr>
        <w:rPr>
          <w:szCs w:val="22"/>
        </w:rPr>
      </w:pPr>
      <w:r w:rsidRPr="00235949">
        <w:rPr>
          <w:szCs w:val="22"/>
        </w:rPr>
        <w:t>Reasons for applications being assessed as non-compliant or ineligible included:</w:t>
      </w:r>
    </w:p>
    <w:p w14:paraId="33BA2B42" w14:textId="77777777" w:rsidR="00235949" w:rsidRPr="00235949" w:rsidRDefault="00235949" w:rsidP="00235949">
      <w:pPr>
        <w:pStyle w:val="ListBullet"/>
      </w:pPr>
      <w:r w:rsidRPr="00235949">
        <w:t>Duplicate applications;</w:t>
      </w:r>
    </w:p>
    <w:p w14:paraId="081A570D" w14:textId="77777777" w:rsidR="00235949" w:rsidRPr="00235949" w:rsidRDefault="00235949" w:rsidP="00235949">
      <w:pPr>
        <w:pStyle w:val="ListBullet"/>
      </w:pPr>
      <w:r w:rsidRPr="00235949">
        <w:t>Incorrect or no application form submitted;</w:t>
      </w:r>
    </w:p>
    <w:p w14:paraId="758A398E" w14:textId="77777777" w:rsidR="00235949" w:rsidRPr="00235949" w:rsidRDefault="00235949" w:rsidP="00235949">
      <w:pPr>
        <w:pStyle w:val="ListBullet"/>
      </w:pPr>
      <w:r w:rsidRPr="00235949">
        <w:t>Attachments not completed and/or submitted in the required format or with required details (Attachment pack);</w:t>
      </w:r>
    </w:p>
    <w:p w14:paraId="52CEE064" w14:textId="77777777" w:rsidR="00235949" w:rsidRPr="00235949" w:rsidRDefault="00235949" w:rsidP="00235949">
      <w:pPr>
        <w:pStyle w:val="ListBullet"/>
      </w:pPr>
      <w:r w:rsidRPr="00235949">
        <w:t>Application exceeded the word limit in one or more criteria; and</w:t>
      </w:r>
    </w:p>
    <w:p w14:paraId="65833411" w14:textId="77777777" w:rsidR="00235949" w:rsidRPr="00235949" w:rsidRDefault="00235949" w:rsidP="00235949">
      <w:pPr>
        <w:pStyle w:val="ListBullet"/>
      </w:pPr>
      <w:r w:rsidRPr="00235949">
        <w:t>Applicant entity not registered for GST.</w:t>
      </w:r>
    </w:p>
    <w:p w14:paraId="38586758" w14:textId="1DA37B23" w:rsidR="00235949" w:rsidRDefault="00235949" w:rsidP="00235949">
      <w:pPr>
        <w:pStyle w:val="Heading1"/>
      </w:pPr>
      <w:r>
        <w:t>Assessment of Applications</w:t>
      </w:r>
    </w:p>
    <w:p w14:paraId="53C58F4E" w14:textId="77777777" w:rsidR="00235949" w:rsidRPr="00235949" w:rsidRDefault="00235949" w:rsidP="00235949">
      <w:pPr>
        <w:rPr>
          <w:szCs w:val="22"/>
        </w:rPr>
      </w:pPr>
      <w:r w:rsidRPr="00235949">
        <w:rPr>
          <w:szCs w:val="22"/>
        </w:rPr>
        <w:t xml:space="preserve">Eighteen applications met eligibility and compliance requirements as per the grant opportunity guidelines and progressed to assessment. </w:t>
      </w:r>
    </w:p>
    <w:p w14:paraId="5D1798BF" w14:textId="77777777" w:rsidR="00235949" w:rsidRPr="00235949" w:rsidRDefault="00235949" w:rsidP="00235949">
      <w:pPr>
        <w:rPr>
          <w:szCs w:val="22"/>
        </w:rPr>
      </w:pPr>
      <w:r w:rsidRPr="00235949">
        <w:rPr>
          <w:szCs w:val="22"/>
        </w:rPr>
        <w:t xml:space="preserve">Assessment of each application was undertaken and scored using the </w:t>
      </w:r>
      <w:proofErr w:type="gramStart"/>
      <w:r w:rsidRPr="00235949">
        <w:rPr>
          <w:szCs w:val="22"/>
        </w:rPr>
        <w:t>5 point</w:t>
      </w:r>
      <w:proofErr w:type="gramEnd"/>
      <w:r w:rsidRPr="00235949">
        <w:rPr>
          <w:szCs w:val="22"/>
        </w:rPr>
        <w:t xml:space="preserve"> numerical scale (excellent, good, average, poor and does not meet criterion at all) as per the grant opportunity guidelines. Only applications scoring Average (3) for each criterion progressed to be considered for funding.</w:t>
      </w:r>
    </w:p>
    <w:p w14:paraId="6D4BC96D" w14:textId="77777777" w:rsidR="00235949" w:rsidRDefault="00235949" w:rsidP="00235949">
      <w:pPr>
        <w:keepNext/>
        <w:rPr>
          <w:szCs w:val="22"/>
        </w:rPr>
      </w:pPr>
      <w:r w:rsidRPr="00235949">
        <w:rPr>
          <w:szCs w:val="22"/>
        </w:rPr>
        <w:t xml:space="preserve">Applications that received high assessment scores provided clear and concise evidence against the selection criteria demonstrating the Organisation’s ability to achieve project objectives to a high standard. Additional feedback aligned with each criterion is provided below. </w:t>
      </w:r>
    </w:p>
    <w:p w14:paraId="5862EE79" w14:textId="77777777" w:rsidR="00AD0DEC" w:rsidRPr="00AD0DEC" w:rsidRDefault="00AD0DEC" w:rsidP="00AD0DEC">
      <w:pPr>
        <w:pStyle w:val="Heading2"/>
      </w:pPr>
      <w:r w:rsidRPr="00AD0DEC">
        <w:t>Assessment Criterion 1: Alignment with Grant Opportunity Objectives and Outcomes</w:t>
      </w:r>
    </w:p>
    <w:p w14:paraId="666370AC" w14:textId="77777777" w:rsidR="00AD0DEC" w:rsidRPr="00AD0DEC" w:rsidRDefault="00AD0DEC" w:rsidP="00AD0DEC">
      <w:pPr>
        <w:keepNext/>
        <w:rPr>
          <w:szCs w:val="22"/>
        </w:rPr>
      </w:pPr>
      <w:r w:rsidRPr="00AD0DEC">
        <w:rPr>
          <w:szCs w:val="22"/>
        </w:rPr>
        <w:t xml:space="preserve">Applications that scored highly for </w:t>
      </w:r>
      <w:proofErr w:type="gramStart"/>
      <w:r w:rsidRPr="00AD0DEC">
        <w:rPr>
          <w:szCs w:val="22"/>
        </w:rPr>
        <w:t>this criteria</w:t>
      </w:r>
      <w:proofErr w:type="gramEnd"/>
      <w:r w:rsidRPr="00AD0DEC">
        <w:rPr>
          <w:szCs w:val="22"/>
        </w:rPr>
        <w:t xml:space="preserve"> clearly demonstrated:</w:t>
      </w:r>
    </w:p>
    <w:p w14:paraId="0FE652B9" w14:textId="77777777" w:rsidR="00AD0DEC" w:rsidRPr="00AD0DEC" w:rsidRDefault="00AD0DEC" w:rsidP="00AD0DEC">
      <w:pPr>
        <w:pStyle w:val="ListBullet"/>
      </w:pPr>
      <w:r w:rsidRPr="00AD0DEC">
        <w:t>a strong understanding of grant opportunity objectives and outcomes and how grant activities will contribute to addressing these;</w:t>
      </w:r>
    </w:p>
    <w:p w14:paraId="12004DB0" w14:textId="77777777" w:rsidR="00AD0DEC" w:rsidRPr="00AD0DEC" w:rsidRDefault="00AD0DEC" w:rsidP="00AD0DEC">
      <w:pPr>
        <w:pStyle w:val="ListBullet"/>
      </w:pPr>
      <w:r w:rsidRPr="00AD0DEC">
        <w:t xml:space="preserve">reasons supporting the location demonstrated planning and insight had been applied, </w:t>
      </w:r>
    </w:p>
    <w:p w14:paraId="30B1218B" w14:textId="77777777" w:rsidR="00AD0DEC" w:rsidRPr="00AD0DEC" w:rsidRDefault="00AD0DEC" w:rsidP="00AD0DEC">
      <w:pPr>
        <w:pStyle w:val="ListBullet"/>
      </w:pPr>
      <w:r w:rsidRPr="00AD0DEC">
        <w:t xml:space="preserve">identification of partnerships, networking and/or collaboration together with an explanation of how these would be leveraged to maximise outcomes; and </w:t>
      </w:r>
    </w:p>
    <w:p w14:paraId="1660ABB6" w14:textId="77777777" w:rsidR="00AD0DEC" w:rsidRPr="00AD0DEC" w:rsidRDefault="00AD0DEC" w:rsidP="00AD0DEC">
      <w:pPr>
        <w:pStyle w:val="ListBullet"/>
      </w:pPr>
      <w:r w:rsidRPr="00AD0DEC">
        <w:t>the approach to evaluation demonstrated how the relevant performance measures directly related to measuring how the grant activity would contribute to the overall grant opportunity objectives and outcomes.</w:t>
      </w:r>
    </w:p>
    <w:p w14:paraId="15A83345" w14:textId="77777777" w:rsidR="00AD0DEC" w:rsidRPr="00AD0DEC" w:rsidRDefault="00AD0DEC" w:rsidP="00AD0DEC">
      <w:pPr>
        <w:pStyle w:val="Heading2"/>
      </w:pPr>
      <w:r w:rsidRPr="00AD0DEC">
        <w:lastRenderedPageBreak/>
        <w:t>Assessment Criterion 2: Efficient, Effective, Economical and Ethical Use of Grant Funds</w:t>
      </w:r>
    </w:p>
    <w:p w14:paraId="70C3A2D9" w14:textId="77777777" w:rsidR="00AD0DEC" w:rsidRPr="00AD0DEC" w:rsidRDefault="00AD0DEC" w:rsidP="00AD0DEC">
      <w:pPr>
        <w:keepNext/>
        <w:rPr>
          <w:szCs w:val="22"/>
        </w:rPr>
      </w:pPr>
      <w:r w:rsidRPr="00AD0DEC">
        <w:rPr>
          <w:szCs w:val="22"/>
        </w:rPr>
        <w:t xml:space="preserve">Applications that scored highly for </w:t>
      </w:r>
      <w:proofErr w:type="gramStart"/>
      <w:r w:rsidRPr="00AD0DEC">
        <w:rPr>
          <w:szCs w:val="22"/>
        </w:rPr>
        <w:t>this criteria</w:t>
      </w:r>
      <w:proofErr w:type="gramEnd"/>
      <w:r w:rsidRPr="00AD0DEC" w:rsidDel="00AA4E30">
        <w:rPr>
          <w:szCs w:val="22"/>
        </w:rPr>
        <w:t xml:space="preserve"> </w:t>
      </w:r>
      <w:r w:rsidRPr="00AD0DEC">
        <w:rPr>
          <w:szCs w:val="22"/>
        </w:rPr>
        <w:t>clearly demonstrated:</w:t>
      </w:r>
    </w:p>
    <w:p w14:paraId="1C4B554C" w14:textId="77777777" w:rsidR="00AD0DEC" w:rsidRPr="00AD0DEC" w:rsidRDefault="00AD0DEC" w:rsidP="00AD0DEC">
      <w:pPr>
        <w:pStyle w:val="ListBullet"/>
      </w:pPr>
      <w:r w:rsidRPr="00AD0DEC">
        <w:t xml:space="preserve">that the person/s in the organisation who were proposed to have responsibility for the successful completion of the grant activity have relevant skills and experience in this role (or similar); </w:t>
      </w:r>
    </w:p>
    <w:p w14:paraId="1113FED5" w14:textId="77777777" w:rsidR="00AD0DEC" w:rsidRPr="00AD0DEC" w:rsidRDefault="00AD0DEC" w:rsidP="00AD0DEC">
      <w:pPr>
        <w:pStyle w:val="ListBullet"/>
      </w:pPr>
      <w:r w:rsidRPr="00AD0DEC">
        <w:t>a proposed management approach that provided confidence that the organisation knows "how" to manage the grant activity;</w:t>
      </w:r>
    </w:p>
    <w:p w14:paraId="4723EA06" w14:textId="77777777" w:rsidR="00AD0DEC" w:rsidRPr="00AD0DEC" w:rsidRDefault="00AD0DEC" w:rsidP="00AD0DEC">
      <w:pPr>
        <w:pStyle w:val="ListBullet"/>
      </w:pPr>
      <w:r w:rsidRPr="00AD0DEC">
        <w:t xml:space="preserve">references and/or specific activities included in the management approach that provided confidence that the project would be completed by the activity end date (30 June 2026); </w:t>
      </w:r>
    </w:p>
    <w:p w14:paraId="47D5CE4F" w14:textId="77777777" w:rsidR="00AD0DEC" w:rsidRPr="00AD0DEC" w:rsidRDefault="00AD0DEC" w:rsidP="00AD0DEC">
      <w:pPr>
        <w:pStyle w:val="ListBullet"/>
      </w:pPr>
      <w:r w:rsidRPr="00AD0DEC">
        <w:t xml:space="preserve">that the organisation </w:t>
      </w:r>
      <w:proofErr w:type="gramStart"/>
      <w:r w:rsidRPr="00AD0DEC">
        <w:t>has an understanding of</w:t>
      </w:r>
      <w:proofErr w:type="gramEnd"/>
      <w:r w:rsidRPr="00AD0DEC">
        <w:t xml:space="preserve"> ethical principles for administering grant funding and a summary explanation of how these will be adhered to.</w:t>
      </w:r>
    </w:p>
    <w:p w14:paraId="70587647" w14:textId="77777777" w:rsidR="00AD0DEC" w:rsidRPr="00AD0DEC" w:rsidRDefault="00AD0DEC" w:rsidP="00AD0DEC">
      <w:pPr>
        <w:pStyle w:val="Heading2"/>
      </w:pPr>
      <w:r w:rsidRPr="00AD0DEC">
        <w:t>Assessment Criterion 3: Capacity and Capability to Deliver the Proposed Grant Activity</w:t>
      </w:r>
    </w:p>
    <w:p w14:paraId="0CBE69DF" w14:textId="77777777" w:rsidR="00AD0DEC" w:rsidRPr="00AD0DEC" w:rsidRDefault="00AD0DEC" w:rsidP="00AD0DEC">
      <w:pPr>
        <w:keepNext/>
        <w:rPr>
          <w:szCs w:val="22"/>
        </w:rPr>
      </w:pPr>
      <w:r w:rsidRPr="00AD0DEC">
        <w:rPr>
          <w:szCs w:val="22"/>
        </w:rPr>
        <w:t xml:space="preserve">Applications that scored highly for </w:t>
      </w:r>
      <w:proofErr w:type="gramStart"/>
      <w:r w:rsidRPr="00AD0DEC">
        <w:rPr>
          <w:szCs w:val="22"/>
        </w:rPr>
        <w:t>this criteria</w:t>
      </w:r>
      <w:proofErr w:type="gramEnd"/>
      <w:r w:rsidRPr="00AD0DEC" w:rsidDel="00AA4E30">
        <w:rPr>
          <w:szCs w:val="22"/>
        </w:rPr>
        <w:t xml:space="preserve"> </w:t>
      </w:r>
      <w:r w:rsidRPr="00AD0DEC">
        <w:rPr>
          <w:szCs w:val="22"/>
        </w:rPr>
        <w:t>clearly demonstrated:</w:t>
      </w:r>
    </w:p>
    <w:p w14:paraId="7FF04F06" w14:textId="77777777" w:rsidR="00AD0DEC" w:rsidRPr="00AD0DEC" w:rsidRDefault="00AD0DEC" w:rsidP="00AD0DEC">
      <w:pPr>
        <w:pStyle w:val="ListBullet"/>
      </w:pPr>
      <w:r w:rsidRPr="00AD0DEC">
        <w:t xml:space="preserve">the organisation's past experience of delivering multiple successful projects have achieved effective outcomes for the Priority Population </w:t>
      </w:r>
      <w:proofErr w:type="gramStart"/>
      <w:r w:rsidRPr="00AD0DEC">
        <w:t>Group;</w:t>
      </w:r>
      <w:proofErr w:type="gramEnd"/>
    </w:p>
    <w:p w14:paraId="4114902B" w14:textId="77777777" w:rsidR="00AD0DEC" w:rsidRPr="00AD0DEC" w:rsidRDefault="00AD0DEC" w:rsidP="00AD0DEC">
      <w:pPr>
        <w:pStyle w:val="ListBullet"/>
      </w:pPr>
      <w:r w:rsidRPr="00AD0DEC">
        <w:t>how effective links with stakeholders, including consumers, will be established and/or maintained and how this would contribute to achieving outcomes for the Priority Population Group;</w:t>
      </w:r>
    </w:p>
    <w:p w14:paraId="4CEB862E" w14:textId="77777777" w:rsidR="00AD0DEC" w:rsidRPr="00AD0DEC" w:rsidRDefault="00AD0DEC" w:rsidP="00AD0DEC">
      <w:pPr>
        <w:pStyle w:val="ListBullet"/>
      </w:pPr>
      <w:r w:rsidRPr="00AD0DEC">
        <w:t>how consumer engagement and co-design approaches will be leveraged to maximise the opportunity and how this contributed to achieving the required outcomes for the Priority Population Group;</w:t>
      </w:r>
    </w:p>
    <w:p w14:paraId="2EC3E619" w14:textId="0E8F9283" w:rsidR="009040E9" w:rsidRPr="009040E9" w:rsidRDefault="00AD0DEC" w:rsidP="009040E9">
      <w:pPr>
        <w:pStyle w:val="ListBullet"/>
      </w:pPr>
      <w:r w:rsidRPr="00AD0DEC">
        <w:t>how the national rollout of the grant activities (including scaling up) will be achieved within the grant delivery timeframe (including management of staff and resources across multiple locations).</w:t>
      </w:r>
    </w:p>
    <w:sectPr w:rsidR="009040E9" w:rsidRPr="009040E9" w:rsidSect="00B53987">
      <w:headerReference w:type="default"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B3E8" w14:textId="77777777" w:rsidR="00E4614F" w:rsidRDefault="00E4614F" w:rsidP="006B56BB">
      <w:r>
        <w:separator/>
      </w:r>
    </w:p>
    <w:p w14:paraId="79399A8D" w14:textId="77777777" w:rsidR="00E4614F" w:rsidRDefault="00E4614F"/>
  </w:endnote>
  <w:endnote w:type="continuationSeparator" w:id="0">
    <w:p w14:paraId="2357C2B5" w14:textId="77777777" w:rsidR="00E4614F" w:rsidRDefault="00E4614F" w:rsidP="006B56BB">
      <w:r>
        <w:continuationSeparator/>
      </w:r>
    </w:p>
    <w:p w14:paraId="78D5607C" w14:textId="77777777" w:rsidR="00E4614F" w:rsidRDefault="00E4614F"/>
  </w:endnote>
  <w:endnote w:type="continuationNotice" w:id="1">
    <w:p w14:paraId="2A080D2D" w14:textId="77777777" w:rsidR="00E4614F" w:rsidRDefault="00E46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361803B1" w:rsidR="00B53987" w:rsidRDefault="00AA262B"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20B278C4" w:rsidR="00B53987" w:rsidRDefault="00AA262B" w:rsidP="00B53987">
    <w:pPr>
      <w:pStyle w:val="Footer"/>
    </w:pPr>
    <w:r>
      <w:t xml:space="preserve">Department of Health and Aged Care </w:t>
    </w:r>
    <w:r w:rsidR="00B53987">
      <w:t>–</w:t>
    </w:r>
    <w:r w:rsidR="005B7C47">
      <w:t xml:space="preserve"> Feedback for Applicants-</w:t>
    </w:r>
    <w:sdt>
      <w:sdtPr>
        <w:id w:val="-178737789"/>
        <w:docPartObj>
          <w:docPartGallery w:val="Page Numbers (Bottom of Page)"/>
          <w:docPartUnique/>
        </w:docPartObj>
      </w:sdtPr>
      <w:sdtContent>
        <w:r w:rsidR="005B7C47">
          <w:t>GO6688</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0EF7" w14:textId="77777777" w:rsidR="00E4614F" w:rsidRDefault="00E4614F" w:rsidP="006B56BB">
      <w:r>
        <w:separator/>
      </w:r>
    </w:p>
    <w:p w14:paraId="7324F36B" w14:textId="77777777" w:rsidR="00E4614F" w:rsidRDefault="00E4614F"/>
  </w:footnote>
  <w:footnote w:type="continuationSeparator" w:id="0">
    <w:p w14:paraId="3D0BC0BA" w14:textId="77777777" w:rsidR="00E4614F" w:rsidRDefault="00E4614F" w:rsidP="006B56BB">
      <w:r>
        <w:continuationSeparator/>
      </w:r>
    </w:p>
    <w:p w14:paraId="06ED6D20" w14:textId="77777777" w:rsidR="00E4614F" w:rsidRDefault="00E4614F"/>
  </w:footnote>
  <w:footnote w:type="continuationNotice" w:id="1">
    <w:p w14:paraId="16268F40" w14:textId="77777777" w:rsidR="00E4614F" w:rsidRDefault="00E461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D553C3"/>
    <w:multiLevelType w:val="hybridMultilevel"/>
    <w:tmpl w:val="39583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715FB4"/>
    <w:multiLevelType w:val="hybridMultilevel"/>
    <w:tmpl w:val="AC967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6"/>
  </w:num>
  <w:num w:numId="3" w16cid:durableId="99111382">
    <w:abstractNumId w:val="19"/>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4"/>
  </w:num>
  <w:num w:numId="8" w16cid:durableId="1674914654">
    <w:abstractNumId w:val="18"/>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20"/>
  </w:num>
  <w:num w:numId="17" w16cid:durableId="1161384352">
    <w:abstractNumId w:val="10"/>
  </w:num>
  <w:num w:numId="18" w16cid:durableId="1115442587">
    <w:abstractNumId w:val="11"/>
  </w:num>
  <w:num w:numId="19" w16cid:durableId="913049504">
    <w:abstractNumId w:val="13"/>
  </w:num>
  <w:num w:numId="20" w16cid:durableId="1185171215">
    <w:abstractNumId w:val="10"/>
  </w:num>
  <w:num w:numId="21" w16cid:durableId="1306743019">
    <w:abstractNumId w:val="13"/>
  </w:num>
  <w:num w:numId="22" w16cid:durableId="1809544992">
    <w:abstractNumId w:val="20"/>
  </w:num>
  <w:num w:numId="23" w16cid:durableId="638191149">
    <w:abstractNumId w:val="16"/>
  </w:num>
  <w:num w:numId="24" w16cid:durableId="503975017">
    <w:abstractNumId w:val="19"/>
  </w:num>
  <w:num w:numId="25" w16cid:durableId="215359669">
    <w:abstractNumId w:val="8"/>
  </w:num>
  <w:num w:numId="26" w16cid:durableId="352608886">
    <w:abstractNumId w:val="15"/>
  </w:num>
  <w:num w:numId="27" w16cid:durableId="1792703718">
    <w:abstractNumId w:val="12"/>
  </w:num>
  <w:num w:numId="28" w16cid:durableId="15944380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594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B7C47"/>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F39A4"/>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27AB"/>
    <w:rsid w:val="009F4803"/>
    <w:rsid w:val="009F4F6A"/>
    <w:rsid w:val="00A13EB5"/>
    <w:rsid w:val="00A16E36"/>
    <w:rsid w:val="00A24961"/>
    <w:rsid w:val="00A24B10"/>
    <w:rsid w:val="00A24CA6"/>
    <w:rsid w:val="00A277EF"/>
    <w:rsid w:val="00A30E9B"/>
    <w:rsid w:val="00A4512D"/>
    <w:rsid w:val="00A50244"/>
    <w:rsid w:val="00A627D7"/>
    <w:rsid w:val="00A656C7"/>
    <w:rsid w:val="00A705AF"/>
    <w:rsid w:val="00A719F6"/>
    <w:rsid w:val="00A72454"/>
    <w:rsid w:val="00A72AED"/>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D0DEC"/>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4614F"/>
    <w:rsid w:val="00E50188"/>
    <w:rsid w:val="00E50BB3"/>
    <w:rsid w:val="00E515CB"/>
    <w:rsid w:val="00E52260"/>
    <w:rsid w:val="00E639B6"/>
    <w:rsid w:val="00E6434B"/>
    <w:rsid w:val="00E6463D"/>
    <w:rsid w:val="00E72E9B"/>
    <w:rsid w:val="00E822E1"/>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3F27"/>
    <w:rsid w:val="00F84043"/>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4AC78AD1-2628-4EC9-A3D0-E1A3E02B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22E1"/>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5.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6.xml><?xml version="1.0" encoding="utf-8"?>
<ds:datastoreItem xmlns:ds="http://schemas.openxmlformats.org/officeDocument/2006/customXml" ds:itemID="{EC3CCC73-FC82-4473-87C6-5C0EA04297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732</Words>
  <Characters>4504</Characters>
  <Application>Microsoft Office Word</Application>
  <DocSecurity>0</DocSecurity>
  <Lines>87</Lines>
  <Paragraphs>46</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to Prevent and Address the Health Impacts of Female Genital Mutilation/Cutting (FGM/C) grant opportunity GO6688 - Feedback for Applicants</dc:title>
  <dc:subject>Preventative health</dc:subject>
  <dc:creator>Australian Government Department of Health and Aged Care</dc:creator>
  <cp:lastModifiedBy>Australian Government Department of Health and Aged </cp:lastModifiedBy>
  <cp:revision>3</cp:revision>
  <dcterms:created xsi:type="dcterms:W3CDTF">2024-05-28T05:03:00Z</dcterms:created>
  <dcterms:modified xsi:type="dcterms:W3CDTF">2024-05-28T05:05:00Z</dcterms:modified>
</cp:coreProperties>
</file>